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42D6" w:rsidRDefault="00C142D6" w:rsidP="00C142D6"/>
    <w:p w:rsidR="00C142D6" w:rsidRDefault="00C142D6" w:rsidP="00C142D6"/>
    <w:p w:rsidR="00C142D6" w:rsidRPr="00F97703" w:rsidRDefault="00C142D6" w:rsidP="00C142D6">
      <w:pPr>
        <w:rPr>
          <w:rFonts w:ascii="Book Antiqua" w:hAnsi="Book Antiqua" w:cs="Arial"/>
          <w:color w:val="000000"/>
          <w:sz w:val="16"/>
          <w:szCs w:val="16"/>
        </w:rPr>
      </w:pPr>
    </w:p>
    <w:p w:rsidR="00C142D6" w:rsidRDefault="00C142D6" w:rsidP="00C142D6">
      <w:pPr>
        <w:jc w:val="center"/>
        <w:rPr>
          <w:rFonts w:ascii="Book Antiqua" w:hAnsi="Book Antiqua" w:cs="Arial"/>
          <w:color w:val="000000"/>
        </w:rPr>
      </w:pPr>
      <w:r>
        <w:rPr>
          <w:noProof/>
        </w:rPr>
        <w:drawing>
          <wp:inline distT="0" distB="0" distL="0" distR="0">
            <wp:extent cx="1400400" cy="1065600"/>
            <wp:effectExtent l="0" t="0" r="9525" b="0"/>
            <wp:docPr id="4"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6"/>
                    <a:srcRect r="81482" b="-7655"/>
                    <a:stretch>
                      <a:fillRect/>
                    </a:stretch>
                  </pic:blipFill>
                  <pic:spPr bwMode="auto">
                    <a:xfrm>
                      <a:off x="0" y="0"/>
                      <a:ext cx="1400400" cy="1065600"/>
                    </a:xfrm>
                    <a:prstGeom prst="rect">
                      <a:avLst/>
                    </a:prstGeom>
                    <a:noFill/>
                    <a:ln w="9525">
                      <a:noFill/>
                      <a:miter lim="800000"/>
                      <a:headEnd/>
                      <a:tailEnd/>
                    </a:ln>
                  </pic:spPr>
                </pic:pic>
              </a:graphicData>
            </a:graphic>
          </wp:inline>
        </w:drawing>
      </w:r>
    </w:p>
    <w:p w:rsidR="00C142D6" w:rsidRPr="00F97703" w:rsidRDefault="00C142D6" w:rsidP="00C142D6">
      <w:pPr>
        <w:tabs>
          <w:tab w:val="right" w:pos="9720"/>
        </w:tabs>
        <w:ind w:right="-82"/>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rsidR="00C142D6" w:rsidRDefault="00C142D6" w:rsidP="00C142D6">
      <w:pPr>
        <w:tabs>
          <w:tab w:val="right" w:pos="9720"/>
        </w:tabs>
        <w:ind w:right="-82"/>
        <w:rPr>
          <w:rFonts w:ascii="Book Antiqua" w:hAnsi="Book Antiqua" w:cs="Arial"/>
          <w:caps/>
          <w:color w:val="000000"/>
        </w:rPr>
      </w:pPr>
      <w:r w:rsidRPr="00F97703">
        <w:rPr>
          <w:rFonts w:ascii="Book Antiqua" w:hAnsi="Book Antiqua" w:cs="Arial"/>
          <w:b/>
          <w:color w:val="000000"/>
        </w:rPr>
        <w:t>(Immigration and Asylum Chamber)</w:t>
      </w:r>
      <w:r w:rsidRPr="00F97703">
        <w:rPr>
          <w:rFonts w:ascii="Book Antiqua" w:hAnsi="Book Antiqua" w:cs="Arial"/>
          <w:b/>
          <w:color w:val="000000"/>
        </w:rPr>
        <w:tab/>
      </w:r>
      <w:r w:rsidRPr="000B5BF4">
        <w:rPr>
          <w:rFonts w:ascii="Book Antiqua" w:hAnsi="Book Antiqua" w:cs="Arial"/>
          <w:b/>
          <w:color w:val="000000"/>
        </w:rPr>
        <w:t xml:space="preserve">Appeal Number: </w:t>
      </w:r>
      <w:r w:rsidR="001927BB" w:rsidRPr="000B5BF4">
        <w:rPr>
          <w:rFonts w:ascii="Book Antiqua" w:hAnsi="Book Antiqua" w:cs="Arial"/>
          <w:b/>
          <w:caps/>
          <w:color w:val="000000"/>
        </w:rPr>
        <w:t>HU/04385/2017</w:t>
      </w:r>
      <w:r>
        <w:rPr>
          <w:rFonts w:ascii="Book Antiqua" w:hAnsi="Book Antiqua" w:cs="Arial"/>
          <w:caps/>
          <w:color w:val="000000"/>
        </w:rPr>
        <w:t xml:space="preserve"> </w:t>
      </w:r>
    </w:p>
    <w:p w:rsidR="00C142D6" w:rsidRPr="00F97703" w:rsidRDefault="00C142D6" w:rsidP="00C142D6">
      <w:pPr>
        <w:jc w:val="center"/>
        <w:rPr>
          <w:rFonts w:ascii="Book Antiqua" w:hAnsi="Book Antiqua" w:cs="Arial"/>
          <w:color w:val="000000"/>
        </w:rPr>
      </w:pPr>
    </w:p>
    <w:p w:rsidR="00C142D6" w:rsidRPr="00F97703" w:rsidRDefault="00C142D6" w:rsidP="00C142D6">
      <w:pPr>
        <w:jc w:val="center"/>
        <w:rPr>
          <w:rFonts w:ascii="Book Antiqua" w:hAnsi="Book Antiqua" w:cs="Arial"/>
          <w:b/>
          <w:color w:val="000000"/>
          <w:u w:val="single"/>
        </w:rPr>
      </w:pPr>
      <w:r w:rsidRPr="00F97703">
        <w:rPr>
          <w:rFonts w:ascii="Book Antiqua" w:hAnsi="Book Antiqua" w:cs="Arial"/>
          <w:b/>
          <w:color w:val="000000"/>
          <w:u w:val="single"/>
        </w:rPr>
        <w:t>THE IMMIGRATION ACTS</w:t>
      </w:r>
    </w:p>
    <w:p w:rsidR="00C142D6" w:rsidRPr="00F97703" w:rsidRDefault="00C142D6" w:rsidP="00C142D6">
      <w:pPr>
        <w:jc w:val="center"/>
        <w:rPr>
          <w:rFonts w:ascii="Book Antiqua" w:hAnsi="Book Antiqua" w:cs="Arial"/>
          <w:b/>
          <w:u w:val="single"/>
        </w:rPr>
      </w:pPr>
    </w:p>
    <w:tbl>
      <w:tblPr>
        <w:tblW w:w="8647" w:type="dxa"/>
        <w:tblLook w:val="01E0" w:firstRow="1" w:lastRow="1" w:firstColumn="1" w:lastColumn="1" w:noHBand="0" w:noVBand="0"/>
      </w:tblPr>
      <w:tblGrid>
        <w:gridCol w:w="4240"/>
        <w:gridCol w:w="895"/>
        <w:gridCol w:w="3512"/>
      </w:tblGrid>
      <w:tr w:rsidR="00C142D6" w:rsidRPr="00B22334" w:rsidTr="000B5BF4">
        <w:tc>
          <w:tcPr>
            <w:tcW w:w="4240" w:type="dxa"/>
          </w:tcPr>
          <w:p w:rsidR="00C142D6" w:rsidRPr="00B22334" w:rsidRDefault="00C142D6" w:rsidP="001927BB">
            <w:pPr>
              <w:jc w:val="both"/>
              <w:rPr>
                <w:rFonts w:ascii="Book Antiqua" w:hAnsi="Book Antiqua" w:cs="Arial"/>
                <w:b/>
              </w:rPr>
            </w:pPr>
            <w:r w:rsidRPr="00B22334">
              <w:rPr>
                <w:rFonts w:ascii="Book Antiqua" w:hAnsi="Book Antiqua" w:cs="Arial"/>
                <w:b/>
              </w:rPr>
              <w:t xml:space="preserve">Heard at </w:t>
            </w:r>
            <w:r>
              <w:rPr>
                <w:rFonts w:ascii="Book Antiqua" w:hAnsi="Book Antiqua" w:cs="Arial"/>
                <w:b/>
              </w:rPr>
              <w:t>Field House</w:t>
            </w:r>
          </w:p>
        </w:tc>
        <w:tc>
          <w:tcPr>
            <w:tcW w:w="4407" w:type="dxa"/>
            <w:gridSpan w:val="2"/>
          </w:tcPr>
          <w:p w:rsidR="00C142D6" w:rsidRPr="00B22334" w:rsidRDefault="000B5BF4" w:rsidP="007C697F">
            <w:pPr>
              <w:jc w:val="both"/>
              <w:rPr>
                <w:rFonts w:ascii="Book Antiqua" w:hAnsi="Book Antiqua" w:cs="Arial"/>
                <w:b/>
                <w:color w:val="000000"/>
              </w:rPr>
            </w:pPr>
            <w:r>
              <w:rPr>
                <w:rFonts w:ascii="Book Antiqua" w:hAnsi="Book Antiqua" w:cs="Arial"/>
                <w:b/>
                <w:color w:val="000000"/>
              </w:rPr>
              <w:t xml:space="preserve">        </w:t>
            </w:r>
            <w:r w:rsidR="007C697F">
              <w:rPr>
                <w:rFonts w:ascii="Book Antiqua" w:hAnsi="Book Antiqua" w:cs="Arial"/>
                <w:b/>
                <w:color w:val="000000"/>
              </w:rPr>
              <w:t>Decision &amp; Reasons Promulgated</w:t>
            </w:r>
          </w:p>
        </w:tc>
      </w:tr>
      <w:tr w:rsidR="00C142D6" w:rsidRPr="00B22334" w:rsidTr="000B5BF4">
        <w:tc>
          <w:tcPr>
            <w:tcW w:w="4240" w:type="dxa"/>
          </w:tcPr>
          <w:p w:rsidR="00C142D6" w:rsidRPr="00B22334" w:rsidRDefault="00C142D6" w:rsidP="001927BB">
            <w:pPr>
              <w:jc w:val="both"/>
              <w:rPr>
                <w:rFonts w:ascii="Book Antiqua" w:hAnsi="Book Antiqua" w:cs="Arial"/>
                <w:b/>
              </w:rPr>
            </w:pPr>
            <w:r w:rsidRPr="00B22334">
              <w:rPr>
                <w:rFonts w:ascii="Book Antiqua" w:hAnsi="Book Antiqua" w:cs="Arial"/>
                <w:b/>
              </w:rPr>
              <w:t xml:space="preserve">On </w:t>
            </w:r>
            <w:r w:rsidR="001927BB">
              <w:rPr>
                <w:rFonts w:ascii="Book Antiqua" w:hAnsi="Book Antiqua" w:cs="Arial"/>
                <w:b/>
              </w:rPr>
              <w:t>1</w:t>
            </w:r>
            <w:r>
              <w:rPr>
                <w:rFonts w:ascii="Book Antiqua" w:hAnsi="Book Antiqua" w:cs="Arial"/>
                <w:b/>
              </w:rPr>
              <w:t>2</w:t>
            </w:r>
            <w:r w:rsidR="001927BB">
              <w:rPr>
                <w:rFonts w:ascii="Book Antiqua" w:hAnsi="Book Antiqua" w:cs="Arial"/>
                <w:b/>
              </w:rPr>
              <w:t xml:space="preserve"> July</w:t>
            </w:r>
            <w:r>
              <w:rPr>
                <w:rFonts w:ascii="Book Antiqua" w:hAnsi="Book Antiqua" w:cs="Arial"/>
                <w:b/>
              </w:rPr>
              <w:t xml:space="preserve"> 2018</w:t>
            </w:r>
          </w:p>
        </w:tc>
        <w:tc>
          <w:tcPr>
            <w:tcW w:w="4407" w:type="dxa"/>
            <w:gridSpan w:val="2"/>
          </w:tcPr>
          <w:p w:rsidR="00C142D6" w:rsidRPr="00B22334" w:rsidRDefault="000B5BF4" w:rsidP="001927BB">
            <w:pPr>
              <w:jc w:val="both"/>
              <w:rPr>
                <w:rFonts w:ascii="Book Antiqua" w:hAnsi="Book Antiqua" w:cs="Arial"/>
                <w:b/>
              </w:rPr>
            </w:pPr>
            <w:r>
              <w:rPr>
                <w:rFonts w:ascii="Book Antiqua" w:hAnsi="Book Antiqua" w:cs="Arial"/>
                <w:b/>
                <w:color w:val="000000"/>
              </w:rPr>
              <w:t xml:space="preserve">        </w:t>
            </w:r>
            <w:r w:rsidR="007C697F" w:rsidRPr="007C697F">
              <w:rPr>
                <w:rFonts w:ascii="Book Antiqua" w:hAnsi="Book Antiqua" w:cs="Arial"/>
                <w:b/>
                <w:color w:val="000000"/>
              </w:rPr>
              <w:t>On 3 August 2018</w:t>
            </w:r>
          </w:p>
        </w:tc>
      </w:tr>
      <w:tr w:rsidR="00C142D6" w:rsidRPr="00B22334" w:rsidTr="000B5BF4">
        <w:tc>
          <w:tcPr>
            <w:tcW w:w="5135" w:type="dxa"/>
            <w:gridSpan w:val="2"/>
          </w:tcPr>
          <w:p w:rsidR="00C142D6" w:rsidRPr="00B22334" w:rsidRDefault="00C142D6" w:rsidP="001927BB">
            <w:pPr>
              <w:jc w:val="both"/>
              <w:rPr>
                <w:rFonts w:ascii="Book Antiqua" w:hAnsi="Book Antiqua" w:cs="Arial"/>
                <w:b/>
              </w:rPr>
            </w:pPr>
          </w:p>
        </w:tc>
        <w:tc>
          <w:tcPr>
            <w:tcW w:w="3512" w:type="dxa"/>
            <w:tcBorders>
              <w:left w:val="nil"/>
            </w:tcBorders>
          </w:tcPr>
          <w:p w:rsidR="00C142D6" w:rsidRPr="00B22334" w:rsidRDefault="00C142D6" w:rsidP="001927BB">
            <w:pPr>
              <w:jc w:val="both"/>
              <w:rPr>
                <w:rFonts w:ascii="Book Antiqua" w:hAnsi="Book Antiqua" w:cs="Arial"/>
                <w:b/>
              </w:rPr>
            </w:pPr>
          </w:p>
        </w:tc>
      </w:tr>
    </w:tbl>
    <w:p w:rsidR="00C142D6" w:rsidRPr="00F97703" w:rsidRDefault="00C142D6" w:rsidP="00C142D6">
      <w:pPr>
        <w:jc w:val="center"/>
        <w:rPr>
          <w:rFonts w:ascii="Book Antiqua" w:hAnsi="Book Antiqua" w:cs="Arial"/>
        </w:rPr>
      </w:pPr>
    </w:p>
    <w:p w:rsidR="00C142D6" w:rsidRPr="00F97703" w:rsidRDefault="00C142D6" w:rsidP="00C142D6">
      <w:pPr>
        <w:jc w:val="center"/>
        <w:rPr>
          <w:rFonts w:ascii="Book Antiqua" w:hAnsi="Book Antiqua" w:cs="Arial"/>
          <w:b/>
        </w:rPr>
      </w:pPr>
      <w:r w:rsidRPr="00F97703">
        <w:rPr>
          <w:rFonts w:ascii="Book Antiqua" w:hAnsi="Book Antiqua" w:cs="Arial"/>
          <w:b/>
        </w:rPr>
        <w:t>Before</w:t>
      </w:r>
    </w:p>
    <w:p w:rsidR="00C142D6" w:rsidRPr="00F97703" w:rsidRDefault="00C142D6" w:rsidP="00C142D6">
      <w:pPr>
        <w:jc w:val="center"/>
        <w:rPr>
          <w:rFonts w:ascii="Book Antiqua" w:hAnsi="Book Antiqua" w:cs="Arial"/>
          <w:b/>
        </w:rPr>
      </w:pPr>
    </w:p>
    <w:p w:rsidR="00C142D6" w:rsidRDefault="00C142D6" w:rsidP="00C142D6">
      <w:pPr>
        <w:jc w:val="center"/>
        <w:rPr>
          <w:rFonts w:ascii="Book Antiqua" w:hAnsi="Book Antiqua" w:cs="Arial"/>
          <w:b/>
          <w:color w:val="000000"/>
        </w:rPr>
      </w:pPr>
      <w:r>
        <w:rPr>
          <w:rFonts w:ascii="Book Antiqua" w:hAnsi="Book Antiqua" w:cs="Arial"/>
          <w:b/>
          <w:color w:val="000000"/>
        </w:rPr>
        <w:t>DEPUTY UPPER TRIBUNAL JUDGE CHAPMAN</w:t>
      </w:r>
    </w:p>
    <w:p w:rsidR="00C142D6" w:rsidRPr="00F97703" w:rsidRDefault="00C142D6" w:rsidP="00C142D6">
      <w:pPr>
        <w:jc w:val="center"/>
        <w:rPr>
          <w:rFonts w:ascii="Book Antiqua" w:hAnsi="Book Antiqua" w:cs="Arial"/>
          <w:b/>
        </w:rPr>
      </w:pPr>
    </w:p>
    <w:p w:rsidR="00C142D6" w:rsidRDefault="00C142D6" w:rsidP="00C142D6">
      <w:pPr>
        <w:jc w:val="center"/>
        <w:rPr>
          <w:rFonts w:ascii="Book Antiqua" w:hAnsi="Book Antiqua" w:cs="Arial"/>
          <w:b/>
        </w:rPr>
      </w:pPr>
      <w:r w:rsidRPr="00F97703">
        <w:rPr>
          <w:rFonts w:ascii="Book Antiqua" w:hAnsi="Book Antiqua" w:cs="Arial"/>
          <w:b/>
        </w:rPr>
        <w:t>Between</w:t>
      </w:r>
    </w:p>
    <w:p w:rsidR="001927BB" w:rsidRPr="00F97703" w:rsidRDefault="001927BB" w:rsidP="001927BB">
      <w:pPr>
        <w:jc w:val="center"/>
        <w:rPr>
          <w:rFonts w:ascii="Book Antiqua" w:hAnsi="Book Antiqua" w:cs="Arial"/>
          <w:b/>
        </w:rPr>
      </w:pPr>
    </w:p>
    <w:p w:rsidR="00C142D6" w:rsidRDefault="00143E60" w:rsidP="00C142D6">
      <w:pPr>
        <w:jc w:val="center"/>
        <w:rPr>
          <w:rFonts w:ascii="Book Antiqua" w:hAnsi="Book Antiqua" w:cs="Arial"/>
          <w:b/>
        </w:rPr>
      </w:pPr>
      <w:r>
        <w:rPr>
          <w:rFonts w:ascii="Book Antiqua" w:hAnsi="Book Antiqua" w:cs="Arial"/>
          <w:b/>
        </w:rPr>
        <w:t>ENTRY CLEARANCE OFFICER</w:t>
      </w:r>
    </w:p>
    <w:p w:rsidR="00C142D6" w:rsidRPr="00F97703" w:rsidRDefault="00C142D6" w:rsidP="00C142D6">
      <w:pPr>
        <w:jc w:val="center"/>
        <w:rPr>
          <w:rFonts w:ascii="Book Antiqua" w:hAnsi="Book Antiqua" w:cs="Arial"/>
          <w:u w:val="single"/>
        </w:rPr>
      </w:pP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sidRPr="00F97703">
        <w:rPr>
          <w:rFonts w:ascii="Book Antiqua" w:hAnsi="Book Antiqua" w:cs="Arial"/>
          <w:u w:val="single"/>
        </w:rPr>
        <w:t>Appellant</w:t>
      </w:r>
    </w:p>
    <w:p w:rsidR="00C142D6" w:rsidRDefault="00C142D6" w:rsidP="00C142D6">
      <w:pPr>
        <w:jc w:val="center"/>
        <w:rPr>
          <w:rFonts w:ascii="Book Antiqua" w:hAnsi="Book Antiqua" w:cs="Arial"/>
          <w:b/>
        </w:rPr>
      </w:pPr>
    </w:p>
    <w:p w:rsidR="00C142D6" w:rsidRPr="00F97703" w:rsidRDefault="000B5BF4" w:rsidP="000B5BF4">
      <w:pPr>
        <w:jc w:val="center"/>
        <w:rPr>
          <w:rFonts w:ascii="Book Antiqua" w:hAnsi="Book Antiqua" w:cs="Arial"/>
          <w:b/>
        </w:rPr>
      </w:pPr>
      <w:r>
        <w:rPr>
          <w:rFonts w:ascii="Book Antiqua" w:hAnsi="Book Antiqua" w:cs="Arial"/>
          <w:b/>
        </w:rPr>
        <w:t>and</w:t>
      </w:r>
    </w:p>
    <w:p w:rsidR="00143E60" w:rsidRDefault="00143E60" w:rsidP="00C142D6">
      <w:pPr>
        <w:jc w:val="center"/>
        <w:rPr>
          <w:rFonts w:ascii="Book Antiqua" w:hAnsi="Book Antiqua" w:cs="Arial"/>
          <w:b/>
        </w:rPr>
      </w:pPr>
    </w:p>
    <w:p w:rsidR="00072F54" w:rsidRDefault="00072F54" w:rsidP="00C142D6">
      <w:pPr>
        <w:jc w:val="center"/>
        <w:rPr>
          <w:rFonts w:ascii="Book Antiqua" w:hAnsi="Book Antiqua" w:cs="Arial"/>
          <w:b/>
        </w:rPr>
      </w:pPr>
      <w:r>
        <w:rPr>
          <w:rFonts w:ascii="Book Antiqua" w:hAnsi="Book Antiqua" w:cs="Arial"/>
          <w:b/>
        </w:rPr>
        <w:t>MR O</w:t>
      </w:r>
      <w:r w:rsidR="001927BB">
        <w:rPr>
          <w:rFonts w:ascii="Book Antiqua" w:hAnsi="Book Antiqua" w:cs="Arial"/>
          <w:b/>
        </w:rPr>
        <w:t xml:space="preserve"> J O</w:t>
      </w:r>
    </w:p>
    <w:p w:rsidR="00C142D6" w:rsidRPr="000B5BF4" w:rsidRDefault="00072F54" w:rsidP="00C142D6">
      <w:pPr>
        <w:jc w:val="center"/>
        <w:rPr>
          <w:rFonts w:ascii="Book Antiqua" w:hAnsi="Book Antiqua" w:cs="Arial"/>
        </w:rPr>
      </w:pPr>
      <w:r w:rsidRPr="000B5BF4">
        <w:rPr>
          <w:rFonts w:ascii="Book Antiqua" w:hAnsi="Book Antiqua" w:cs="Arial"/>
        </w:rPr>
        <w:t>(ANONYMITY ORDER MADE)</w:t>
      </w:r>
    </w:p>
    <w:p w:rsidR="00C142D6" w:rsidRPr="00F97703" w:rsidRDefault="00C142D6" w:rsidP="00C142D6">
      <w:pPr>
        <w:jc w:val="right"/>
        <w:rPr>
          <w:rFonts w:ascii="Book Antiqua" w:hAnsi="Book Antiqua" w:cs="Arial"/>
          <w:u w:val="single"/>
        </w:rPr>
      </w:pPr>
      <w:r w:rsidRPr="00F97703">
        <w:rPr>
          <w:rFonts w:ascii="Book Antiqua" w:hAnsi="Book Antiqua" w:cs="Arial"/>
          <w:u w:val="single"/>
        </w:rPr>
        <w:t>Respondent</w:t>
      </w:r>
    </w:p>
    <w:p w:rsidR="000B5BF4" w:rsidRDefault="000B5BF4" w:rsidP="00C142D6">
      <w:pPr>
        <w:rPr>
          <w:rFonts w:ascii="Book Antiqua" w:hAnsi="Book Antiqua" w:cs="Arial"/>
          <w:b/>
          <w:u w:val="single"/>
        </w:rPr>
      </w:pPr>
    </w:p>
    <w:p w:rsidR="00C142D6" w:rsidRPr="00F97703" w:rsidRDefault="00C142D6" w:rsidP="00C142D6">
      <w:pPr>
        <w:rPr>
          <w:rFonts w:ascii="Book Antiqua" w:hAnsi="Book Antiqua" w:cs="Arial"/>
        </w:rPr>
      </w:pPr>
      <w:r w:rsidRPr="00F97703">
        <w:rPr>
          <w:rFonts w:ascii="Book Antiqua" w:hAnsi="Book Antiqua" w:cs="Arial"/>
          <w:b/>
          <w:u w:val="single"/>
        </w:rPr>
        <w:t>Representation</w:t>
      </w:r>
      <w:r w:rsidRPr="00F97703">
        <w:rPr>
          <w:rFonts w:ascii="Book Antiqua" w:hAnsi="Book Antiqua" w:cs="Arial"/>
          <w:b/>
        </w:rPr>
        <w:t>:</w:t>
      </w:r>
    </w:p>
    <w:p w:rsidR="00C142D6" w:rsidRPr="00F97703" w:rsidRDefault="00C142D6" w:rsidP="00C142D6">
      <w:pPr>
        <w:rPr>
          <w:rFonts w:ascii="Book Antiqua" w:hAnsi="Book Antiqua" w:cs="Arial"/>
        </w:rPr>
      </w:pPr>
    </w:p>
    <w:p w:rsidR="00C142D6" w:rsidRDefault="00C142D6" w:rsidP="00C142D6">
      <w:pPr>
        <w:tabs>
          <w:tab w:val="left" w:pos="2520"/>
        </w:tabs>
        <w:rPr>
          <w:rFonts w:ascii="Book Antiqua" w:hAnsi="Book Antiqua" w:cs="Arial"/>
        </w:rPr>
      </w:pPr>
      <w:r w:rsidRPr="00F97703">
        <w:rPr>
          <w:rFonts w:ascii="Book Antiqua" w:hAnsi="Book Antiqua" w:cs="Arial"/>
        </w:rPr>
        <w:t>For the Appellant:</w:t>
      </w:r>
      <w:r w:rsidRPr="00F97703">
        <w:rPr>
          <w:rFonts w:ascii="Book Antiqua" w:hAnsi="Book Antiqua" w:cs="Arial"/>
        </w:rPr>
        <w:tab/>
      </w:r>
      <w:r w:rsidR="001927BB">
        <w:rPr>
          <w:rFonts w:ascii="Book Antiqua" w:hAnsi="Book Antiqua" w:cs="Arial"/>
        </w:rPr>
        <w:t>Ms. K. Pal, Senior Presenting Office</w:t>
      </w:r>
      <w:r w:rsidR="00143E60">
        <w:rPr>
          <w:rFonts w:ascii="Book Antiqua" w:hAnsi="Book Antiqua" w:cs="Arial"/>
        </w:rPr>
        <w:t>r</w:t>
      </w:r>
    </w:p>
    <w:p w:rsidR="00C142D6" w:rsidRPr="00F97703" w:rsidRDefault="00C142D6" w:rsidP="00C142D6">
      <w:pPr>
        <w:tabs>
          <w:tab w:val="left" w:pos="2520"/>
        </w:tabs>
        <w:rPr>
          <w:rFonts w:ascii="Book Antiqua" w:hAnsi="Book Antiqua" w:cs="Arial"/>
        </w:rPr>
      </w:pPr>
      <w:r w:rsidRPr="00F97703">
        <w:rPr>
          <w:rFonts w:ascii="Book Antiqua" w:hAnsi="Book Antiqua" w:cs="Arial"/>
        </w:rPr>
        <w:t>For the Respondent:</w:t>
      </w:r>
      <w:r w:rsidRPr="00F97703">
        <w:rPr>
          <w:rFonts w:ascii="Book Antiqua" w:hAnsi="Book Antiqua" w:cs="Arial"/>
        </w:rPr>
        <w:tab/>
      </w:r>
      <w:r w:rsidR="001927BB">
        <w:rPr>
          <w:rFonts w:ascii="Book Antiqua" w:hAnsi="Book Antiqua" w:cs="Arial"/>
        </w:rPr>
        <w:t xml:space="preserve">Ms. P. Yong, counsel instructed by </w:t>
      </w:r>
      <w:proofErr w:type="spellStart"/>
      <w:r w:rsidR="001927BB">
        <w:rPr>
          <w:rFonts w:ascii="Book Antiqua" w:hAnsi="Book Antiqua" w:cs="Arial"/>
        </w:rPr>
        <w:t>Bestway</w:t>
      </w:r>
      <w:proofErr w:type="spellEnd"/>
      <w:r w:rsidR="001927BB">
        <w:rPr>
          <w:rFonts w:ascii="Book Antiqua" w:hAnsi="Book Antiqua" w:cs="Arial"/>
        </w:rPr>
        <w:t xml:space="preserve"> solicitors</w:t>
      </w:r>
    </w:p>
    <w:p w:rsidR="00C142D6" w:rsidRDefault="00C142D6" w:rsidP="00C142D6"/>
    <w:p w:rsidR="00C142D6" w:rsidRDefault="00C142D6" w:rsidP="00C142D6">
      <w:r>
        <w:tab/>
      </w:r>
      <w:r>
        <w:tab/>
      </w:r>
      <w:r>
        <w:tab/>
        <w:t>____________________________________________</w:t>
      </w:r>
    </w:p>
    <w:p w:rsidR="00C142D6" w:rsidRDefault="00C142D6" w:rsidP="00C142D6"/>
    <w:p w:rsidR="00C142D6" w:rsidRPr="00726454" w:rsidRDefault="00C142D6" w:rsidP="00C142D6">
      <w:pPr>
        <w:rPr>
          <w:rFonts w:ascii="Book Antiqua" w:hAnsi="Book Antiqua"/>
          <w:b/>
        </w:rPr>
      </w:pPr>
      <w:r>
        <w:tab/>
      </w:r>
      <w:r>
        <w:tab/>
      </w:r>
      <w:r>
        <w:tab/>
        <w:t xml:space="preserve">        </w:t>
      </w:r>
      <w:r w:rsidRPr="00726454">
        <w:rPr>
          <w:rFonts w:ascii="Book Antiqua" w:hAnsi="Book Antiqua"/>
          <w:b/>
        </w:rPr>
        <w:t>DECISION AND REASONS</w:t>
      </w:r>
    </w:p>
    <w:p w:rsidR="00C142D6" w:rsidRDefault="00C142D6" w:rsidP="00C142D6">
      <w:pPr>
        <w:rPr>
          <w:rFonts w:ascii="Book Antiqua" w:hAnsi="Book Antiqua"/>
        </w:rPr>
      </w:pPr>
      <w:r>
        <w:rPr>
          <w:rFonts w:ascii="Book Antiqua" w:hAnsi="Book Antiqua"/>
        </w:rPr>
        <w:tab/>
      </w:r>
      <w:r>
        <w:rPr>
          <w:rFonts w:ascii="Book Antiqua" w:hAnsi="Book Antiqua"/>
        </w:rPr>
        <w:tab/>
      </w:r>
      <w:r>
        <w:rPr>
          <w:rFonts w:ascii="Book Antiqua" w:hAnsi="Book Antiqua"/>
        </w:rPr>
        <w:tab/>
        <w:t>________________________________</w:t>
      </w:r>
    </w:p>
    <w:p w:rsidR="001927BB" w:rsidRDefault="001927BB"/>
    <w:p w:rsidR="00E12845" w:rsidRDefault="001927BB">
      <w:pPr>
        <w:rPr>
          <w:rFonts w:ascii="Book Antiqua" w:hAnsi="Book Antiqua"/>
        </w:rPr>
      </w:pPr>
      <w:r>
        <w:rPr>
          <w:rFonts w:ascii="Book Antiqua" w:hAnsi="Book Antiqua"/>
        </w:rPr>
        <w:t>1. The Respondent</w:t>
      </w:r>
      <w:r w:rsidR="00143E60">
        <w:rPr>
          <w:rFonts w:ascii="Book Antiqua" w:hAnsi="Book Antiqua"/>
        </w:rPr>
        <w:t>, to whom I shall refer as the Claimant,</w:t>
      </w:r>
      <w:r>
        <w:rPr>
          <w:rFonts w:ascii="Book Antiqua" w:hAnsi="Book Antiqua"/>
        </w:rPr>
        <w:t xml:space="preserve"> is a national of Nigeria, born on 8.11.99. </w:t>
      </w:r>
      <w:r w:rsidR="00E12845">
        <w:rPr>
          <w:rFonts w:ascii="Book Antiqua" w:hAnsi="Book Antiqua"/>
        </w:rPr>
        <w:t>He sought entry clearance to join his father in the United Kingdom. In a decision dated 10 February 2017</w:t>
      </w:r>
      <w:r w:rsidR="00143E60">
        <w:rPr>
          <w:rFonts w:ascii="Book Antiqua" w:hAnsi="Book Antiqua"/>
        </w:rPr>
        <w:t>,</w:t>
      </w:r>
      <w:r w:rsidR="00E12845">
        <w:rPr>
          <w:rFonts w:ascii="Book Antiqua" w:hAnsi="Book Antiqua"/>
        </w:rPr>
        <w:t xml:space="preserve"> the Entry Clearance Officer refused this application and an appeal was lodged against this decision on 3</w:t>
      </w:r>
      <w:r w:rsidR="00143E60">
        <w:rPr>
          <w:rFonts w:ascii="Book Antiqua" w:hAnsi="Book Antiqua"/>
        </w:rPr>
        <w:t xml:space="preserve"> March 2017, however, the decision</w:t>
      </w:r>
      <w:r w:rsidR="00E12845">
        <w:rPr>
          <w:rFonts w:ascii="Book Antiqua" w:hAnsi="Book Antiqua"/>
        </w:rPr>
        <w:t xml:space="preserve"> was upheld by the Entry Clearance Manager in a review dated 11 August 2017.</w:t>
      </w:r>
    </w:p>
    <w:p w:rsidR="00E12845" w:rsidRDefault="00E12845">
      <w:pPr>
        <w:rPr>
          <w:rFonts w:ascii="Book Antiqua" w:hAnsi="Book Antiqua"/>
        </w:rPr>
      </w:pPr>
    </w:p>
    <w:p w:rsidR="00E12845" w:rsidRDefault="00E12845">
      <w:pPr>
        <w:rPr>
          <w:rFonts w:ascii="Book Antiqua" w:hAnsi="Book Antiqua"/>
        </w:rPr>
      </w:pPr>
      <w:r>
        <w:rPr>
          <w:rFonts w:ascii="Book Antiqua" w:hAnsi="Book Antiqua"/>
        </w:rPr>
        <w:lastRenderedPageBreak/>
        <w:t xml:space="preserve">2. The appeal came before First </w:t>
      </w:r>
      <w:proofErr w:type="gramStart"/>
      <w:r>
        <w:rPr>
          <w:rFonts w:ascii="Book Antiqua" w:hAnsi="Book Antiqua"/>
        </w:rPr>
        <w:t>tier</w:t>
      </w:r>
      <w:proofErr w:type="gramEnd"/>
      <w:r>
        <w:rPr>
          <w:rFonts w:ascii="Book Antiqua" w:hAnsi="Book Antiqua"/>
        </w:rPr>
        <w:t xml:space="preserve"> Tribunal Judge Shamash for hearing on 8 January 2018. In a decision and reasons promulgated on 15 March 2018, she allowed the appeal on human rights grounds.</w:t>
      </w:r>
    </w:p>
    <w:p w:rsidR="00E12845" w:rsidRDefault="00E12845">
      <w:pPr>
        <w:rPr>
          <w:rFonts w:ascii="Book Antiqua" w:hAnsi="Book Antiqua"/>
        </w:rPr>
      </w:pPr>
    </w:p>
    <w:p w:rsidR="00E12845" w:rsidRDefault="00E12845">
      <w:pPr>
        <w:rPr>
          <w:rFonts w:ascii="Book Antiqua" w:hAnsi="Book Antiqua"/>
        </w:rPr>
      </w:pPr>
      <w:r>
        <w:rPr>
          <w:rFonts w:ascii="Book Antiqua" w:hAnsi="Book Antiqua"/>
        </w:rPr>
        <w:t>3. The Entry Clearance Officer sought permission to appeal to the Upper Tribunal, in time, on the basis that the Judge failed to reason why at [26] she found the case to be “rare” and “exceptional” and why she found the extent of neglect and emotional abuse inflicted on the Appellant by his biolog</w:t>
      </w:r>
      <w:r w:rsidR="00386024">
        <w:rPr>
          <w:rFonts w:ascii="Book Antiqua" w:hAnsi="Book Antiqua"/>
        </w:rPr>
        <w:t>ical mother to be severe and that the</w:t>
      </w:r>
      <w:r>
        <w:rPr>
          <w:rFonts w:ascii="Book Antiqua" w:hAnsi="Book Antiqua"/>
        </w:rPr>
        <w:t xml:space="preserve"> decision does not reason how the Respondent’s father continues to have continuing control and direction over his life.</w:t>
      </w:r>
    </w:p>
    <w:p w:rsidR="00E12845" w:rsidRDefault="00E12845">
      <w:pPr>
        <w:rPr>
          <w:rFonts w:ascii="Book Antiqua" w:hAnsi="Book Antiqua"/>
        </w:rPr>
      </w:pPr>
    </w:p>
    <w:p w:rsidR="001927BB" w:rsidRDefault="00E12845">
      <w:pPr>
        <w:rPr>
          <w:rFonts w:ascii="Book Antiqua" w:hAnsi="Book Antiqua"/>
        </w:rPr>
      </w:pPr>
      <w:r>
        <w:rPr>
          <w:rFonts w:ascii="Book Antiqua" w:hAnsi="Book Antiqua"/>
        </w:rPr>
        <w:t xml:space="preserve">4. Permission to appeal was granted by </w:t>
      </w:r>
      <w:r w:rsidR="00591574">
        <w:rPr>
          <w:rFonts w:ascii="Book Antiqua" w:hAnsi="Book Antiqua"/>
        </w:rPr>
        <w:t>Judge of the First tier Tribunal Murray in a decision dated 3 May 2018</w:t>
      </w:r>
      <w:r w:rsidR="00386024">
        <w:rPr>
          <w:rFonts w:ascii="Book Antiqua" w:hAnsi="Book Antiqua"/>
        </w:rPr>
        <w:t>,</w:t>
      </w:r>
      <w:r w:rsidR="00591574">
        <w:rPr>
          <w:rFonts w:ascii="Book Antiqua" w:hAnsi="Book Antiqua"/>
        </w:rPr>
        <w:t xml:space="preserve"> on the basis that the First-tier Tribunal arguably failed to give adequate reasons why the </w:t>
      </w:r>
      <w:r w:rsidR="00143E60">
        <w:rPr>
          <w:rFonts w:ascii="Book Antiqua" w:hAnsi="Book Antiqua"/>
        </w:rPr>
        <w:t>Claima</w:t>
      </w:r>
      <w:r w:rsidR="00591574">
        <w:rPr>
          <w:rFonts w:ascii="Book Antiqua" w:hAnsi="Book Antiqua"/>
        </w:rPr>
        <w:t xml:space="preserve">nt’s mother is found to have abdicated responsibility for him and fails to adequately reason why she is found to have inflicted severe emotional abuse on him in the light of apparently contradictory information provided by the sponsor recorded at </w:t>
      </w:r>
      <w:r w:rsidR="00143E60">
        <w:rPr>
          <w:rFonts w:ascii="Book Antiqua" w:hAnsi="Book Antiqua"/>
        </w:rPr>
        <w:t>[</w:t>
      </w:r>
      <w:r w:rsidR="00591574">
        <w:rPr>
          <w:rFonts w:ascii="Book Antiqua" w:hAnsi="Book Antiqua"/>
        </w:rPr>
        <w:t>3</w:t>
      </w:r>
      <w:r w:rsidR="00143E60">
        <w:rPr>
          <w:rFonts w:ascii="Book Antiqua" w:hAnsi="Book Antiqua"/>
        </w:rPr>
        <w:t>]</w:t>
      </w:r>
      <w:r w:rsidR="00591574">
        <w:rPr>
          <w:rFonts w:ascii="Book Antiqua" w:hAnsi="Book Antiqua"/>
        </w:rPr>
        <w:t xml:space="preserve"> of the decision and evidence that the appellant continues to live with his mother during holidays at </w:t>
      </w:r>
      <w:r w:rsidR="00143E60">
        <w:rPr>
          <w:rFonts w:ascii="Book Antiqua" w:hAnsi="Book Antiqua"/>
        </w:rPr>
        <w:t>[</w:t>
      </w:r>
      <w:r w:rsidR="00591574">
        <w:rPr>
          <w:rFonts w:ascii="Book Antiqua" w:hAnsi="Book Antiqua"/>
        </w:rPr>
        <w:t>19</w:t>
      </w:r>
      <w:r w:rsidR="00143E60">
        <w:rPr>
          <w:rFonts w:ascii="Book Antiqua" w:hAnsi="Book Antiqua"/>
        </w:rPr>
        <w:t>]</w:t>
      </w:r>
      <w:r w:rsidR="00591574">
        <w:rPr>
          <w:rFonts w:ascii="Book Antiqua" w:hAnsi="Book Antiqua"/>
        </w:rPr>
        <w:t xml:space="preserve"> of the decision.</w:t>
      </w:r>
    </w:p>
    <w:p w:rsidR="001927BB" w:rsidRDefault="001927BB">
      <w:pPr>
        <w:rPr>
          <w:rFonts w:ascii="Book Antiqua" w:hAnsi="Book Antiqua"/>
        </w:rPr>
      </w:pPr>
    </w:p>
    <w:p w:rsidR="001927BB" w:rsidRDefault="001927BB">
      <w:pPr>
        <w:rPr>
          <w:rFonts w:ascii="Book Antiqua" w:hAnsi="Book Antiqua"/>
          <w:i/>
        </w:rPr>
      </w:pPr>
      <w:r>
        <w:rPr>
          <w:rFonts w:ascii="Book Antiqua" w:hAnsi="Book Antiqua"/>
          <w:i/>
        </w:rPr>
        <w:t xml:space="preserve">Hearing </w:t>
      </w:r>
    </w:p>
    <w:p w:rsidR="001927BB" w:rsidRPr="001927BB" w:rsidRDefault="001927BB">
      <w:pPr>
        <w:rPr>
          <w:rFonts w:ascii="Book Antiqua" w:hAnsi="Book Antiqua"/>
          <w:i/>
        </w:rPr>
      </w:pPr>
    </w:p>
    <w:p w:rsidR="001927BB" w:rsidRDefault="00591574" w:rsidP="001927BB">
      <w:pPr>
        <w:rPr>
          <w:rFonts w:ascii="Book Antiqua" w:hAnsi="Book Antiqua"/>
        </w:rPr>
      </w:pPr>
      <w:r>
        <w:rPr>
          <w:rFonts w:ascii="Book Antiqua" w:hAnsi="Book Antiqua"/>
        </w:rPr>
        <w:t xml:space="preserve">5. At the hearing before me, </w:t>
      </w:r>
      <w:proofErr w:type="spellStart"/>
      <w:r w:rsidR="001927BB">
        <w:rPr>
          <w:rFonts w:ascii="Book Antiqua" w:hAnsi="Book Antiqua"/>
        </w:rPr>
        <w:t>Ms</w:t>
      </w:r>
      <w:proofErr w:type="spellEnd"/>
      <w:r w:rsidR="001927BB">
        <w:rPr>
          <w:rFonts w:ascii="Book Antiqua" w:hAnsi="Book Antiqua"/>
        </w:rPr>
        <w:t xml:space="preserve"> Pal</w:t>
      </w:r>
      <w:r>
        <w:rPr>
          <w:rFonts w:ascii="Book Antiqua" w:hAnsi="Book Antiqua"/>
        </w:rPr>
        <w:t xml:space="preserve"> submitted that the appeal turned on the </w:t>
      </w:r>
    </w:p>
    <w:p w:rsidR="00591574" w:rsidRDefault="00591574" w:rsidP="001927BB">
      <w:pPr>
        <w:rPr>
          <w:rFonts w:ascii="Book Antiqua" w:hAnsi="Book Antiqua"/>
        </w:rPr>
      </w:pPr>
      <w:r>
        <w:rPr>
          <w:rFonts w:ascii="Book Antiqua" w:hAnsi="Book Antiqua"/>
        </w:rPr>
        <w:t>e</w:t>
      </w:r>
      <w:r w:rsidR="001927BB">
        <w:rPr>
          <w:rFonts w:ascii="Book Antiqua" w:hAnsi="Book Antiqua"/>
        </w:rPr>
        <w:t xml:space="preserve">xtent of </w:t>
      </w:r>
      <w:r>
        <w:rPr>
          <w:rFonts w:ascii="Book Antiqua" w:hAnsi="Book Antiqua"/>
        </w:rPr>
        <w:t xml:space="preserve">the relationship between the </w:t>
      </w:r>
      <w:r w:rsidR="00143E60">
        <w:rPr>
          <w:rFonts w:ascii="Book Antiqua" w:hAnsi="Book Antiqua"/>
        </w:rPr>
        <w:t>Claima</w:t>
      </w:r>
      <w:r>
        <w:rPr>
          <w:rFonts w:ascii="Book Antiqua" w:hAnsi="Book Antiqua"/>
        </w:rPr>
        <w:t xml:space="preserve">nt and his mother and that the Entry Clearance Officer </w:t>
      </w:r>
      <w:r w:rsidR="001927BB">
        <w:rPr>
          <w:rFonts w:ascii="Book Antiqua" w:hAnsi="Book Antiqua"/>
        </w:rPr>
        <w:t xml:space="preserve">contends </w:t>
      </w:r>
      <w:r>
        <w:rPr>
          <w:rFonts w:ascii="Book Antiqua" w:hAnsi="Book Antiqua"/>
        </w:rPr>
        <w:t xml:space="preserve">that </w:t>
      </w:r>
      <w:r w:rsidR="001927BB">
        <w:rPr>
          <w:rFonts w:ascii="Book Antiqua" w:hAnsi="Book Antiqua"/>
        </w:rPr>
        <w:t>the background</w:t>
      </w:r>
      <w:r>
        <w:rPr>
          <w:rFonts w:ascii="Book Antiqua" w:hAnsi="Book Antiqua"/>
        </w:rPr>
        <w:t xml:space="preserve"> is set out</w:t>
      </w:r>
      <w:r w:rsidR="001927BB">
        <w:rPr>
          <w:rFonts w:ascii="Book Antiqua" w:hAnsi="Book Antiqua"/>
        </w:rPr>
        <w:t xml:space="preserve"> at [3] which refers to </w:t>
      </w:r>
      <w:r>
        <w:rPr>
          <w:rFonts w:ascii="Book Antiqua" w:hAnsi="Book Antiqua"/>
        </w:rPr>
        <w:t xml:space="preserve">the </w:t>
      </w:r>
      <w:r w:rsidR="001927BB">
        <w:rPr>
          <w:rFonts w:ascii="Book Antiqua" w:hAnsi="Book Antiqua"/>
        </w:rPr>
        <w:t>telephone interview</w:t>
      </w:r>
      <w:r>
        <w:rPr>
          <w:rFonts w:ascii="Book Antiqua" w:hAnsi="Book Antiqua"/>
        </w:rPr>
        <w:t xml:space="preserve"> with the Sponsor</w:t>
      </w:r>
      <w:r w:rsidR="001927BB">
        <w:rPr>
          <w:rFonts w:ascii="Book Antiqua" w:hAnsi="Book Antiqua"/>
        </w:rPr>
        <w:t>.</w:t>
      </w:r>
      <w:r>
        <w:rPr>
          <w:rFonts w:ascii="Book Antiqua" w:hAnsi="Book Antiqua"/>
        </w:rPr>
        <w:t xml:space="preserve"> At [19] of the decision, the</w:t>
      </w:r>
      <w:r w:rsidR="001927BB">
        <w:rPr>
          <w:rFonts w:ascii="Book Antiqua" w:hAnsi="Book Antiqua"/>
        </w:rPr>
        <w:t xml:space="preserve"> evidence </w:t>
      </w:r>
      <w:r>
        <w:rPr>
          <w:rFonts w:ascii="Book Antiqua" w:hAnsi="Book Antiqua"/>
        </w:rPr>
        <w:t xml:space="preserve">recorded confirms that the </w:t>
      </w:r>
      <w:r w:rsidR="00143E60">
        <w:rPr>
          <w:rFonts w:ascii="Book Antiqua" w:hAnsi="Book Antiqua"/>
        </w:rPr>
        <w:t>Claima</w:t>
      </w:r>
      <w:r>
        <w:rPr>
          <w:rFonts w:ascii="Book Antiqua" w:hAnsi="Book Antiqua"/>
        </w:rPr>
        <w:t>nt</w:t>
      </w:r>
      <w:r w:rsidR="001927BB">
        <w:rPr>
          <w:rFonts w:ascii="Book Antiqua" w:hAnsi="Book Antiqua"/>
        </w:rPr>
        <w:t xml:space="preserve"> returns to his family home when not at Uni</w:t>
      </w:r>
      <w:r>
        <w:rPr>
          <w:rFonts w:ascii="Book Antiqua" w:hAnsi="Book Antiqua"/>
        </w:rPr>
        <w:t xml:space="preserve">versity and it was also recorded </w:t>
      </w:r>
      <w:r w:rsidR="001927BB">
        <w:rPr>
          <w:rFonts w:ascii="Book Antiqua" w:hAnsi="Book Antiqua"/>
        </w:rPr>
        <w:t>that the Sponsor main</w:t>
      </w:r>
      <w:r>
        <w:rPr>
          <w:rFonts w:ascii="Book Antiqua" w:hAnsi="Book Antiqua"/>
        </w:rPr>
        <w:t xml:space="preserve">tained a relationship with the </w:t>
      </w:r>
      <w:r w:rsidR="00143E60">
        <w:rPr>
          <w:rFonts w:ascii="Book Antiqua" w:hAnsi="Book Antiqua"/>
        </w:rPr>
        <w:t>Claima</w:t>
      </w:r>
      <w:r>
        <w:rPr>
          <w:rFonts w:ascii="Book Antiqua" w:hAnsi="Book Antiqua"/>
        </w:rPr>
        <w:t>nt</w:t>
      </w:r>
      <w:r w:rsidR="001927BB">
        <w:rPr>
          <w:rFonts w:ascii="Book Antiqua" w:hAnsi="Book Antiqua"/>
        </w:rPr>
        <w:t>’s mother and it was the intention of the family to join him in the U</w:t>
      </w:r>
      <w:r>
        <w:rPr>
          <w:rFonts w:ascii="Book Antiqua" w:hAnsi="Book Antiqua"/>
        </w:rPr>
        <w:t xml:space="preserve">nited </w:t>
      </w:r>
      <w:r w:rsidR="001927BB">
        <w:rPr>
          <w:rFonts w:ascii="Book Antiqua" w:hAnsi="Book Antiqua"/>
        </w:rPr>
        <w:t>K</w:t>
      </w:r>
      <w:r>
        <w:rPr>
          <w:rFonts w:ascii="Book Antiqua" w:hAnsi="Book Antiqua"/>
        </w:rPr>
        <w:t>ingdom</w:t>
      </w:r>
      <w:r w:rsidR="001927BB">
        <w:rPr>
          <w:rFonts w:ascii="Book Antiqua" w:hAnsi="Book Antiqua"/>
        </w:rPr>
        <w:t xml:space="preserve">. </w:t>
      </w:r>
    </w:p>
    <w:p w:rsidR="00591574" w:rsidRDefault="00591574" w:rsidP="001927BB">
      <w:pPr>
        <w:rPr>
          <w:rFonts w:ascii="Book Antiqua" w:hAnsi="Book Antiqua"/>
        </w:rPr>
      </w:pPr>
    </w:p>
    <w:p w:rsidR="00386024" w:rsidRDefault="00591574" w:rsidP="001927BB">
      <w:pPr>
        <w:rPr>
          <w:rFonts w:ascii="Book Antiqua" w:hAnsi="Book Antiqua"/>
        </w:rPr>
      </w:pPr>
      <w:r>
        <w:rPr>
          <w:rFonts w:ascii="Book Antiqua" w:hAnsi="Book Antiqua"/>
        </w:rPr>
        <w:t>6. She submitted that t</w:t>
      </w:r>
      <w:r w:rsidR="001927BB">
        <w:rPr>
          <w:rFonts w:ascii="Book Antiqua" w:hAnsi="Book Antiqua"/>
        </w:rPr>
        <w:t xml:space="preserve">he grounds essentially argue </w:t>
      </w:r>
      <w:proofErr w:type="gramStart"/>
      <w:r w:rsidR="001927BB">
        <w:rPr>
          <w:rFonts w:ascii="Book Antiqua" w:hAnsi="Book Antiqua"/>
        </w:rPr>
        <w:t>on the basis of</w:t>
      </w:r>
      <w:proofErr w:type="gramEnd"/>
      <w:r w:rsidR="001927BB">
        <w:rPr>
          <w:rFonts w:ascii="Book Antiqua" w:hAnsi="Book Antiqua"/>
        </w:rPr>
        <w:t xml:space="preserve"> the evidence that the UK sponsor did not ha</w:t>
      </w:r>
      <w:r>
        <w:rPr>
          <w:rFonts w:ascii="Book Antiqua" w:hAnsi="Book Antiqua"/>
        </w:rPr>
        <w:t xml:space="preserve">ve sole responsibility for the </w:t>
      </w:r>
      <w:r w:rsidR="00143E60">
        <w:rPr>
          <w:rFonts w:ascii="Book Antiqua" w:hAnsi="Book Antiqua"/>
        </w:rPr>
        <w:t>Claima</w:t>
      </w:r>
      <w:r>
        <w:rPr>
          <w:rFonts w:ascii="Book Antiqua" w:hAnsi="Book Antiqua"/>
        </w:rPr>
        <w:t>nt. The g</w:t>
      </w:r>
      <w:r w:rsidR="001927BB">
        <w:rPr>
          <w:rFonts w:ascii="Book Antiqua" w:hAnsi="Book Antiqua"/>
        </w:rPr>
        <w:t>rounds</w:t>
      </w:r>
      <w:r>
        <w:rPr>
          <w:rFonts w:ascii="Book Antiqua" w:hAnsi="Book Antiqua"/>
        </w:rPr>
        <w:t xml:space="preserve"> of appeal also state that the decision and reasons does not provide </w:t>
      </w:r>
      <w:r w:rsidR="001927BB">
        <w:rPr>
          <w:rFonts w:ascii="Book Antiqua" w:hAnsi="Book Antiqua"/>
        </w:rPr>
        <w:t>adequate reasons for how the</w:t>
      </w:r>
      <w:r>
        <w:rPr>
          <w:rFonts w:ascii="Book Antiqua" w:hAnsi="Book Antiqua"/>
        </w:rPr>
        <w:t xml:space="preserve"> </w:t>
      </w:r>
      <w:r w:rsidR="0078203D">
        <w:rPr>
          <w:rFonts w:ascii="Book Antiqua" w:hAnsi="Book Antiqua"/>
        </w:rPr>
        <w:t>Claima</w:t>
      </w:r>
      <w:r>
        <w:rPr>
          <w:rFonts w:ascii="Book Antiqua" w:hAnsi="Book Antiqua"/>
        </w:rPr>
        <w:t>nt</w:t>
      </w:r>
      <w:r w:rsidR="001927BB">
        <w:rPr>
          <w:rFonts w:ascii="Book Antiqua" w:hAnsi="Book Antiqua"/>
        </w:rPr>
        <w:t>’s father continues to have contin</w:t>
      </w:r>
      <w:r>
        <w:rPr>
          <w:rFonts w:ascii="Book Antiqua" w:hAnsi="Book Antiqua"/>
        </w:rPr>
        <w:t xml:space="preserve">uing care and control over the </w:t>
      </w:r>
      <w:r w:rsidR="0078203D">
        <w:rPr>
          <w:rFonts w:ascii="Book Antiqua" w:hAnsi="Book Antiqua"/>
        </w:rPr>
        <w:t>Claima</w:t>
      </w:r>
      <w:r>
        <w:rPr>
          <w:rFonts w:ascii="Book Antiqua" w:hAnsi="Book Antiqua"/>
        </w:rPr>
        <w:t>nt</w:t>
      </w:r>
      <w:r w:rsidR="001927BB">
        <w:rPr>
          <w:rFonts w:ascii="Book Antiqua" w:hAnsi="Book Antiqua"/>
        </w:rPr>
        <w:t xml:space="preserve">’s life since </w:t>
      </w:r>
      <w:r>
        <w:rPr>
          <w:rFonts w:ascii="Book Antiqua" w:hAnsi="Book Antiqua"/>
        </w:rPr>
        <w:t>t</w:t>
      </w:r>
      <w:r w:rsidR="001927BB">
        <w:rPr>
          <w:rFonts w:ascii="Book Antiqua" w:hAnsi="Book Antiqua"/>
        </w:rPr>
        <w:t>he</w:t>
      </w:r>
      <w:r>
        <w:rPr>
          <w:rFonts w:ascii="Book Antiqua" w:hAnsi="Book Antiqua"/>
        </w:rPr>
        <w:t xml:space="preserve"> Sponsor</w:t>
      </w:r>
      <w:r w:rsidR="001927BB">
        <w:rPr>
          <w:rFonts w:ascii="Book Antiqua" w:hAnsi="Book Antiqua"/>
        </w:rPr>
        <w:t xml:space="preserve"> has been in t</w:t>
      </w:r>
      <w:r>
        <w:rPr>
          <w:rFonts w:ascii="Book Antiqua" w:hAnsi="Book Antiqua"/>
        </w:rPr>
        <w:t xml:space="preserve">he UK. Whilst the Judge accepts </w:t>
      </w:r>
      <w:r w:rsidR="001927BB">
        <w:rPr>
          <w:rFonts w:ascii="Book Antiqua" w:hAnsi="Book Antiqua"/>
        </w:rPr>
        <w:t xml:space="preserve">that the relationship between mother and </w:t>
      </w:r>
      <w:r>
        <w:rPr>
          <w:rFonts w:ascii="Book Antiqua" w:hAnsi="Book Antiqua"/>
        </w:rPr>
        <w:t>son is not particularly good,</w:t>
      </w:r>
      <w:r w:rsidR="001927BB">
        <w:rPr>
          <w:rFonts w:ascii="Book Antiqua" w:hAnsi="Book Antiqua"/>
        </w:rPr>
        <w:t xml:space="preserve"> what she sho</w:t>
      </w:r>
      <w:r>
        <w:rPr>
          <w:rFonts w:ascii="Book Antiqua" w:hAnsi="Book Antiqua"/>
        </w:rPr>
        <w:t>uld have considered is whether the S</w:t>
      </w:r>
      <w:r w:rsidR="001927BB">
        <w:rPr>
          <w:rFonts w:ascii="Book Antiqua" w:hAnsi="Book Antiqua"/>
        </w:rPr>
        <w:t>ponsor has continui</w:t>
      </w:r>
      <w:r>
        <w:rPr>
          <w:rFonts w:ascii="Book Antiqua" w:hAnsi="Book Antiqua"/>
        </w:rPr>
        <w:t>ng control over his son’s life, including</w:t>
      </w:r>
      <w:r w:rsidR="001927BB">
        <w:rPr>
          <w:rFonts w:ascii="Book Antiqua" w:hAnsi="Book Antiqua"/>
        </w:rPr>
        <w:t xml:space="preserve"> </w:t>
      </w:r>
      <w:r>
        <w:rPr>
          <w:rFonts w:ascii="Book Antiqua" w:hAnsi="Book Antiqua"/>
        </w:rPr>
        <w:t xml:space="preserve">guiding him as to his education and </w:t>
      </w:r>
      <w:r w:rsidR="001927BB">
        <w:rPr>
          <w:rFonts w:ascii="Book Antiqua" w:hAnsi="Book Antiqua"/>
        </w:rPr>
        <w:t>the Judge had to consider whether the Sponsor indeed ha</w:t>
      </w:r>
      <w:r>
        <w:rPr>
          <w:rFonts w:ascii="Book Antiqua" w:hAnsi="Book Antiqua"/>
        </w:rPr>
        <w:t>d sole responsibility, given that</w:t>
      </w:r>
      <w:r w:rsidR="001927BB">
        <w:rPr>
          <w:rFonts w:ascii="Book Antiqua" w:hAnsi="Book Antiqua"/>
        </w:rPr>
        <w:t xml:space="preserve"> on the face of the evi</w:t>
      </w:r>
      <w:r>
        <w:rPr>
          <w:rFonts w:ascii="Book Antiqua" w:hAnsi="Book Antiqua"/>
        </w:rPr>
        <w:t>dence it did not appear that he di</w:t>
      </w:r>
      <w:r w:rsidR="0078203D">
        <w:rPr>
          <w:rFonts w:ascii="Book Antiqua" w:hAnsi="Book Antiqua"/>
        </w:rPr>
        <w:t>d, given that the Claima</w:t>
      </w:r>
      <w:r>
        <w:rPr>
          <w:rFonts w:ascii="Book Antiqua" w:hAnsi="Book Antiqua"/>
        </w:rPr>
        <w:t>nt</w:t>
      </w:r>
      <w:r w:rsidR="001927BB">
        <w:rPr>
          <w:rFonts w:ascii="Book Antiqua" w:hAnsi="Book Antiqua"/>
        </w:rPr>
        <w:t xml:space="preserve"> still came home at holiday time and sp</w:t>
      </w:r>
      <w:r>
        <w:rPr>
          <w:rFonts w:ascii="Book Antiqua" w:hAnsi="Book Antiqua"/>
        </w:rPr>
        <w:t xml:space="preserve">ent time in the family home. The </w:t>
      </w:r>
      <w:r w:rsidR="0078203D">
        <w:rPr>
          <w:rFonts w:ascii="Book Antiqua" w:hAnsi="Book Antiqua"/>
        </w:rPr>
        <w:t>Claima</w:t>
      </w:r>
      <w:r>
        <w:rPr>
          <w:rFonts w:ascii="Book Antiqua" w:hAnsi="Book Antiqua"/>
        </w:rPr>
        <w:t>nt’s mother</w:t>
      </w:r>
      <w:r w:rsidR="001927BB">
        <w:rPr>
          <w:rFonts w:ascii="Book Antiqua" w:hAnsi="Book Antiqua"/>
        </w:rPr>
        <w:t xml:space="preserve"> still allowed him to come into the home and stay there and there was familial contact between mother and child. </w:t>
      </w:r>
    </w:p>
    <w:p w:rsidR="00591574" w:rsidRDefault="00591574" w:rsidP="001927BB">
      <w:pPr>
        <w:rPr>
          <w:rFonts w:ascii="Book Antiqua" w:hAnsi="Book Antiqua"/>
        </w:rPr>
      </w:pPr>
    </w:p>
    <w:p w:rsidR="001927BB" w:rsidRDefault="00591574" w:rsidP="001927BB">
      <w:pPr>
        <w:rPr>
          <w:rFonts w:ascii="Book Antiqua" w:hAnsi="Book Antiqua"/>
        </w:rPr>
      </w:pPr>
      <w:r>
        <w:rPr>
          <w:rFonts w:ascii="Book Antiqua" w:hAnsi="Book Antiqua"/>
        </w:rPr>
        <w:lastRenderedPageBreak/>
        <w:t xml:space="preserve">7. </w:t>
      </w:r>
      <w:proofErr w:type="spellStart"/>
      <w:r>
        <w:rPr>
          <w:rFonts w:ascii="Book Antiqua" w:hAnsi="Book Antiqua"/>
        </w:rPr>
        <w:t>Ms</w:t>
      </w:r>
      <w:proofErr w:type="spellEnd"/>
      <w:r>
        <w:rPr>
          <w:rFonts w:ascii="Book Antiqua" w:hAnsi="Book Antiqua"/>
        </w:rPr>
        <w:t xml:space="preserve"> Pal drew attention to </w:t>
      </w:r>
      <w:r w:rsidR="001927BB">
        <w:rPr>
          <w:rFonts w:ascii="Book Antiqua" w:hAnsi="Book Antiqua"/>
        </w:rPr>
        <w:t xml:space="preserve">[26] </w:t>
      </w:r>
      <w:r>
        <w:rPr>
          <w:rFonts w:ascii="Book Antiqua" w:hAnsi="Book Antiqua"/>
        </w:rPr>
        <w:t xml:space="preserve">and the finding that, even though the </w:t>
      </w:r>
      <w:r w:rsidR="0078203D">
        <w:rPr>
          <w:rFonts w:ascii="Book Antiqua" w:hAnsi="Book Antiqua"/>
        </w:rPr>
        <w:t>Claima</w:t>
      </w:r>
      <w:r>
        <w:rPr>
          <w:rFonts w:ascii="Book Antiqua" w:hAnsi="Book Antiqua"/>
        </w:rPr>
        <w:t>nt</w:t>
      </w:r>
      <w:r w:rsidR="001927BB">
        <w:rPr>
          <w:rFonts w:ascii="Book Antiqua" w:hAnsi="Book Antiqua"/>
        </w:rPr>
        <w:t>’s father had been physically absent</w:t>
      </w:r>
      <w:r>
        <w:rPr>
          <w:rFonts w:ascii="Book Antiqua" w:hAnsi="Book Antiqua"/>
        </w:rPr>
        <w:t>,</w:t>
      </w:r>
      <w:r w:rsidR="001927BB">
        <w:rPr>
          <w:rFonts w:ascii="Book Antiqua" w:hAnsi="Book Antiqua"/>
        </w:rPr>
        <w:t xml:space="preserve"> he took decision</w:t>
      </w:r>
      <w:r>
        <w:rPr>
          <w:rFonts w:ascii="Book Antiqua" w:hAnsi="Book Antiqua"/>
        </w:rPr>
        <w:t>s and had sole responsibility, however, there was</w:t>
      </w:r>
      <w:r w:rsidR="001927BB">
        <w:rPr>
          <w:rFonts w:ascii="Book Antiqua" w:hAnsi="Book Antiqua"/>
        </w:rPr>
        <w:t xml:space="preserve"> no basis for that finding at [22] onwards. </w:t>
      </w:r>
      <w:r>
        <w:rPr>
          <w:rFonts w:ascii="Book Antiqua" w:hAnsi="Book Antiqua"/>
        </w:rPr>
        <w:t>Whilst there is reference to e</w:t>
      </w:r>
      <w:r w:rsidR="001927BB">
        <w:rPr>
          <w:rFonts w:ascii="Book Antiqua" w:hAnsi="Book Antiqua"/>
        </w:rPr>
        <w:t xml:space="preserve">vidence of visits </w:t>
      </w:r>
      <w:r>
        <w:rPr>
          <w:rFonts w:ascii="Book Antiqua" w:hAnsi="Book Antiqua"/>
        </w:rPr>
        <w:t xml:space="preserve">at [26] </w:t>
      </w:r>
      <w:r w:rsidR="001927BB">
        <w:rPr>
          <w:rFonts w:ascii="Book Antiqua" w:hAnsi="Book Antiqua"/>
        </w:rPr>
        <w:t>this is not evidence of sole res</w:t>
      </w:r>
      <w:r>
        <w:rPr>
          <w:rFonts w:ascii="Book Antiqua" w:hAnsi="Book Antiqua"/>
        </w:rPr>
        <w:t>ponsibility. It was the Entry Clearance Officer’s position</w:t>
      </w:r>
      <w:r w:rsidR="001927BB">
        <w:rPr>
          <w:rFonts w:ascii="Book Antiqua" w:hAnsi="Book Antiqua"/>
        </w:rPr>
        <w:t xml:space="preserve"> that there was joint rather than sole responsibility.</w:t>
      </w:r>
    </w:p>
    <w:p w:rsidR="001927BB" w:rsidRDefault="001927BB" w:rsidP="001927BB">
      <w:pPr>
        <w:rPr>
          <w:rFonts w:ascii="Book Antiqua" w:hAnsi="Book Antiqua"/>
        </w:rPr>
      </w:pPr>
    </w:p>
    <w:p w:rsidR="001927BB" w:rsidRDefault="00591574" w:rsidP="001927BB">
      <w:pPr>
        <w:rPr>
          <w:rFonts w:ascii="Book Antiqua" w:hAnsi="Book Antiqua"/>
        </w:rPr>
      </w:pPr>
      <w:r>
        <w:rPr>
          <w:rFonts w:ascii="Book Antiqua" w:hAnsi="Book Antiqua"/>
        </w:rPr>
        <w:t xml:space="preserve">8. In her submissions, </w:t>
      </w:r>
      <w:proofErr w:type="spellStart"/>
      <w:r w:rsidR="001927BB">
        <w:rPr>
          <w:rFonts w:ascii="Book Antiqua" w:hAnsi="Book Antiqua"/>
        </w:rPr>
        <w:t>Ms</w:t>
      </w:r>
      <w:proofErr w:type="spellEnd"/>
      <w:r w:rsidR="001927BB">
        <w:rPr>
          <w:rFonts w:ascii="Book Antiqua" w:hAnsi="Book Antiqua"/>
        </w:rPr>
        <w:t xml:space="preserve"> Yong</w:t>
      </w:r>
      <w:r w:rsidR="005A6274">
        <w:rPr>
          <w:rFonts w:ascii="Book Antiqua" w:hAnsi="Book Antiqua"/>
        </w:rPr>
        <w:t xml:space="preserve"> submitted that the </w:t>
      </w:r>
      <w:r w:rsidR="001927BB">
        <w:rPr>
          <w:rFonts w:ascii="Book Antiqua" w:hAnsi="Book Antiqua"/>
        </w:rPr>
        <w:t>Judge has made very clear findings of f</w:t>
      </w:r>
      <w:r w:rsidR="005A6274">
        <w:rPr>
          <w:rFonts w:ascii="Book Antiqua" w:hAnsi="Book Antiqua"/>
        </w:rPr>
        <w:t>act in relation to this appeal. Whilst the</w:t>
      </w:r>
      <w:r w:rsidR="001927BB">
        <w:rPr>
          <w:rFonts w:ascii="Book Antiqua" w:hAnsi="Book Antiqua"/>
        </w:rPr>
        <w:t xml:space="preserve"> child</w:t>
      </w:r>
      <w:r w:rsidR="005A6274">
        <w:rPr>
          <w:rFonts w:ascii="Book Antiqua" w:hAnsi="Book Antiqua"/>
        </w:rPr>
        <w:t xml:space="preserve"> goes back during the holidays, the fact that there is</w:t>
      </w:r>
      <w:r w:rsidR="001927BB">
        <w:rPr>
          <w:rFonts w:ascii="Book Antiqua" w:hAnsi="Book Antiqua"/>
        </w:rPr>
        <w:t xml:space="preserve"> contact during school holidays does not amount to the mother taking responsibility for him. </w:t>
      </w:r>
      <w:r w:rsidR="005A6274">
        <w:rPr>
          <w:rFonts w:ascii="Book Antiqua" w:hAnsi="Book Antiqua"/>
        </w:rPr>
        <w:t>The c</w:t>
      </w:r>
      <w:r w:rsidR="001927BB">
        <w:rPr>
          <w:rFonts w:ascii="Book Antiqua" w:hAnsi="Book Antiqua"/>
        </w:rPr>
        <w:t xml:space="preserve">hild dreads the holidays and the Judge made </w:t>
      </w:r>
      <w:r w:rsidR="005A6274">
        <w:rPr>
          <w:rFonts w:ascii="Book Antiqua" w:hAnsi="Book Antiqua"/>
        </w:rPr>
        <w:t>a finding of fact on this at</w:t>
      </w:r>
      <w:r w:rsidR="001927BB">
        <w:rPr>
          <w:rFonts w:ascii="Book Antiqua" w:hAnsi="Book Antiqua"/>
        </w:rPr>
        <w:t xml:space="preserve"> [26]. Control and direction by the Sponsor is ongoing and continuing. </w:t>
      </w:r>
      <w:r w:rsidR="005A6274">
        <w:rPr>
          <w:rFonts w:ascii="Book Antiqua" w:hAnsi="Book Antiqua"/>
        </w:rPr>
        <w:t>This is n</w:t>
      </w:r>
      <w:r w:rsidR="001927BB">
        <w:rPr>
          <w:rFonts w:ascii="Book Antiqua" w:hAnsi="Book Antiqua"/>
        </w:rPr>
        <w:t>ot a</w:t>
      </w:r>
      <w:r w:rsidR="005A6274">
        <w:rPr>
          <w:rFonts w:ascii="Book Antiqua" w:hAnsi="Book Antiqua"/>
        </w:rPr>
        <w:t xml:space="preserve"> situation of joint responsibility see</w:t>
      </w:r>
      <w:r w:rsidR="001927BB">
        <w:rPr>
          <w:rFonts w:ascii="Book Antiqua" w:hAnsi="Book Antiqua"/>
        </w:rPr>
        <w:t xml:space="preserve"> [22] </w:t>
      </w:r>
      <w:r w:rsidR="005A6274">
        <w:rPr>
          <w:rFonts w:ascii="Book Antiqua" w:hAnsi="Book Antiqua"/>
        </w:rPr>
        <w:t xml:space="preserve">given that it is </w:t>
      </w:r>
      <w:r w:rsidR="001927BB">
        <w:rPr>
          <w:rFonts w:ascii="Book Antiqua" w:hAnsi="Book Antiqua"/>
        </w:rPr>
        <w:t>clear there is no relationship between m</w:t>
      </w:r>
      <w:r w:rsidR="005A6274">
        <w:rPr>
          <w:rFonts w:ascii="Book Antiqua" w:hAnsi="Book Antiqua"/>
        </w:rPr>
        <w:t>other</w:t>
      </w:r>
      <w:r w:rsidR="001927BB">
        <w:rPr>
          <w:rFonts w:ascii="Book Antiqua" w:hAnsi="Book Antiqua"/>
        </w:rPr>
        <w:t xml:space="preserve"> and child</w:t>
      </w:r>
      <w:r w:rsidR="005A6274">
        <w:rPr>
          <w:rFonts w:ascii="Book Antiqua" w:hAnsi="Book Antiqua"/>
        </w:rPr>
        <w:t>,</w:t>
      </w:r>
      <w:r w:rsidR="001927BB">
        <w:rPr>
          <w:rFonts w:ascii="Book Antiqua" w:hAnsi="Book Antiqua"/>
        </w:rPr>
        <w:t xml:space="preserve"> so even when he did return the</w:t>
      </w:r>
      <w:r w:rsidR="005A6274">
        <w:rPr>
          <w:rFonts w:ascii="Book Antiqua" w:hAnsi="Book Antiqua"/>
        </w:rPr>
        <w:t>re was no</w:t>
      </w:r>
      <w:r w:rsidR="001927BB">
        <w:rPr>
          <w:rFonts w:ascii="Book Antiqua" w:hAnsi="Book Antiqua"/>
        </w:rPr>
        <w:t xml:space="preserve"> relationship. </w:t>
      </w:r>
      <w:r w:rsidR="005A6274">
        <w:rPr>
          <w:rFonts w:ascii="Book Antiqua" w:hAnsi="Book Antiqua"/>
        </w:rPr>
        <w:t>It was a</w:t>
      </w:r>
      <w:r w:rsidR="001927BB">
        <w:rPr>
          <w:rFonts w:ascii="Book Antiqua" w:hAnsi="Book Antiqua"/>
        </w:rPr>
        <w:t xml:space="preserve">ccepted by the mother in her affidavit </w:t>
      </w:r>
      <w:r w:rsidR="005A6274">
        <w:rPr>
          <w:rFonts w:ascii="Book Antiqua" w:hAnsi="Book Antiqua"/>
        </w:rPr>
        <w:t xml:space="preserve">that </w:t>
      </w:r>
      <w:r w:rsidR="001927BB">
        <w:rPr>
          <w:rFonts w:ascii="Book Antiqua" w:hAnsi="Book Antiqua"/>
        </w:rPr>
        <w:t xml:space="preserve">she does reject the son. </w:t>
      </w:r>
      <w:r w:rsidR="00375501">
        <w:rPr>
          <w:rFonts w:ascii="Book Antiqua" w:hAnsi="Book Antiqua"/>
        </w:rPr>
        <w:t>The Judge found this striking and this evidence was f</w:t>
      </w:r>
      <w:r w:rsidR="001927BB">
        <w:rPr>
          <w:rFonts w:ascii="Book Antiqua" w:hAnsi="Book Antiqua"/>
        </w:rPr>
        <w:t xml:space="preserve">ully corroborated by the </w:t>
      </w:r>
      <w:r w:rsidR="0078203D">
        <w:rPr>
          <w:rFonts w:ascii="Book Antiqua" w:hAnsi="Book Antiqua"/>
        </w:rPr>
        <w:t>Claima</w:t>
      </w:r>
      <w:r w:rsidR="00375501">
        <w:rPr>
          <w:rFonts w:ascii="Book Antiqua" w:hAnsi="Book Antiqua"/>
        </w:rPr>
        <w:t xml:space="preserve">nt’s </w:t>
      </w:r>
      <w:r w:rsidR="001927BB">
        <w:rPr>
          <w:rFonts w:ascii="Book Antiqua" w:hAnsi="Book Antiqua"/>
        </w:rPr>
        <w:t>two siblings.</w:t>
      </w:r>
    </w:p>
    <w:p w:rsidR="001927BB" w:rsidRDefault="001927BB" w:rsidP="001927BB">
      <w:pPr>
        <w:rPr>
          <w:rFonts w:ascii="Book Antiqua" w:hAnsi="Book Antiqua"/>
        </w:rPr>
      </w:pPr>
    </w:p>
    <w:p w:rsidR="000556EF" w:rsidRDefault="00375501" w:rsidP="001927BB">
      <w:pPr>
        <w:rPr>
          <w:rFonts w:ascii="Book Antiqua" w:hAnsi="Book Antiqua"/>
        </w:rPr>
      </w:pPr>
      <w:r>
        <w:rPr>
          <w:rFonts w:ascii="Book Antiqua" w:hAnsi="Book Antiqua"/>
        </w:rPr>
        <w:t>9</w:t>
      </w:r>
      <w:r w:rsidR="001927BB">
        <w:rPr>
          <w:rFonts w:ascii="Book Antiqua" w:hAnsi="Book Antiqua"/>
        </w:rPr>
        <w:t>.</w:t>
      </w:r>
      <w:r>
        <w:rPr>
          <w:rFonts w:ascii="Book Antiqua" w:hAnsi="Book Antiqua"/>
        </w:rPr>
        <w:t xml:space="preserve"> </w:t>
      </w:r>
      <w:proofErr w:type="spellStart"/>
      <w:r w:rsidR="001927BB">
        <w:rPr>
          <w:rFonts w:ascii="Book Antiqua" w:hAnsi="Book Antiqua"/>
        </w:rPr>
        <w:t>Ms</w:t>
      </w:r>
      <w:proofErr w:type="spellEnd"/>
      <w:r w:rsidR="001927BB">
        <w:rPr>
          <w:rFonts w:ascii="Book Antiqua" w:hAnsi="Book Antiqua"/>
        </w:rPr>
        <w:t xml:space="preserve"> Yong</w:t>
      </w:r>
      <w:r>
        <w:rPr>
          <w:rFonts w:ascii="Book Antiqua" w:hAnsi="Book Antiqua"/>
        </w:rPr>
        <w:t xml:space="preserve"> submitted that the </w:t>
      </w:r>
      <w:r w:rsidR="001927BB">
        <w:rPr>
          <w:rFonts w:ascii="Book Antiqua" w:hAnsi="Book Antiqua"/>
        </w:rPr>
        <w:t>Judge also had in mind at [12] the w</w:t>
      </w:r>
      <w:r w:rsidR="000556EF">
        <w:rPr>
          <w:rFonts w:ascii="Book Antiqua" w:hAnsi="Book Antiqua"/>
        </w:rPr>
        <w:t>ay the interview was conducted and the fact that</w:t>
      </w:r>
      <w:r w:rsidR="001927BB">
        <w:rPr>
          <w:rFonts w:ascii="Book Antiqua" w:hAnsi="Book Antiqua"/>
        </w:rPr>
        <w:t xml:space="preserve"> it was abridged and the answers were quote</w:t>
      </w:r>
      <w:r w:rsidR="000556EF">
        <w:rPr>
          <w:rFonts w:ascii="Book Antiqua" w:hAnsi="Book Antiqua"/>
        </w:rPr>
        <w:t>d out of context. In any event,</w:t>
      </w:r>
      <w:r w:rsidR="001927BB">
        <w:rPr>
          <w:rFonts w:ascii="Book Antiqua" w:hAnsi="Book Antiqua"/>
        </w:rPr>
        <w:t xml:space="preserve"> the content is limited to holiday periods and it is quite clear that throughout</w:t>
      </w:r>
      <w:r w:rsidR="000556EF">
        <w:rPr>
          <w:rFonts w:ascii="Book Antiqua" w:hAnsi="Book Antiqua"/>
        </w:rPr>
        <w:t xml:space="preserve"> their lives the mother and son</w:t>
      </w:r>
      <w:r w:rsidR="001927BB">
        <w:rPr>
          <w:rFonts w:ascii="Book Antiqua" w:hAnsi="Book Antiqua"/>
        </w:rPr>
        <w:t xml:space="preserve"> have not had a relat</w:t>
      </w:r>
      <w:r w:rsidR="000556EF">
        <w:rPr>
          <w:rFonts w:ascii="Book Antiqua" w:hAnsi="Book Antiqua"/>
        </w:rPr>
        <w:t xml:space="preserve">ionship. The mother pulled the </w:t>
      </w:r>
      <w:r w:rsidR="0078203D">
        <w:rPr>
          <w:rFonts w:ascii="Book Antiqua" w:hAnsi="Book Antiqua"/>
        </w:rPr>
        <w:t>Claima</w:t>
      </w:r>
      <w:r w:rsidR="000556EF">
        <w:rPr>
          <w:rFonts w:ascii="Book Antiqua" w:hAnsi="Book Antiqua"/>
        </w:rPr>
        <w:t>nt</w:t>
      </w:r>
      <w:r w:rsidR="001927BB">
        <w:rPr>
          <w:rFonts w:ascii="Book Antiqua" w:hAnsi="Book Antiqua"/>
        </w:rPr>
        <w:t xml:space="preserve"> out of school because the Sponsor had not paid the school fees. </w:t>
      </w:r>
      <w:proofErr w:type="gramStart"/>
      <w:r w:rsidR="001927BB">
        <w:rPr>
          <w:rFonts w:ascii="Book Antiqua" w:hAnsi="Book Antiqua"/>
        </w:rPr>
        <w:t>Despite the fact that</w:t>
      </w:r>
      <w:proofErr w:type="gramEnd"/>
      <w:r w:rsidR="001927BB">
        <w:rPr>
          <w:rFonts w:ascii="Book Antiqua" w:hAnsi="Book Antiqua"/>
        </w:rPr>
        <w:t xml:space="preserve"> the</w:t>
      </w:r>
      <w:r w:rsidR="000556EF">
        <w:rPr>
          <w:rFonts w:ascii="Book Antiqua" w:hAnsi="Book Antiqua"/>
        </w:rPr>
        <w:t xml:space="preserve"> mother was financially secure, it was</w:t>
      </w:r>
      <w:r w:rsidR="001927BB">
        <w:rPr>
          <w:rFonts w:ascii="Book Antiqua" w:hAnsi="Book Antiqua"/>
        </w:rPr>
        <w:t xml:space="preserve"> accep</w:t>
      </w:r>
      <w:r w:rsidR="000556EF">
        <w:rPr>
          <w:rFonts w:ascii="Book Antiqua" w:hAnsi="Book Antiqua"/>
        </w:rPr>
        <w:t>ted in evidence by the Judge that the mother</w:t>
      </w:r>
      <w:r w:rsidR="001927BB">
        <w:rPr>
          <w:rFonts w:ascii="Book Antiqua" w:hAnsi="Book Antiqua"/>
        </w:rPr>
        <w:t xml:space="preserve"> refused to fund or pay fo</w:t>
      </w:r>
      <w:r w:rsidR="000556EF">
        <w:rPr>
          <w:rFonts w:ascii="Book Antiqua" w:hAnsi="Book Antiqua"/>
        </w:rPr>
        <w:t>r the child and thus there had been an</w:t>
      </w:r>
      <w:r w:rsidR="001927BB">
        <w:rPr>
          <w:rFonts w:ascii="Book Antiqua" w:hAnsi="Book Antiqua"/>
        </w:rPr>
        <w:t xml:space="preserve"> abdication of responsibil</w:t>
      </w:r>
      <w:r w:rsidR="000556EF">
        <w:rPr>
          <w:rFonts w:ascii="Book Antiqua" w:hAnsi="Book Antiqua"/>
        </w:rPr>
        <w:t>ity for that particular child and thus n</w:t>
      </w:r>
      <w:r w:rsidR="001927BB">
        <w:rPr>
          <w:rFonts w:ascii="Book Antiqua" w:hAnsi="Book Antiqua"/>
        </w:rPr>
        <w:t xml:space="preserve">o joint responsibility. </w:t>
      </w:r>
    </w:p>
    <w:p w:rsidR="000556EF" w:rsidRDefault="000556EF" w:rsidP="001927BB">
      <w:pPr>
        <w:rPr>
          <w:rFonts w:ascii="Book Antiqua" w:hAnsi="Book Antiqua"/>
        </w:rPr>
      </w:pPr>
    </w:p>
    <w:p w:rsidR="001927BB" w:rsidRDefault="000556EF" w:rsidP="001927BB">
      <w:pPr>
        <w:rPr>
          <w:rFonts w:ascii="Book Antiqua" w:hAnsi="Book Antiqua"/>
        </w:rPr>
      </w:pPr>
      <w:r>
        <w:rPr>
          <w:rFonts w:ascii="Book Antiqua" w:hAnsi="Book Antiqua"/>
        </w:rPr>
        <w:t xml:space="preserve">10. </w:t>
      </w:r>
      <w:proofErr w:type="spellStart"/>
      <w:r>
        <w:rPr>
          <w:rFonts w:ascii="Book Antiqua" w:hAnsi="Book Antiqua"/>
        </w:rPr>
        <w:t>Ms</w:t>
      </w:r>
      <w:proofErr w:type="spellEnd"/>
      <w:r>
        <w:rPr>
          <w:rFonts w:ascii="Book Antiqua" w:hAnsi="Book Antiqua"/>
        </w:rPr>
        <w:t xml:space="preserve"> Yong further submitted that the </w:t>
      </w:r>
      <w:r w:rsidR="001927BB">
        <w:rPr>
          <w:rFonts w:ascii="Book Antiqua" w:hAnsi="Book Antiqua"/>
        </w:rPr>
        <w:t>Judge found v</w:t>
      </w:r>
      <w:r>
        <w:rPr>
          <w:rFonts w:ascii="Book Antiqua" w:hAnsi="Book Antiqua"/>
        </w:rPr>
        <w:t>ery</w:t>
      </w:r>
      <w:r w:rsidR="001927BB">
        <w:rPr>
          <w:rFonts w:ascii="Book Antiqua" w:hAnsi="Book Antiqua"/>
        </w:rPr>
        <w:t xml:space="preserve"> clearly at [22] that the Sponsor was credible and that there is consistent evidence about the mother p</w:t>
      </w:r>
      <w:r>
        <w:rPr>
          <w:rFonts w:ascii="Book Antiqua" w:hAnsi="Book Antiqua"/>
        </w:rPr>
        <w:t xml:space="preserve">ulling the child out of school, </w:t>
      </w:r>
      <w:proofErr w:type="gramStart"/>
      <w:r>
        <w:rPr>
          <w:rFonts w:ascii="Book Antiqua" w:hAnsi="Book Antiqua"/>
        </w:rPr>
        <w:t>despite the fact that</w:t>
      </w:r>
      <w:proofErr w:type="gramEnd"/>
      <w:r>
        <w:rPr>
          <w:rFonts w:ascii="Book Antiqua" w:hAnsi="Book Antiqua"/>
        </w:rPr>
        <w:t xml:space="preserve"> </w:t>
      </w:r>
      <w:r w:rsidR="001927BB">
        <w:rPr>
          <w:rFonts w:ascii="Book Antiqua" w:hAnsi="Book Antiqua"/>
        </w:rPr>
        <w:t xml:space="preserve">she was financially secure. </w:t>
      </w:r>
      <w:r>
        <w:rPr>
          <w:rFonts w:ascii="Book Antiqua" w:hAnsi="Book Antiqua"/>
        </w:rPr>
        <w:t xml:space="preserve">She sought to rely upon the decision in </w:t>
      </w:r>
      <w:r w:rsidRPr="0078203D">
        <w:rPr>
          <w:rFonts w:ascii="Book Antiqua" w:hAnsi="Book Antiqua"/>
          <w:u w:val="single"/>
        </w:rPr>
        <w:t>TD (Yemen)</w:t>
      </w:r>
      <w:r>
        <w:rPr>
          <w:rFonts w:ascii="Book Antiqua" w:hAnsi="Book Antiqua"/>
        </w:rPr>
        <w:t xml:space="preserve"> </w:t>
      </w:r>
      <w:r w:rsidR="0078203D">
        <w:rPr>
          <w:rFonts w:ascii="Book Antiqua" w:hAnsi="Book Antiqua"/>
        </w:rPr>
        <w:t xml:space="preserve">[2006] UKAIT 00049 </w:t>
      </w:r>
      <w:r>
        <w:rPr>
          <w:rFonts w:ascii="Book Antiqua" w:hAnsi="Book Antiqua"/>
        </w:rPr>
        <w:t>at [51] that</w:t>
      </w:r>
      <w:r w:rsidR="001927BB">
        <w:rPr>
          <w:rFonts w:ascii="Book Antiqua" w:hAnsi="Book Antiqua"/>
        </w:rPr>
        <w:t xml:space="preserve"> not paying financial support is a valid factor </w:t>
      </w:r>
      <w:r>
        <w:rPr>
          <w:rFonts w:ascii="Book Antiqua" w:hAnsi="Book Antiqua"/>
        </w:rPr>
        <w:t xml:space="preserve">to be </w:t>
      </w:r>
      <w:proofErr w:type="gramStart"/>
      <w:r>
        <w:rPr>
          <w:rFonts w:ascii="Book Antiqua" w:hAnsi="Book Antiqua"/>
        </w:rPr>
        <w:t>taken into account</w:t>
      </w:r>
      <w:proofErr w:type="gramEnd"/>
      <w:r>
        <w:rPr>
          <w:rFonts w:ascii="Book Antiqua" w:hAnsi="Book Antiqua"/>
        </w:rPr>
        <w:t>:</w:t>
      </w:r>
      <w:r w:rsidR="001927BB">
        <w:rPr>
          <w:rFonts w:ascii="Book Antiqua" w:hAnsi="Book Antiqua"/>
        </w:rPr>
        <w:t xml:space="preserve"> “</w:t>
      </w:r>
      <w:r w:rsidR="001927BB" w:rsidRPr="00C56CE7">
        <w:rPr>
          <w:rFonts w:ascii="Book Antiqua" w:hAnsi="Book Antiqua"/>
          <w:i/>
        </w:rPr>
        <w:t>it may be helpful to look at financial support provided by the parent and its absence may be very telling</w:t>
      </w:r>
      <w:r w:rsidR="001927BB">
        <w:rPr>
          <w:rFonts w:ascii="Book Antiqua" w:hAnsi="Book Antiqua"/>
        </w:rPr>
        <w:t xml:space="preserve">.” See also [42]. </w:t>
      </w:r>
      <w:r>
        <w:rPr>
          <w:rFonts w:ascii="Book Antiqua" w:hAnsi="Book Antiqua"/>
        </w:rPr>
        <w:t xml:space="preserve">She further sought to rely on the case of </w:t>
      </w:r>
      <w:proofErr w:type="spellStart"/>
      <w:r w:rsidR="001927BB" w:rsidRPr="000556EF">
        <w:rPr>
          <w:rFonts w:ascii="Book Antiqua" w:hAnsi="Book Antiqua"/>
          <w:i/>
        </w:rPr>
        <w:t>Alogun</w:t>
      </w:r>
      <w:proofErr w:type="spellEnd"/>
      <w:r w:rsidR="001927BB" w:rsidRPr="000556EF">
        <w:rPr>
          <w:rFonts w:ascii="Book Antiqua" w:hAnsi="Book Antiqua"/>
          <w:i/>
        </w:rPr>
        <w:t xml:space="preserve"> </w:t>
      </w:r>
      <w:r>
        <w:rPr>
          <w:rFonts w:ascii="Book Antiqua" w:hAnsi="Book Antiqua"/>
        </w:rPr>
        <w:t xml:space="preserve">cited at [39] of the decision in </w:t>
      </w:r>
      <w:r w:rsidRPr="0078203D">
        <w:rPr>
          <w:rFonts w:ascii="Book Antiqua" w:hAnsi="Book Antiqua"/>
          <w:i/>
        </w:rPr>
        <w:t>TD (Yemen)</w:t>
      </w:r>
      <w:r>
        <w:rPr>
          <w:rFonts w:ascii="Book Antiqua" w:hAnsi="Book Antiqua"/>
        </w:rPr>
        <w:t xml:space="preserve"> and the </w:t>
      </w:r>
      <w:r w:rsidR="001927BB">
        <w:rPr>
          <w:rFonts w:ascii="Book Antiqua" w:hAnsi="Book Antiqua"/>
        </w:rPr>
        <w:t>fa</w:t>
      </w:r>
      <w:r>
        <w:rPr>
          <w:rFonts w:ascii="Book Antiqua" w:hAnsi="Book Antiqua"/>
        </w:rPr>
        <w:t xml:space="preserve">ctually unusual circumstances, which were the subject of </w:t>
      </w:r>
      <w:r w:rsidR="001927BB">
        <w:rPr>
          <w:rFonts w:ascii="Book Antiqua" w:hAnsi="Book Antiqua"/>
        </w:rPr>
        <w:t xml:space="preserve">very particular findings of the Judge. </w:t>
      </w:r>
    </w:p>
    <w:p w:rsidR="001927BB" w:rsidRDefault="001927BB" w:rsidP="001927BB">
      <w:pPr>
        <w:rPr>
          <w:rFonts w:ascii="Book Antiqua" w:hAnsi="Book Antiqua"/>
        </w:rPr>
      </w:pPr>
    </w:p>
    <w:p w:rsidR="001927BB" w:rsidRDefault="000556EF" w:rsidP="001927BB">
      <w:pPr>
        <w:rPr>
          <w:rFonts w:ascii="Book Antiqua" w:hAnsi="Book Antiqua"/>
        </w:rPr>
      </w:pPr>
      <w:r>
        <w:rPr>
          <w:rFonts w:ascii="Book Antiqua" w:hAnsi="Book Antiqua"/>
        </w:rPr>
        <w:t xml:space="preserve">11. </w:t>
      </w:r>
      <w:r w:rsidR="00655ACB">
        <w:rPr>
          <w:rFonts w:ascii="Book Antiqua" w:hAnsi="Book Antiqua"/>
        </w:rPr>
        <w:t xml:space="preserve">She submitted that the </w:t>
      </w:r>
      <w:r w:rsidR="001927BB">
        <w:rPr>
          <w:rFonts w:ascii="Book Antiqua" w:hAnsi="Book Antiqua"/>
        </w:rPr>
        <w:t xml:space="preserve">Judge sets out the </w:t>
      </w:r>
      <w:r w:rsidR="00655ACB">
        <w:rPr>
          <w:rFonts w:ascii="Book Antiqua" w:hAnsi="Book Antiqua"/>
        </w:rPr>
        <w:t>reasons for why she reached her findings of</w:t>
      </w:r>
      <w:r w:rsidR="001927BB">
        <w:rPr>
          <w:rFonts w:ascii="Book Antiqua" w:hAnsi="Book Antiqua"/>
        </w:rPr>
        <w:t xml:space="preserve"> fact </w:t>
      </w:r>
      <w:proofErr w:type="spellStart"/>
      <w:r w:rsidR="00655ACB">
        <w:rPr>
          <w:rFonts w:ascii="Book Antiqua" w:hAnsi="Book Antiqua"/>
        </w:rPr>
        <w:t>ie</w:t>
      </w:r>
      <w:proofErr w:type="spellEnd"/>
      <w:r w:rsidR="00655ACB">
        <w:rPr>
          <w:rFonts w:ascii="Book Antiqua" w:hAnsi="Book Antiqua"/>
        </w:rPr>
        <w:t xml:space="preserve">. that his </w:t>
      </w:r>
      <w:r w:rsidR="001927BB">
        <w:rPr>
          <w:rFonts w:ascii="Book Antiqua" w:hAnsi="Book Antiqua"/>
        </w:rPr>
        <w:t xml:space="preserve">mother would not know which gate he used; </w:t>
      </w:r>
      <w:r w:rsidR="00655ACB">
        <w:rPr>
          <w:rFonts w:ascii="Book Antiqua" w:hAnsi="Book Antiqua"/>
        </w:rPr>
        <w:t xml:space="preserve">the </w:t>
      </w:r>
      <w:r w:rsidR="001927BB">
        <w:rPr>
          <w:rFonts w:ascii="Book Antiqua" w:hAnsi="Book Antiqua"/>
        </w:rPr>
        <w:t>evidence of neglect and emotional ab</w:t>
      </w:r>
      <w:r w:rsidR="00655ACB">
        <w:rPr>
          <w:rFonts w:ascii="Book Antiqua" w:hAnsi="Book Antiqua"/>
        </w:rPr>
        <w:t>use. The</w:t>
      </w:r>
      <w:r w:rsidR="001927BB">
        <w:rPr>
          <w:rFonts w:ascii="Book Antiqua" w:hAnsi="Book Antiqua"/>
        </w:rPr>
        <w:t xml:space="preserve"> Judge </w:t>
      </w:r>
      <w:r w:rsidR="00655ACB">
        <w:rPr>
          <w:rFonts w:ascii="Book Antiqua" w:hAnsi="Book Antiqua"/>
        </w:rPr>
        <w:t xml:space="preserve">was </w:t>
      </w:r>
      <w:r w:rsidR="001927BB">
        <w:rPr>
          <w:rFonts w:ascii="Book Antiqua" w:hAnsi="Book Antiqua"/>
        </w:rPr>
        <w:t>clearly entitled to find</w:t>
      </w:r>
      <w:r w:rsidR="00655ACB">
        <w:rPr>
          <w:rFonts w:ascii="Book Antiqua" w:hAnsi="Book Antiqua"/>
        </w:rPr>
        <w:t>,</w:t>
      </w:r>
      <w:r w:rsidR="001927BB">
        <w:rPr>
          <w:rFonts w:ascii="Book Antiqua" w:hAnsi="Book Antiqua"/>
        </w:rPr>
        <w:t xml:space="preserve"> based on the evidence before her</w:t>
      </w:r>
      <w:r w:rsidR="00655ACB">
        <w:rPr>
          <w:rFonts w:ascii="Book Antiqua" w:hAnsi="Book Antiqua"/>
        </w:rPr>
        <w:t>,</w:t>
      </w:r>
      <w:r w:rsidR="001927BB">
        <w:rPr>
          <w:rFonts w:ascii="Book Antiqua" w:hAnsi="Book Antiqua"/>
        </w:rPr>
        <w:t xml:space="preserve"> that the neglect and emotional abuse is severe [27] and see [26]. This renders it exceptional. </w:t>
      </w:r>
      <w:proofErr w:type="spellStart"/>
      <w:r w:rsidR="00655ACB">
        <w:rPr>
          <w:rFonts w:ascii="Book Antiqua" w:hAnsi="Book Antiqua"/>
        </w:rPr>
        <w:t>Ms</w:t>
      </w:r>
      <w:proofErr w:type="spellEnd"/>
      <w:r w:rsidR="00655ACB">
        <w:rPr>
          <w:rFonts w:ascii="Book Antiqua" w:hAnsi="Book Antiqua"/>
        </w:rPr>
        <w:t xml:space="preserve"> Yong submitted that there were a</w:t>
      </w:r>
      <w:r w:rsidR="001927BB">
        <w:rPr>
          <w:rFonts w:ascii="Book Antiqua" w:hAnsi="Book Antiqua"/>
        </w:rPr>
        <w:t xml:space="preserve">mple findings of fact and adequate reasons provided </w:t>
      </w:r>
      <w:r w:rsidR="00655ACB">
        <w:rPr>
          <w:rFonts w:ascii="Book Antiqua" w:hAnsi="Book Antiqua"/>
        </w:rPr>
        <w:t xml:space="preserve">by the Judge </w:t>
      </w:r>
      <w:r w:rsidR="001927BB">
        <w:rPr>
          <w:rFonts w:ascii="Book Antiqua" w:hAnsi="Book Antiqua"/>
        </w:rPr>
        <w:t xml:space="preserve">for finding the case to be exceptional. </w:t>
      </w:r>
    </w:p>
    <w:p w:rsidR="001927BB" w:rsidRDefault="001927BB" w:rsidP="001927BB">
      <w:pPr>
        <w:rPr>
          <w:rFonts w:ascii="Book Antiqua" w:hAnsi="Book Antiqua"/>
        </w:rPr>
      </w:pPr>
    </w:p>
    <w:p w:rsidR="001927BB" w:rsidRPr="00C56CE7" w:rsidRDefault="00655ACB" w:rsidP="001927BB">
      <w:pPr>
        <w:rPr>
          <w:rFonts w:ascii="Book Antiqua" w:hAnsi="Book Antiqua"/>
        </w:rPr>
      </w:pPr>
      <w:r>
        <w:rPr>
          <w:rFonts w:ascii="Book Antiqua" w:hAnsi="Book Antiqua"/>
        </w:rPr>
        <w:t>12. I r</w:t>
      </w:r>
      <w:r w:rsidR="001927BB">
        <w:rPr>
          <w:rFonts w:ascii="Book Antiqua" w:hAnsi="Book Antiqua"/>
        </w:rPr>
        <w:t xml:space="preserve">eserved </w:t>
      </w:r>
      <w:r>
        <w:rPr>
          <w:rFonts w:ascii="Book Antiqua" w:hAnsi="Book Antiqua"/>
        </w:rPr>
        <w:t>my decision, which I now give with my reasons.</w:t>
      </w:r>
    </w:p>
    <w:p w:rsidR="001927BB" w:rsidRDefault="001927BB">
      <w:pPr>
        <w:rPr>
          <w:rFonts w:ascii="Book Antiqua" w:hAnsi="Book Antiqua"/>
        </w:rPr>
      </w:pPr>
    </w:p>
    <w:p w:rsidR="001927BB" w:rsidRPr="004939D7" w:rsidRDefault="004939D7">
      <w:pPr>
        <w:rPr>
          <w:rFonts w:ascii="Book Antiqua" w:hAnsi="Book Antiqua"/>
          <w:i/>
        </w:rPr>
      </w:pPr>
      <w:r>
        <w:rPr>
          <w:rFonts w:ascii="Book Antiqua" w:hAnsi="Book Antiqua"/>
          <w:i/>
        </w:rPr>
        <w:t>Findings</w:t>
      </w:r>
    </w:p>
    <w:p w:rsidR="001927BB" w:rsidRDefault="001927BB">
      <w:pPr>
        <w:rPr>
          <w:rFonts w:ascii="Book Antiqua" w:hAnsi="Book Antiqua"/>
        </w:rPr>
      </w:pPr>
    </w:p>
    <w:p w:rsidR="00072F54" w:rsidRDefault="00072F54">
      <w:pPr>
        <w:rPr>
          <w:rFonts w:ascii="Book Antiqua" w:hAnsi="Book Antiqua"/>
        </w:rPr>
      </w:pPr>
      <w:r>
        <w:rPr>
          <w:rFonts w:ascii="Book Antiqua" w:hAnsi="Book Antiqua"/>
        </w:rPr>
        <w:t xml:space="preserve">13. I have concluded that there are no material errors of law in the decision of First </w:t>
      </w:r>
      <w:proofErr w:type="gramStart"/>
      <w:r>
        <w:rPr>
          <w:rFonts w:ascii="Book Antiqua" w:hAnsi="Book Antiqua"/>
        </w:rPr>
        <w:t>tier</w:t>
      </w:r>
      <w:proofErr w:type="gramEnd"/>
      <w:r>
        <w:rPr>
          <w:rFonts w:ascii="Book Antiqua" w:hAnsi="Book Antiqua"/>
        </w:rPr>
        <w:t xml:space="preserve"> Tribunal Judge Shamash. My reasons are as follows.</w:t>
      </w:r>
    </w:p>
    <w:p w:rsidR="00072F54" w:rsidRDefault="00072F54">
      <w:pPr>
        <w:rPr>
          <w:rFonts w:ascii="Book Antiqua" w:hAnsi="Book Antiqua"/>
        </w:rPr>
      </w:pPr>
    </w:p>
    <w:p w:rsidR="002B77C7" w:rsidRDefault="00072F54">
      <w:pPr>
        <w:rPr>
          <w:rFonts w:ascii="Book Antiqua" w:hAnsi="Book Antiqua"/>
        </w:rPr>
      </w:pPr>
      <w:r>
        <w:rPr>
          <w:rFonts w:ascii="Book Antiqua" w:hAnsi="Book Antiqua"/>
        </w:rPr>
        <w:t>14. The basis of the application for permission to appeal on the part of the Entry Clearance Officer was essentially a reasons challenge</w:t>
      </w:r>
      <w:r w:rsidR="003E2AAC">
        <w:rPr>
          <w:rFonts w:ascii="Book Antiqua" w:hAnsi="Book Antiqua"/>
        </w:rPr>
        <w:t>,</w:t>
      </w:r>
      <w:r w:rsidR="002B77C7">
        <w:rPr>
          <w:rFonts w:ascii="Book Antiqua" w:hAnsi="Book Antiqua"/>
        </w:rPr>
        <w:t xml:space="preserve"> firstly to the </w:t>
      </w:r>
      <w:r w:rsidR="003E2AAC">
        <w:rPr>
          <w:rFonts w:ascii="Book Antiqua" w:hAnsi="Book Antiqua"/>
        </w:rPr>
        <w:t xml:space="preserve">Judge’s </w:t>
      </w:r>
      <w:r w:rsidR="002B77C7">
        <w:rPr>
          <w:rFonts w:ascii="Book Antiqua" w:hAnsi="Book Antiqua"/>
        </w:rPr>
        <w:t>finding at [26] that the case is “rare” and “exceptional”</w:t>
      </w:r>
      <w:r w:rsidR="003E2AAC">
        <w:rPr>
          <w:rFonts w:ascii="Book Antiqua" w:hAnsi="Book Antiqua"/>
        </w:rPr>
        <w:t>; in failing to give reasons for finding</w:t>
      </w:r>
      <w:r w:rsidR="002B77C7">
        <w:rPr>
          <w:rFonts w:ascii="Book Antiqua" w:hAnsi="Book Antiqua"/>
        </w:rPr>
        <w:t xml:space="preserve"> </w:t>
      </w:r>
      <w:r w:rsidR="003E2AAC">
        <w:rPr>
          <w:rFonts w:ascii="Book Antiqua" w:hAnsi="Book Antiqua"/>
        </w:rPr>
        <w:t xml:space="preserve">the extent of neglect and emotional abuse inflicted on the Appellant by his biological mother to be severe </w:t>
      </w:r>
      <w:r w:rsidR="002B77C7">
        <w:rPr>
          <w:rFonts w:ascii="Book Antiqua" w:hAnsi="Book Antiqua"/>
        </w:rPr>
        <w:t>and in failing to give reasons as to how the Claimant’s father continues to have continuing control and direction over his life.</w:t>
      </w:r>
    </w:p>
    <w:p w:rsidR="002B77C7" w:rsidRDefault="002B77C7">
      <w:pPr>
        <w:rPr>
          <w:rFonts w:ascii="Book Antiqua" w:hAnsi="Book Antiqua"/>
        </w:rPr>
      </w:pPr>
    </w:p>
    <w:p w:rsidR="001927BB" w:rsidRPr="002B77C7" w:rsidRDefault="002B77C7">
      <w:pPr>
        <w:rPr>
          <w:rFonts w:ascii="Book Antiqua" w:hAnsi="Book Antiqua"/>
        </w:rPr>
      </w:pPr>
      <w:r>
        <w:rPr>
          <w:rFonts w:ascii="Book Antiqua" w:hAnsi="Book Antiqua"/>
        </w:rPr>
        <w:t>15. I have</w:t>
      </w:r>
      <w:r w:rsidR="003E2AAC">
        <w:rPr>
          <w:rFonts w:ascii="Book Antiqua" w:hAnsi="Book Antiqua"/>
        </w:rPr>
        <w:t>,</w:t>
      </w:r>
      <w:r>
        <w:rPr>
          <w:rFonts w:ascii="Book Antiqua" w:hAnsi="Book Antiqua"/>
        </w:rPr>
        <w:t xml:space="preserve"> in reaching my decision</w:t>
      </w:r>
      <w:r w:rsidR="003E2AAC">
        <w:rPr>
          <w:rFonts w:ascii="Book Antiqua" w:hAnsi="Book Antiqua"/>
        </w:rPr>
        <w:t>,</w:t>
      </w:r>
      <w:r>
        <w:rPr>
          <w:rFonts w:ascii="Book Antiqua" w:hAnsi="Book Antiqua"/>
        </w:rPr>
        <w:t xml:space="preserve"> taken careful note of what was said by the Upper Tribunal in </w:t>
      </w:r>
      <w:r w:rsidRPr="0078203D">
        <w:rPr>
          <w:rFonts w:ascii="Book Antiqua" w:hAnsi="Book Antiqua"/>
          <w:u w:val="single"/>
        </w:rPr>
        <w:t>TD (Yemen)</w:t>
      </w:r>
      <w:r>
        <w:rPr>
          <w:rFonts w:ascii="Book Antiqua" w:hAnsi="Book Antiqua"/>
        </w:rPr>
        <w:t xml:space="preserve"> [2006] UKAIT 00049, which the Judge also relied upon at [25] of her decision and reasons and which provides </w:t>
      </w:r>
      <w:r>
        <w:rPr>
          <w:rFonts w:ascii="Book Antiqua" w:hAnsi="Book Antiqua"/>
          <w:i/>
        </w:rPr>
        <w:t xml:space="preserve">inter alia </w:t>
      </w:r>
      <w:r>
        <w:rPr>
          <w:rFonts w:ascii="Book Antiqua" w:hAnsi="Book Antiqua"/>
        </w:rPr>
        <w:t xml:space="preserve">as follows: </w:t>
      </w:r>
    </w:p>
    <w:p w:rsidR="002F3C1A" w:rsidRPr="002B77C7" w:rsidRDefault="002F3C1A" w:rsidP="002F3C1A">
      <w:pPr>
        <w:rPr>
          <w:rFonts w:ascii="Book Antiqua" w:eastAsiaTheme="minorHAnsi" w:hAnsi="Book Antiqua" w:cstheme="minorBidi"/>
          <w:i/>
          <w:color w:val="010101"/>
          <w:szCs w:val="23"/>
          <w:shd w:val="clear" w:color="auto" w:fill="FFFFFF"/>
          <w:lang w:val="en-GB"/>
        </w:rPr>
      </w:pPr>
    </w:p>
    <w:p w:rsidR="002F3C1A" w:rsidRPr="002B77C7" w:rsidRDefault="002B77C7" w:rsidP="002F3C1A">
      <w:pPr>
        <w:pStyle w:val="NormalWeb"/>
        <w:spacing w:beforeLines="0" w:afterLines="0"/>
        <w:rPr>
          <w:rFonts w:ascii="Book Antiqua" w:hAnsi="Book Antiqua"/>
          <w:i/>
          <w:color w:val="010101"/>
          <w:sz w:val="24"/>
          <w:szCs w:val="23"/>
        </w:rPr>
      </w:pPr>
      <w:r>
        <w:rPr>
          <w:rFonts w:ascii="Book Antiqua" w:hAnsi="Book Antiqua"/>
          <w:i/>
          <w:color w:val="010101"/>
          <w:sz w:val="24"/>
          <w:szCs w:val="23"/>
        </w:rPr>
        <w:t>“</w:t>
      </w:r>
      <w:r w:rsidR="002F3C1A" w:rsidRPr="002B77C7">
        <w:rPr>
          <w:rFonts w:ascii="Book Antiqua" w:hAnsi="Book Antiqua"/>
          <w:i/>
          <w:color w:val="010101"/>
          <w:sz w:val="24"/>
          <w:szCs w:val="23"/>
        </w:rPr>
        <w:t>39. A decision of the Outer House of the Court of Session does, however, contemplate a different outcome in exceptional circumstances. In</w:t>
      </w:r>
      <w:r w:rsidR="002F3C1A" w:rsidRPr="002B77C7">
        <w:rPr>
          <w:rStyle w:val="apple-converted-space"/>
          <w:rFonts w:ascii="Book Antiqua" w:hAnsi="Book Antiqua"/>
          <w:i/>
          <w:color w:val="010101"/>
          <w:sz w:val="24"/>
          <w:szCs w:val="23"/>
        </w:rPr>
        <w:t> </w:t>
      </w:r>
      <w:proofErr w:type="spellStart"/>
      <w:r w:rsidR="002F3C1A" w:rsidRPr="002B77C7">
        <w:rPr>
          <w:rFonts w:ascii="Book Antiqua" w:hAnsi="Book Antiqua"/>
          <w:i/>
          <w:color w:val="010101"/>
          <w:sz w:val="24"/>
          <w:szCs w:val="23"/>
        </w:rPr>
        <w:t>Alagon</w:t>
      </w:r>
      <w:proofErr w:type="spellEnd"/>
      <w:r w:rsidR="002F3C1A" w:rsidRPr="002B77C7">
        <w:rPr>
          <w:rFonts w:ascii="Book Antiqua" w:hAnsi="Book Antiqua"/>
          <w:i/>
          <w:color w:val="010101"/>
          <w:sz w:val="24"/>
          <w:szCs w:val="23"/>
        </w:rPr>
        <w:t xml:space="preserve"> v ECO, Manilla [1993] </w:t>
      </w:r>
      <w:proofErr w:type="spellStart"/>
      <w:r w:rsidR="002F3C1A" w:rsidRPr="002B77C7">
        <w:rPr>
          <w:rFonts w:ascii="Book Antiqua" w:hAnsi="Book Antiqua"/>
          <w:i/>
          <w:color w:val="010101"/>
          <w:sz w:val="24"/>
          <w:szCs w:val="23"/>
        </w:rPr>
        <w:t>Imm</w:t>
      </w:r>
      <w:proofErr w:type="spellEnd"/>
      <w:r w:rsidR="002F3C1A" w:rsidRPr="002B77C7">
        <w:rPr>
          <w:rFonts w:ascii="Book Antiqua" w:hAnsi="Book Antiqua"/>
          <w:i/>
          <w:color w:val="010101"/>
          <w:sz w:val="24"/>
          <w:szCs w:val="23"/>
        </w:rPr>
        <w:t xml:space="preserve"> AR 336</w:t>
      </w:r>
      <w:r w:rsidR="002F3C1A" w:rsidRPr="002B77C7">
        <w:rPr>
          <w:rStyle w:val="apple-converted-space"/>
          <w:rFonts w:ascii="Book Antiqua" w:hAnsi="Book Antiqua"/>
          <w:i/>
          <w:color w:val="010101"/>
          <w:sz w:val="24"/>
          <w:szCs w:val="23"/>
        </w:rPr>
        <w:t> </w:t>
      </w:r>
      <w:r w:rsidR="002F3C1A" w:rsidRPr="002B77C7">
        <w:rPr>
          <w:rFonts w:ascii="Book Antiqua" w:hAnsi="Book Antiqua"/>
          <w:i/>
          <w:color w:val="010101"/>
          <w:sz w:val="24"/>
          <w:szCs w:val="23"/>
        </w:rPr>
        <w:t>the appellant sought entry clearance to join his mother in the UK shortly before his eighteenth birthday. His mother had come to this country when he was aged 8 and had only made one visit to see him when he was 13 years old. The appellant lived in a house with his father who was divorced from her mother. The house was owned by her mother. The mother provided most of the financial support for the appellant. Relatives who lived relatively close saw and provided some financial and other support to the appellant. The father did not contribute financially to the appellant's support and himself benefited from living in the house and the financial contributions from the mother. The mother alone was consulted about all major decisions such as education and the appellant's future maintenance. The father was not consulted and he took no major decisions about the appellant. It was accepted that the father played "at most a passive role" in the appellant's life. The Lord Ordinary (Lord Prosser) acknowledged (at p 344) that it was significant that the appellant was living with her father</w:t>
      </w:r>
      <w:r>
        <w:rPr>
          <w:rFonts w:ascii="Book Antiqua" w:hAnsi="Book Antiqua"/>
          <w:i/>
          <w:color w:val="010101"/>
          <w:sz w:val="24"/>
          <w:szCs w:val="23"/>
        </w:rPr>
        <w:t xml:space="preserve"> </w:t>
      </w:r>
      <w:r w:rsidR="002F3C1A" w:rsidRPr="002B77C7">
        <w:rPr>
          <w:rFonts w:ascii="Book Antiqua" w:hAnsi="Book Antiqua"/>
          <w:i/>
          <w:color w:val="010101"/>
          <w:sz w:val="24"/>
          <w:szCs w:val="23"/>
        </w:rPr>
        <w:t>"since any responsibility exercised by her father need not be derived from her mother, and might put in doubt the mother's 'sole responsibility'."</w:t>
      </w:r>
    </w:p>
    <w:p w:rsidR="002B77C7" w:rsidRPr="002B77C7" w:rsidRDefault="002B77C7" w:rsidP="002F3C1A">
      <w:pPr>
        <w:pStyle w:val="NormalWeb"/>
        <w:spacing w:beforeLines="0" w:afterLines="0"/>
        <w:rPr>
          <w:rFonts w:ascii="Book Antiqua" w:hAnsi="Book Antiqua"/>
          <w:i/>
          <w:color w:val="010101"/>
          <w:sz w:val="24"/>
          <w:szCs w:val="23"/>
        </w:rPr>
      </w:pPr>
    </w:p>
    <w:p w:rsidR="002F3C1A" w:rsidRPr="002B77C7" w:rsidRDefault="002F3C1A" w:rsidP="002F3C1A">
      <w:pPr>
        <w:pStyle w:val="NormalWeb"/>
        <w:spacing w:beforeLines="0" w:afterLines="0"/>
        <w:rPr>
          <w:rFonts w:ascii="Book Antiqua" w:hAnsi="Book Antiqua"/>
          <w:i/>
          <w:color w:val="010101"/>
          <w:sz w:val="24"/>
          <w:szCs w:val="23"/>
        </w:rPr>
      </w:pPr>
      <w:r w:rsidRPr="002B77C7">
        <w:rPr>
          <w:rFonts w:ascii="Book Antiqua" w:hAnsi="Book Antiqua"/>
          <w:i/>
          <w:color w:val="010101"/>
          <w:sz w:val="24"/>
          <w:szCs w:val="23"/>
        </w:rPr>
        <w:t>40. Nevertheless, the judge concluded that the appellant's mother had indeed established "sole responsibility" for her on the basis that (at p 345):</w:t>
      </w:r>
    </w:p>
    <w:p w:rsidR="002B77C7" w:rsidRDefault="002B77C7" w:rsidP="002F3C1A">
      <w:pPr>
        <w:pStyle w:val="NormalWeb"/>
        <w:spacing w:beforeLines="0" w:afterLines="0"/>
        <w:rPr>
          <w:rFonts w:ascii="Book Antiqua" w:hAnsi="Book Antiqua"/>
          <w:i/>
          <w:color w:val="010101"/>
          <w:sz w:val="24"/>
          <w:szCs w:val="23"/>
        </w:rPr>
      </w:pPr>
    </w:p>
    <w:p w:rsidR="002F3C1A" w:rsidRPr="002B77C7" w:rsidRDefault="002F3C1A" w:rsidP="002F3C1A">
      <w:pPr>
        <w:pStyle w:val="NormalWeb"/>
        <w:spacing w:beforeLines="0" w:afterLines="0"/>
        <w:rPr>
          <w:rFonts w:ascii="Book Antiqua" w:hAnsi="Book Antiqua"/>
          <w:i/>
          <w:color w:val="010101"/>
          <w:sz w:val="24"/>
          <w:szCs w:val="23"/>
        </w:rPr>
      </w:pPr>
      <w:r w:rsidRPr="002B77C7">
        <w:rPr>
          <w:rFonts w:ascii="Book Antiqua" w:hAnsi="Book Antiqua"/>
          <w:i/>
          <w:color w:val="010101"/>
          <w:sz w:val="24"/>
          <w:szCs w:val="23"/>
        </w:rPr>
        <w:t>"the adjudicator effectively found that the father is doing nothing for the child beyond the bare fact of living with her on reasonably good terms.... Moreover ... that is in a house belonging to the mother, so that even his bare presence and any help that that might be to the child, is derivative from the mother and essentially part of her arrangements for the child rather than his own."</w:t>
      </w:r>
    </w:p>
    <w:p w:rsidR="002B77C7" w:rsidRPr="002B77C7" w:rsidRDefault="002B77C7" w:rsidP="002F3C1A">
      <w:pPr>
        <w:pStyle w:val="NormalWeb"/>
        <w:spacing w:beforeLines="0" w:afterLines="0"/>
        <w:rPr>
          <w:rFonts w:ascii="Book Antiqua" w:hAnsi="Book Antiqua"/>
          <w:i/>
          <w:color w:val="010101"/>
          <w:sz w:val="24"/>
          <w:szCs w:val="23"/>
        </w:rPr>
      </w:pPr>
    </w:p>
    <w:p w:rsidR="002B77C7" w:rsidRPr="002B77C7" w:rsidRDefault="002F3C1A" w:rsidP="002F3C1A">
      <w:pPr>
        <w:pStyle w:val="NormalWeb"/>
        <w:spacing w:beforeLines="0" w:afterLines="0"/>
        <w:rPr>
          <w:rFonts w:ascii="Book Antiqua" w:hAnsi="Book Antiqua"/>
          <w:i/>
          <w:color w:val="010101"/>
          <w:sz w:val="24"/>
          <w:szCs w:val="23"/>
        </w:rPr>
      </w:pPr>
      <w:r w:rsidRPr="002B77C7">
        <w:rPr>
          <w:rFonts w:ascii="Book Antiqua" w:hAnsi="Book Antiqua"/>
          <w:i/>
          <w:color w:val="010101"/>
          <w:sz w:val="24"/>
          <w:szCs w:val="23"/>
        </w:rPr>
        <w:lastRenderedPageBreak/>
        <w:t>41. The judge concluded that that the mother (rather than the father or other relatives) was</w:t>
      </w:r>
      <w:r w:rsidRPr="002B77C7">
        <w:rPr>
          <w:rStyle w:val="apple-converted-space"/>
          <w:rFonts w:ascii="Book Antiqua" w:hAnsi="Book Antiqua"/>
          <w:i/>
          <w:color w:val="010101"/>
          <w:sz w:val="24"/>
          <w:szCs w:val="23"/>
        </w:rPr>
        <w:t> </w:t>
      </w:r>
      <w:r w:rsidRPr="002B77C7">
        <w:rPr>
          <w:rFonts w:ascii="Book Antiqua" w:hAnsi="Book Antiqua"/>
          <w:i/>
          <w:color w:val="010101"/>
          <w:sz w:val="24"/>
          <w:szCs w:val="23"/>
        </w:rPr>
        <w:t>"exercising all the forms of responsibility typical of sole responsibility properly understood". (at p 345)</w:t>
      </w:r>
    </w:p>
    <w:p w:rsidR="002F3C1A" w:rsidRPr="002B77C7" w:rsidRDefault="002F3C1A" w:rsidP="002F3C1A">
      <w:pPr>
        <w:pStyle w:val="NormalWeb"/>
        <w:spacing w:beforeLines="0" w:afterLines="0"/>
        <w:rPr>
          <w:rFonts w:ascii="Book Antiqua" w:hAnsi="Book Antiqua"/>
          <w:i/>
          <w:color w:val="010101"/>
          <w:sz w:val="24"/>
          <w:szCs w:val="23"/>
        </w:rPr>
      </w:pPr>
    </w:p>
    <w:p w:rsidR="00E12845" w:rsidRPr="002B77C7" w:rsidRDefault="002F3C1A" w:rsidP="002F3C1A">
      <w:pPr>
        <w:pStyle w:val="NormalWeb"/>
        <w:spacing w:beforeLines="0" w:afterLines="0"/>
        <w:rPr>
          <w:rFonts w:ascii="Book Antiqua" w:hAnsi="Book Antiqua"/>
          <w:i/>
          <w:color w:val="010101"/>
          <w:sz w:val="24"/>
          <w:szCs w:val="23"/>
        </w:rPr>
      </w:pPr>
      <w:r w:rsidRPr="002B77C7">
        <w:rPr>
          <w:rFonts w:ascii="Book Antiqua" w:hAnsi="Book Antiqua"/>
          <w:i/>
          <w:color w:val="010101"/>
          <w:sz w:val="24"/>
          <w:szCs w:val="23"/>
        </w:rPr>
        <w:t>42. In our view, this case is consistent with the principled approach applicable to cases of this sort. It is merely a factually unusual - indeed exceptional case - in its outcome. It turns upon the very particular findings of the judge concerning the non-involvement of the father in the child's upbringing despite the fact that the appellant was living with him</w:t>
      </w:r>
      <w:r w:rsidR="00E12845" w:rsidRPr="002B77C7">
        <w:rPr>
          <w:rFonts w:ascii="Book Antiqua" w:hAnsi="Book Antiqua"/>
          <w:i/>
          <w:color w:val="010101"/>
          <w:sz w:val="24"/>
          <w:szCs w:val="23"/>
        </w:rPr>
        <w:t>…</w:t>
      </w:r>
    </w:p>
    <w:p w:rsidR="00E12845" w:rsidRPr="002B77C7" w:rsidRDefault="00E12845" w:rsidP="002F3C1A">
      <w:pPr>
        <w:pStyle w:val="NormalWeb"/>
        <w:spacing w:beforeLines="0" w:afterLines="0"/>
        <w:rPr>
          <w:rFonts w:ascii="Book Antiqua" w:hAnsi="Book Antiqua"/>
          <w:i/>
          <w:color w:val="010101"/>
          <w:sz w:val="24"/>
          <w:szCs w:val="23"/>
        </w:rPr>
      </w:pPr>
    </w:p>
    <w:p w:rsidR="00E12845" w:rsidRPr="002B77C7" w:rsidRDefault="00E12845" w:rsidP="00E12845">
      <w:pPr>
        <w:pStyle w:val="NormalWeb"/>
        <w:spacing w:beforeLines="0" w:afterLines="0"/>
        <w:rPr>
          <w:rFonts w:ascii="Book Antiqua" w:hAnsi="Book Antiqua"/>
          <w:i/>
          <w:color w:val="010101"/>
          <w:sz w:val="24"/>
          <w:szCs w:val="23"/>
        </w:rPr>
      </w:pPr>
      <w:r w:rsidRPr="002B77C7">
        <w:rPr>
          <w:rFonts w:ascii="Book Antiqua" w:hAnsi="Book Antiqua"/>
          <w:i/>
          <w:color w:val="010101"/>
          <w:sz w:val="24"/>
          <w:szCs w:val="23"/>
        </w:rPr>
        <w:t>45. To understand the proper approach to the issue of "sole responsibility", we begin with the situation where a child has both parents involved in its life. The starting point must be that both parents share responsibility for their child's upbringing. This would be the position if the parents and child lived in the same country and we can see no reason in principle why it should be different if one parent has moved to the United Kingdom.</w:t>
      </w:r>
    </w:p>
    <w:p w:rsidR="002B77C7" w:rsidRPr="002B77C7" w:rsidRDefault="002B77C7" w:rsidP="00E12845">
      <w:pPr>
        <w:pStyle w:val="NormalWeb"/>
        <w:spacing w:beforeLines="0" w:afterLines="0"/>
        <w:rPr>
          <w:rFonts w:ascii="Book Antiqua" w:hAnsi="Book Antiqua"/>
          <w:i/>
          <w:color w:val="010101"/>
          <w:sz w:val="24"/>
          <w:szCs w:val="23"/>
        </w:rPr>
      </w:pPr>
    </w:p>
    <w:p w:rsidR="00E12845" w:rsidRPr="002B77C7" w:rsidRDefault="00E12845" w:rsidP="00E12845">
      <w:pPr>
        <w:pStyle w:val="NormalWeb"/>
        <w:spacing w:beforeLines="0" w:afterLines="0"/>
        <w:rPr>
          <w:rFonts w:ascii="Book Antiqua" w:hAnsi="Book Antiqua"/>
          <w:i/>
          <w:color w:val="010101"/>
          <w:sz w:val="24"/>
          <w:szCs w:val="23"/>
        </w:rPr>
      </w:pPr>
      <w:r w:rsidRPr="002B77C7">
        <w:rPr>
          <w:rFonts w:ascii="Book Antiqua" w:hAnsi="Book Antiqua"/>
          <w:i/>
          <w:color w:val="010101"/>
          <w:sz w:val="24"/>
          <w:szCs w:val="23"/>
        </w:rPr>
        <w:t xml:space="preserve">46. In order to conclude that the UK-based parent had "sole responsibility" for the child, it would be necessary to show that the parent abroad had abdicated any responsibility for the child and was merely acting at the direction of the UK-based parent and was otherwise totally uninvolved in the child's upbringing. The possibility clearly cannot be ruled out: </w:t>
      </w:r>
      <w:proofErr w:type="spellStart"/>
      <w:r w:rsidRPr="002B77C7">
        <w:rPr>
          <w:rFonts w:ascii="Book Antiqua" w:hAnsi="Book Antiqua"/>
          <w:i/>
          <w:color w:val="010101"/>
          <w:sz w:val="24"/>
          <w:szCs w:val="23"/>
        </w:rPr>
        <w:t>Alagon</w:t>
      </w:r>
      <w:proofErr w:type="spellEnd"/>
      <w:r w:rsidRPr="002B77C7">
        <w:rPr>
          <w:rFonts w:ascii="Book Antiqua" w:hAnsi="Book Antiqua"/>
          <w:i/>
          <w:color w:val="010101"/>
          <w:sz w:val="24"/>
          <w:szCs w:val="23"/>
        </w:rPr>
        <w:t xml:space="preserve"> provides an example of this exceptional situation and turns upon an acceptance by the judge of the wholly unusual situation that the father was "doing nothing for the child beyond the bare fact of living with her on reasonably good terms". (at p 345)</w:t>
      </w:r>
    </w:p>
    <w:p w:rsidR="002F3C1A" w:rsidRDefault="002F3C1A" w:rsidP="002F3C1A">
      <w:pPr>
        <w:pStyle w:val="NormalWeb"/>
        <w:spacing w:beforeLines="0" w:afterLines="0"/>
        <w:rPr>
          <w:rFonts w:ascii="Arial" w:hAnsi="Arial"/>
          <w:color w:val="010101"/>
          <w:sz w:val="23"/>
          <w:szCs w:val="23"/>
        </w:rPr>
      </w:pPr>
    </w:p>
    <w:p w:rsidR="00836459" w:rsidRDefault="002B77C7">
      <w:pPr>
        <w:rPr>
          <w:rFonts w:ascii="Book Antiqua" w:hAnsi="Book Antiqua"/>
          <w:i/>
        </w:rPr>
      </w:pPr>
      <w:r>
        <w:rPr>
          <w:rFonts w:ascii="Book Antiqua" w:eastAsiaTheme="minorHAnsi" w:hAnsi="Book Antiqua" w:cstheme="minorBidi"/>
          <w:szCs w:val="20"/>
          <w:lang w:val="en-GB"/>
        </w:rPr>
        <w:t xml:space="preserve">16. I have concluded that the Judge clearly had these passages from the judgment in </w:t>
      </w:r>
      <w:r>
        <w:rPr>
          <w:rFonts w:ascii="Book Antiqua" w:eastAsiaTheme="minorHAnsi" w:hAnsi="Book Antiqua" w:cstheme="minorBidi"/>
          <w:i/>
          <w:szCs w:val="20"/>
          <w:lang w:val="en-GB"/>
        </w:rPr>
        <w:t>TD (Yemen)</w:t>
      </w:r>
      <w:r>
        <w:rPr>
          <w:rFonts w:ascii="Book Antiqua" w:eastAsiaTheme="minorHAnsi" w:hAnsi="Book Antiqua" w:cstheme="minorBidi"/>
          <w:szCs w:val="20"/>
          <w:lang w:val="en-GB"/>
        </w:rPr>
        <w:t xml:space="preserve"> in mind when she analysed the evidence at </w:t>
      </w:r>
      <w:r w:rsidR="00E448C9">
        <w:rPr>
          <w:rFonts w:ascii="Book Antiqua" w:eastAsiaTheme="minorHAnsi" w:hAnsi="Book Antiqua" w:cstheme="minorBidi"/>
          <w:szCs w:val="20"/>
          <w:lang w:val="en-GB"/>
        </w:rPr>
        <w:t xml:space="preserve">[22] where she found the Sponsor credible and accepted his evidence that, despite the fact that the Claimant’s mother was a good mother to the two older children, she pulled the Claimant out of school when the Sponsor did not send money; she would not speak to him or eat with him, would leave a room if he entered it and would not answer basic questions. The Judge further took into account at </w:t>
      </w:r>
      <w:r>
        <w:rPr>
          <w:rFonts w:ascii="Book Antiqua" w:eastAsiaTheme="minorHAnsi" w:hAnsi="Book Antiqua" w:cstheme="minorBidi"/>
          <w:szCs w:val="20"/>
          <w:lang w:val="en-GB"/>
        </w:rPr>
        <w:t xml:space="preserve">[25] </w:t>
      </w:r>
      <w:r w:rsidR="00E448C9">
        <w:rPr>
          <w:rFonts w:ascii="Book Antiqua" w:eastAsiaTheme="minorHAnsi" w:hAnsi="Book Antiqua" w:cstheme="minorBidi"/>
          <w:szCs w:val="20"/>
          <w:lang w:val="en-GB"/>
        </w:rPr>
        <w:t xml:space="preserve">the Claimant’s statement where he states that his mother would not even know what the gate of his school looks like as she has never visited and he prefers to stay at school rather than travel home in the holidays </w:t>
      </w:r>
      <w:r>
        <w:rPr>
          <w:rFonts w:ascii="Book Antiqua" w:eastAsiaTheme="minorHAnsi" w:hAnsi="Book Antiqua" w:cstheme="minorBidi"/>
          <w:szCs w:val="20"/>
          <w:lang w:val="en-GB"/>
        </w:rPr>
        <w:t xml:space="preserve">and </w:t>
      </w:r>
      <w:r w:rsidR="00E448C9">
        <w:rPr>
          <w:rFonts w:ascii="Book Antiqua" w:eastAsiaTheme="minorHAnsi" w:hAnsi="Book Antiqua" w:cstheme="minorBidi"/>
          <w:szCs w:val="20"/>
          <w:lang w:val="en-GB"/>
        </w:rPr>
        <w:t xml:space="preserve">that the evidence of the Claimant and his father was corroborated by the statement of Mary </w:t>
      </w:r>
      <w:proofErr w:type="spellStart"/>
      <w:r w:rsidR="00E448C9">
        <w:rPr>
          <w:rFonts w:ascii="Book Antiqua" w:eastAsiaTheme="minorHAnsi" w:hAnsi="Book Antiqua" w:cstheme="minorBidi"/>
          <w:szCs w:val="20"/>
          <w:lang w:val="en-GB"/>
        </w:rPr>
        <w:t>Adewumunmi-Aini</w:t>
      </w:r>
      <w:proofErr w:type="spellEnd"/>
      <w:r w:rsidR="00E448C9">
        <w:rPr>
          <w:rFonts w:ascii="Book Antiqua" w:eastAsiaTheme="minorHAnsi" w:hAnsi="Book Antiqua" w:cstheme="minorBidi"/>
          <w:szCs w:val="20"/>
          <w:lang w:val="en-GB"/>
        </w:rPr>
        <w:t xml:space="preserve">. </w:t>
      </w:r>
      <w:r w:rsidR="0023758E">
        <w:rPr>
          <w:rFonts w:ascii="Book Antiqua" w:eastAsiaTheme="minorHAnsi" w:hAnsi="Book Antiqua" w:cstheme="minorBidi"/>
          <w:szCs w:val="20"/>
          <w:lang w:val="en-GB"/>
        </w:rPr>
        <w:t xml:space="preserve">As to </w:t>
      </w:r>
      <w:r w:rsidR="0023758E">
        <w:rPr>
          <w:rFonts w:ascii="Book Antiqua" w:hAnsi="Book Antiqua"/>
        </w:rPr>
        <w:t xml:space="preserve">why she found the extent of neglect and emotional abuse inflicted on the Appellant by his biological mother to be severe, the Judge took into account the </w:t>
      </w:r>
      <w:r w:rsidR="00836459">
        <w:rPr>
          <w:rFonts w:ascii="Book Antiqua" w:hAnsi="Book Antiqua"/>
        </w:rPr>
        <w:t xml:space="preserve">affidavit </w:t>
      </w:r>
      <w:r w:rsidR="0023758E">
        <w:rPr>
          <w:rFonts w:ascii="Book Antiqua" w:hAnsi="Book Antiqua"/>
        </w:rPr>
        <w:t>from the Claimant’s mother</w:t>
      </w:r>
      <w:r w:rsidR="00836459">
        <w:rPr>
          <w:rFonts w:ascii="Book Antiqua" w:hAnsi="Book Antiqua"/>
        </w:rPr>
        <w:t>, recorded at [19]</w:t>
      </w:r>
      <w:r w:rsidR="0023758E">
        <w:rPr>
          <w:rFonts w:ascii="Book Antiqua" w:hAnsi="Book Antiqua"/>
        </w:rPr>
        <w:t xml:space="preserve"> that she had failed to bond with her son or treat him appropriately, in respect of which the Judge found at [25] that: “</w:t>
      </w:r>
      <w:r w:rsidR="00893093">
        <w:rPr>
          <w:rFonts w:ascii="Book Antiqua" w:hAnsi="Book Antiqua"/>
          <w:i/>
        </w:rPr>
        <w:t xml:space="preserve">There are situations in which one parent for a reason that they themselves cannot understand rejects a child. In this country it is likely to be detected and classified possibly as </w:t>
      </w:r>
      <w:proofErr w:type="spellStart"/>
      <w:r w:rsidR="00893093">
        <w:rPr>
          <w:rFonts w:ascii="Book Antiqua" w:hAnsi="Book Antiqua"/>
          <w:i/>
        </w:rPr>
        <w:t>post natal</w:t>
      </w:r>
      <w:proofErr w:type="spellEnd"/>
      <w:r w:rsidR="00893093">
        <w:rPr>
          <w:rFonts w:ascii="Book Antiqua" w:hAnsi="Book Antiqua"/>
          <w:i/>
        </w:rPr>
        <w:t xml:space="preserve"> depression, but </w:t>
      </w:r>
      <w:r w:rsidR="002B2229">
        <w:rPr>
          <w:rFonts w:ascii="Book Antiqua" w:hAnsi="Book Antiqua"/>
          <w:i/>
        </w:rPr>
        <w:t>help including speaking therapi</w:t>
      </w:r>
      <w:r w:rsidR="00893093">
        <w:rPr>
          <w:rFonts w:ascii="Book Antiqua" w:hAnsi="Book Antiqua"/>
          <w:i/>
        </w:rPr>
        <w:t xml:space="preserve">es could easily be accessed. </w:t>
      </w:r>
      <w:r w:rsidR="002B2229">
        <w:rPr>
          <w:rFonts w:ascii="Book Antiqua" w:hAnsi="Book Antiqua"/>
          <w:i/>
        </w:rPr>
        <w:t>I accept the Sponsor’s evidence that this is not the case in Nigeria…</w:t>
      </w:r>
      <w:r w:rsidR="00893093">
        <w:rPr>
          <w:rFonts w:ascii="Book Antiqua" w:hAnsi="Book Antiqua"/>
          <w:i/>
        </w:rPr>
        <w:t xml:space="preserve"> </w:t>
      </w:r>
      <w:r w:rsidR="0023758E">
        <w:rPr>
          <w:rFonts w:ascii="Book Antiqua" w:hAnsi="Book Antiqua"/>
          <w:i/>
        </w:rPr>
        <w:t>The appellant’s mother’s acceptance of her own failings in respect of the appellant is striking.”</w:t>
      </w:r>
    </w:p>
    <w:p w:rsidR="0023758E" w:rsidRDefault="0023758E">
      <w:pPr>
        <w:rPr>
          <w:rFonts w:ascii="Book Antiqua" w:hAnsi="Book Antiqua"/>
        </w:rPr>
      </w:pPr>
    </w:p>
    <w:p w:rsidR="002B77C7" w:rsidRDefault="0023758E">
      <w:pPr>
        <w:rPr>
          <w:rFonts w:ascii="Book Antiqua" w:eastAsiaTheme="minorHAnsi" w:hAnsi="Book Antiqua" w:cstheme="minorBidi"/>
          <w:szCs w:val="20"/>
          <w:lang w:val="en-GB"/>
        </w:rPr>
      </w:pPr>
      <w:r>
        <w:rPr>
          <w:rFonts w:ascii="Book Antiqua" w:hAnsi="Book Antiqua"/>
        </w:rPr>
        <w:t xml:space="preserve"> 17. </w:t>
      </w:r>
      <w:r w:rsidR="00E448C9">
        <w:rPr>
          <w:rFonts w:ascii="Book Antiqua" w:eastAsiaTheme="minorHAnsi" w:hAnsi="Book Antiqua" w:cstheme="minorBidi"/>
          <w:szCs w:val="20"/>
          <w:lang w:val="en-GB"/>
        </w:rPr>
        <w:t xml:space="preserve">The </w:t>
      </w:r>
      <w:r w:rsidR="00836459">
        <w:rPr>
          <w:rFonts w:ascii="Book Antiqua" w:eastAsiaTheme="minorHAnsi" w:hAnsi="Book Antiqua" w:cstheme="minorBidi"/>
          <w:szCs w:val="20"/>
          <w:lang w:val="en-GB"/>
        </w:rPr>
        <w:t xml:space="preserve">Judge also recorded the Claimant’s mother’s statement at [19] that the Claimant has always been supported and cared for by his father. The Judge </w:t>
      </w:r>
      <w:r w:rsidR="002B77C7">
        <w:rPr>
          <w:rFonts w:ascii="Book Antiqua" w:eastAsiaTheme="minorHAnsi" w:hAnsi="Book Antiqua" w:cstheme="minorBidi"/>
          <w:szCs w:val="20"/>
          <w:lang w:val="en-GB"/>
        </w:rPr>
        <w:t>concluded at [26] in the following terms:</w:t>
      </w:r>
    </w:p>
    <w:p w:rsidR="002B77C7" w:rsidRDefault="002B77C7">
      <w:pPr>
        <w:rPr>
          <w:rFonts w:ascii="Book Antiqua" w:eastAsiaTheme="minorHAnsi" w:hAnsi="Book Antiqua" w:cstheme="minorBidi"/>
          <w:szCs w:val="20"/>
          <w:lang w:val="en-GB"/>
        </w:rPr>
      </w:pPr>
    </w:p>
    <w:p w:rsidR="00E448C9" w:rsidRDefault="002B77C7">
      <w:pPr>
        <w:rPr>
          <w:rFonts w:ascii="Book Antiqua" w:eastAsiaTheme="minorHAnsi" w:hAnsi="Book Antiqua" w:cstheme="minorBidi"/>
          <w:szCs w:val="20"/>
          <w:lang w:val="en-GB"/>
        </w:rPr>
      </w:pPr>
      <w:r>
        <w:rPr>
          <w:rFonts w:ascii="Book Antiqua" w:eastAsiaTheme="minorHAnsi" w:hAnsi="Book Antiqua" w:cstheme="minorBidi"/>
          <w:szCs w:val="20"/>
          <w:lang w:val="en-GB"/>
        </w:rPr>
        <w:t>“</w:t>
      </w:r>
      <w:r>
        <w:rPr>
          <w:rFonts w:ascii="Book Antiqua" w:eastAsiaTheme="minorHAnsi" w:hAnsi="Book Antiqua" w:cstheme="minorBidi"/>
          <w:i/>
          <w:szCs w:val="20"/>
          <w:lang w:val="en-GB"/>
        </w:rPr>
        <w:t>having considered this case very carefully, I am satisfied that although the appellant’s father has been physically absent from the appellant’s life for a number of years that he has nevertheless been the only parent who has taken decisions in the appellant’s life and that he has had sole responsibility. He has returned to Nigeria frequently. I find that this is one of the “rare” and “exceptional” cases where there are two parents who could be classed as “present” but where only one has a relationship with the appellant. … On the evidence before me the sponsor takes care of all the key decisions, education, medical and leisure in relation to his son and has had “sole” responsibility when it comes to the key issues in his son’s life.”</w:t>
      </w:r>
    </w:p>
    <w:p w:rsidR="00E448C9" w:rsidRDefault="00E448C9">
      <w:pPr>
        <w:rPr>
          <w:rFonts w:ascii="Book Antiqua" w:eastAsiaTheme="minorHAnsi" w:hAnsi="Book Antiqua" w:cstheme="minorBidi"/>
          <w:szCs w:val="20"/>
          <w:lang w:val="en-GB"/>
        </w:rPr>
      </w:pPr>
    </w:p>
    <w:p w:rsidR="00E448C9" w:rsidRDefault="0023758E">
      <w:pPr>
        <w:rPr>
          <w:rFonts w:ascii="Book Antiqua" w:eastAsiaTheme="minorHAnsi" w:hAnsi="Book Antiqua" w:cstheme="minorBidi"/>
          <w:szCs w:val="20"/>
          <w:lang w:val="en-GB"/>
        </w:rPr>
      </w:pPr>
      <w:r>
        <w:rPr>
          <w:rFonts w:ascii="Book Antiqua" w:eastAsiaTheme="minorHAnsi" w:hAnsi="Book Antiqua" w:cstheme="minorBidi"/>
          <w:szCs w:val="20"/>
          <w:lang w:val="en-GB"/>
        </w:rPr>
        <w:t>18</w:t>
      </w:r>
      <w:r w:rsidR="00E448C9">
        <w:rPr>
          <w:rFonts w:ascii="Book Antiqua" w:eastAsiaTheme="minorHAnsi" w:hAnsi="Book Antiqua" w:cstheme="minorBidi"/>
          <w:szCs w:val="20"/>
          <w:lang w:val="en-GB"/>
        </w:rPr>
        <w:t xml:space="preserve">. I find when the Judge’s findings are read as a whole </w:t>
      </w:r>
      <w:r w:rsidR="00836459">
        <w:rPr>
          <w:rFonts w:ascii="Book Antiqua" w:eastAsiaTheme="minorHAnsi" w:hAnsi="Book Antiqua" w:cstheme="minorBidi"/>
          <w:szCs w:val="20"/>
          <w:lang w:val="en-GB"/>
        </w:rPr>
        <w:t xml:space="preserve">and in light of the decision in </w:t>
      </w:r>
      <w:r w:rsidR="00836459">
        <w:rPr>
          <w:rFonts w:ascii="Book Antiqua" w:eastAsiaTheme="minorHAnsi" w:hAnsi="Book Antiqua" w:cstheme="minorBidi"/>
          <w:i/>
          <w:szCs w:val="20"/>
          <w:lang w:val="en-GB"/>
        </w:rPr>
        <w:t xml:space="preserve">TD (Yemen) </w:t>
      </w:r>
      <w:r w:rsidR="00E448C9">
        <w:rPr>
          <w:rFonts w:ascii="Book Antiqua" w:eastAsiaTheme="minorHAnsi" w:hAnsi="Book Antiqua" w:cstheme="minorBidi"/>
          <w:szCs w:val="20"/>
          <w:lang w:val="en-GB"/>
        </w:rPr>
        <w:t>that she provided adequate and sustainable reasons for finding that the Sponsor has sole responsibility for his son.</w:t>
      </w:r>
    </w:p>
    <w:p w:rsidR="00E448C9" w:rsidRDefault="00E448C9">
      <w:pPr>
        <w:rPr>
          <w:rFonts w:ascii="Book Antiqua" w:eastAsiaTheme="minorHAnsi" w:hAnsi="Book Antiqua" w:cstheme="minorBidi"/>
          <w:szCs w:val="20"/>
          <w:lang w:val="en-GB"/>
        </w:rPr>
      </w:pPr>
    </w:p>
    <w:p w:rsidR="00453678" w:rsidRDefault="0023758E">
      <w:pPr>
        <w:rPr>
          <w:rFonts w:ascii="Book Antiqua" w:hAnsi="Book Antiqua"/>
        </w:rPr>
      </w:pPr>
      <w:r>
        <w:rPr>
          <w:rFonts w:ascii="Book Antiqua" w:eastAsiaTheme="minorHAnsi" w:hAnsi="Book Antiqua" w:cstheme="minorBidi"/>
          <w:szCs w:val="20"/>
          <w:lang w:val="en-GB"/>
        </w:rPr>
        <w:t>19</w:t>
      </w:r>
      <w:r w:rsidR="00E448C9">
        <w:rPr>
          <w:rFonts w:ascii="Book Antiqua" w:eastAsiaTheme="minorHAnsi" w:hAnsi="Book Antiqua" w:cstheme="minorBidi"/>
          <w:szCs w:val="20"/>
          <w:lang w:val="en-GB"/>
        </w:rPr>
        <w:t xml:space="preserve">. In respect of the second ground of appeal, </w:t>
      </w:r>
      <w:r w:rsidR="00893093">
        <w:rPr>
          <w:rFonts w:ascii="Book Antiqua" w:hAnsi="Book Antiqua"/>
        </w:rPr>
        <w:t>that the Judge has failed to provide</w:t>
      </w:r>
      <w:r>
        <w:rPr>
          <w:rFonts w:ascii="Book Antiqua" w:hAnsi="Book Antiqua"/>
        </w:rPr>
        <w:t xml:space="preserve"> reason</w:t>
      </w:r>
      <w:r w:rsidR="00893093">
        <w:rPr>
          <w:rFonts w:ascii="Book Antiqua" w:hAnsi="Book Antiqua"/>
        </w:rPr>
        <w:t>s as to</w:t>
      </w:r>
      <w:r>
        <w:rPr>
          <w:rFonts w:ascii="Book Antiqua" w:hAnsi="Book Antiqua"/>
        </w:rPr>
        <w:t xml:space="preserve"> how the Respondent’s father continues to have continuing contr</w:t>
      </w:r>
      <w:r w:rsidR="00893093">
        <w:rPr>
          <w:rFonts w:ascii="Book Antiqua" w:hAnsi="Book Antiqua"/>
        </w:rPr>
        <w:t xml:space="preserve">ol and direction over his life, I find in light of the </w:t>
      </w:r>
      <w:r w:rsidR="002B2229">
        <w:rPr>
          <w:rFonts w:ascii="Book Antiqua" w:hAnsi="Book Antiqua"/>
        </w:rPr>
        <w:t xml:space="preserve">Judge’s findings at [26] </w:t>
      </w:r>
      <w:r w:rsidR="00893093">
        <w:rPr>
          <w:rFonts w:ascii="Book Antiqua" w:hAnsi="Book Antiqua"/>
        </w:rPr>
        <w:t>above</w:t>
      </w:r>
      <w:r w:rsidR="002B2229">
        <w:rPr>
          <w:rFonts w:ascii="Book Antiqua" w:hAnsi="Book Antiqua"/>
        </w:rPr>
        <w:t xml:space="preserve"> that she provided sufficient reasons, </w:t>
      </w:r>
      <w:r w:rsidR="00893093">
        <w:rPr>
          <w:rFonts w:ascii="Book Antiqua" w:hAnsi="Book Antiqua"/>
        </w:rPr>
        <w:t xml:space="preserve">which were open to her in light of the evidence. </w:t>
      </w:r>
      <w:r w:rsidR="002B2229">
        <w:rPr>
          <w:rFonts w:ascii="Book Antiqua" w:hAnsi="Book Antiqua"/>
        </w:rPr>
        <w:t>T</w:t>
      </w:r>
      <w:r w:rsidR="00893093">
        <w:rPr>
          <w:rFonts w:ascii="Book Antiqua" w:hAnsi="Book Antiqua"/>
        </w:rPr>
        <w:t>he Judge found the Sponsor to be credible and accepted his evidence that he and his wife had always had a difficult relationship but societal pressure was such that they did not want a divorce and the situation was now so bad that he is no longer able to return to the matrimonial home [22]. He also stated that at the time he took the decision to come to work in the United Kingdom he believed his family would join him and did not anticipate a situation where he would be leaving a child behind in Nigeria whose mother did not care for him and that he makes every effort to go back to Nigeria during all the school holidays [23]. The letters from the school where he works show that he has struggled for some time with the question of whether to remain in the UK because he is separated from his son [24].</w:t>
      </w:r>
      <w:r w:rsidR="002B2229">
        <w:rPr>
          <w:rFonts w:ascii="Book Antiqua" w:hAnsi="Book Antiqua"/>
        </w:rPr>
        <w:t xml:space="preserve"> </w:t>
      </w:r>
      <w:r w:rsidR="00836459">
        <w:rPr>
          <w:rFonts w:ascii="Book Antiqua" w:hAnsi="Book Antiqua"/>
        </w:rPr>
        <w:t xml:space="preserve">The fact that the Claimant returns to live with his mother during the school holidays must, in my finding, be considered </w:t>
      </w:r>
      <w:proofErr w:type="gramStart"/>
      <w:r w:rsidR="00836459">
        <w:rPr>
          <w:rFonts w:ascii="Book Antiqua" w:hAnsi="Book Antiqua"/>
        </w:rPr>
        <w:t>in light of</w:t>
      </w:r>
      <w:proofErr w:type="gramEnd"/>
      <w:r w:rsidR="00836459">
        <w:rPr>
          <w:rFonts w:ascii="Book Antiqua" w:hAnsi="Book Antiqua"/>
        </w:rPr>
        <w:t xml:space="preserve"> the evidence as a whole which is that he prefers to stay at school and that the Sponsor returns to Nigeria as often as he can during the school holidays. </w:t>
      </w:r>
      <w:r w:rsidR="00A15453">
        <w:rPr>
          <w:rFonts w:ascii="Book Antiqua" w:hAnsi="Book Antiqua"/>
        </w:rPr>
        <w:t xml:space="preserve">Further, whilst the Sponsor was interviewed over the telephone and this formed the basis of the refusal decision, the Judge accepted his evidence at [12] </w:t>
      </w:r>
      <w:r w:rsidR="00453678">
        <w:rPr>
          <w:rFonts w:ascii="Book Antiqua" w:hAnsi="Book Antiqua"/>
        </w:rPr>
        <w:t>that the record of the interview is an abridged version and his answers have been quoted out of context.</w:t>
      </w:r>
    </w:p>
    <w:p w:rsidR="00453678" w:rsidRDefault="00453678">
      <w:pPr>
        <w:rPr>
          <w:rFonts w:ascii="Book Antiqua" w:hAnsi="Book Antiqua"/>
        </w:rPr>
      </w:pPr>
    </w:p>
    <w:p w:rsidR="002B2229" w:rsidRDefault="00453678">
      <w:pPr>
        <w:rPr>
          <w:rFonts w:ascii="Book Antiqua" w:hAnsi="Book Antiqua"/>
        </w:rPr>
      </w:pPr>
      <w:r>
        <w:rPr>
          <w:rFonts w:ascii="Book Antiqua" w:hAnsi="Book Antiqua"/>
        </w:rPr>
        <w:t>20.</w:t>
      </w:r>
      <w:r w:rsidR="00A15453">
        <w:rPr>
          <w:rFonts w:ascii="Book Antiqua" w:hAnsi="Book Antiqua"/>
        </w:rPr>
        <w:t xml:space="preserve"> </w:t>
      </w:r>
      <w:r>
        <w:rPr>
          <w:rFonts w:ascii="Book Antiqua" w:hAnsi="Book Antiqua"/>
        </w:rPr>
        <w:t xml:space="preserve">For the reasons set out above, </w:t>
      </w:r>
      <w:r w:rsidR="002B2229">
        <w:rPr>
          <w:rFonts w:ascii="Book Antiqua" w:hAnsi="Book Antiqua"/>
        </w:rPr>
        <w:t>I find that this ground of appeal lacks substance and amounts to no more than a disagreement with the Judge’s findings of fact</w:t>
      </w:r>
      <w:r w:rsidR="00836459">
        <w:rPr>
          <w:rFonts w:ascii="Book Antiqua" w:hAnsi="Book Antiqua"/>
        </w:rPr>
        <w:t>, which were open to her on the evidence before her</w:t>
      </w:r>
      <w:r w:rsidR="002B2229">
        <w:rPr>
          <w:rFonts w:ascii="Book Antiqua" w:hAnsi="Book Antiqua"/>
        </w:rPr>
        <w:t>.</w:t>
      </w:r>
    </w:p>
    <w:p w:rsidR="002B2229" w:rsidRDefault="002B2229">
      <w:pPr>
        <w:rPr>
          <w:rFonts w:ascii="Book Antiqua" w:hAnsi="Book Antiqua"/>
        </w:rPr>
      </w:pPr>
    </w:p>
    <w:p w:rsidR="000B5BF4" w:rsidRDefault="000B5BF4">
      <w:pPr>
        <w:rPr>
          <w:rFonts w:ascii="Book Antiqua" w:hAnsi="Book Antiqua"/>
          <w:i/>
        </w:rPr>
      </w:pPr>
    </w:p>
    <w:p w:rsidR="002B2229" w:rsidRDefault="002B2229">
      <w:pPr>
        <w:rPr>
          <w:rFonts w:ascii="Book Antiqua" w:hAnsi="Book Antiqua"/>
          <w:i/>
        </w:rPr>
      </w:pPr>
      <w:bookmarkStart w:id="0" w:name="_GoBack"/>
      <w:bookmarkEnd w:id="0"/>
      <w:r>
        <w:rPr>
          <w:rFonts w:ascii="Book Antiqua" w:hAnsi="Book Antiqua"/>
          <w:i/>
        </w:rPr>
        <w:lastRenderedPageBreak/>
        <w:t>Decision</w:t>
      </w:r>
    </w:p>
    <w:p w:rsidR="002B2229" w:rsidRDefault="002B2229">
      <w:pPr>
        <w:rPr>
          <w:rFonts w:ascii="Book Antiqua" w:hAnsi="Book Antiqua"/>
          <w:i/>
        </w:rPr>
      </w:pPr>
    </w:p>
    <w:p w:rsidR="002B2229" w:rsidRDefault="00453678">
      <w:pPr>
        <w:rPr>
          <w:rFonts w:ascii="Book Antiqua" w:hAnsi="Book Antiqua"/>
        </w:rPr>
      </w:pPr>
      <w:r>
        <w:rPr>
          <w:rFonts w:ascii="Book Antiqua" w:hAnsi="Book Antiqua"/>
        </w:rPr>
        <w:t>21</w:t>
      </w:r>
      <w:r w:rsidR="002B2229">
        <w:rPr>
          <w:rFonts w:ascii="Book Antiqua" w:hAnsi="Book Antiqua"/>
        </w:rPr>
        <w:t xml:space="preserve">. I find no material errors of law in the decision of the First </w:t>
      </w:r>
      <w:proofErr w:type="gramStart"/>
      <w:r w:rsidR="002B2229">
        <w:rPr>
          <w:rFonts w:ascii="Book Antiqua" w:hAnsi="Book Antiqua"/>
        </w:rPr>
        <w:t>tier</w:t>
      </w:r>
      <w:proofErr w:type="gramEnd"/>
      <w:r w:rsidR="002B2229">
        <w:rPr>
          <w:rFonts w:ascii="Book Antiqua" w:hAnsi="Book Antiqua"/>
        </w:rPr>
        <w:t xml:space="preserve"> Tribunal Judge. Consequently, I dismiss the appeal on the part of the Entry Clearance Officer and uphold the decision of First </w:t>
      </w:r>
      <w:proofErr w:type="gramStart"/>
      <w:r w:rsidR="002B2229">
        <w:rPr>
          <w:rFonts w:ascii="Book Antiqua" w:hAnsi="Book Antiqua"/>
        </w:rPr>
        <w:t>tier</w:t>
      </w:r>
      <w:proofErr w:type="gramEnd"/>
      <w:r w:rsidR="002B2229">
        <w:rPr>
          <w:rFonts w:ascii="Book Antiqua" w:hAnsi="Book Antiqua"/>
        </w:rPr>
        <w:t xml:space="preserve"> Tribunal Judge Shamash.</w:t>
      </w:r>
    </w:p>
    <w:p w:rsidR="002B2229" w:rsidRDefault="002B2229">
      <w:pPr>
        <w:rPr>
          <w:rFonts w:ascii="Book Antiqua" w:hAnsi="Book Antiqua"/>
        </w:rPr>
      </w:pPr>
    </w:p>
    <w:p w:rsidR="002B2229" w:rsidRDefault="002B2229">
      <w:pPr>
        <w:rPr>
          <w:rFonts w:ascii="Book Antiqua" w:hAnsi="Book Antiqua"/>
        </w:rPr>
      </w:pPr>
    </w:p>
    <w:p w:rsidR="002B2229" w:rsidRPr="002B2229" w:rsidRDefault="002B2229">
      <w:pPr>
        <w:rPr>
          <w:rFonts w:ascii="Lucida Calligraphy" w:hAnsi="Lucida Calligraphy"/>
        </w:rPr>
      </w:pPr>
      <w:r>
        <w:rPr>
          <w:rFonts w:ascii="Lucida Calligraphy" w:hAnsi="Lucida Calligraphy"/>
        </w:rPr>
        <w:t>Rebecca Chapman</w:t>
      </w:r>
    </w:p>
    <w:p w:rsidR="002B2229" w:rsidRDefault="002B2229">
      <w:pPr>
        <w:rPr>
          <w:rFonts w:ascii="Book Antiqua" w:hAnsi="Book Antiqua"/>
        </w:rPr>
      </w:pPr>
    </w:p>
    <w:p w:rsidR="001927BB" w:rsidRPr="002B2229" w:rsidRDefault="002B2229">
      <w:pPr>
        <w:rPr>
          <w:rFonts w:ascii="Book Antiqua" w:hAnsi="Book Antiqua"/>
        </w:rPr>
      </w:pPr>
      <w:r>
        <w:rPr>
          <w:rFonts w:ascii="Book Antiqua" w:hAnsi="Book Antiqua"/>
        </w:rPr>
        <w:t>Deputy Upper Tribunal Judge Chapman</w:t>
      </w:r>
      <w:r>
        <w:rPr>
          <w:rFonts w:ascii="Book Antiqua" w:hAnsi="Book Antiqua"/>
        </w:rPr>
        <w:tab/>
      </w:r>
      <w:r>
        <w:rPr>
          <w:rFonts w:ascii="Book Antiqua" w:hAnsi="Book Antiqua"/>
        </w:rPr>
        <w:tab/>
      </w:r>
      <w:r>
        <w:rPr>
          <w:rFonts w:ascii="Book Antiqua" w:hAnsi="Book Antiqua"/>
        </w:rPr>
        <w:tab/>
      </w:r>
      <w:r>
        <w:rPr>
          <w:rFonts w:ascii="Book Antiqua" w:hAnsi="Book Antiqua"/>
        </w:rPr>
        <w:tab/>
        <w:t>29 July 2018</w:t>
      </w:r>
    </w:p>
    <w:sectPr w:rsidR="001927BB" w:rsidRPr="002B2229" w:rsidSect="000B5BF4">
      <w:headerReference w:type="default" r:id="rId7"/>
      <w:footerReference w:type="even" r:id="rId8"/>
      <w:footerReference w:type="default" r:id="rId9"/>
      <w:footerReference w:type="first" r:id="rId10"/>
      <w:pgSz w:w="11900" w:h="16840" w:code="9"/>
      <w:pgMar w:top="142" w:right="1797" w:bottom="1440" w:left="1797" w:header="709" w:footer="709"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2519" w:rsidRDefault="007C0A8E">
      <w:r>
        <w:separator/>
      </w:r>
    </w:p>
  </w:endnote>
  <w:endnote w:type="continuationSeparator" w:id="0">
    <w:p w:rsidR="00E12519" w:rsidRDefault="007C0A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imes">
    <w:altName w:val="Times Roman"/>
    <w:panose1 w:val="02020603050405020304"/>
    <w:charset w:val="4D"/>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5453" w:rsidRDefault="00A15453" w:rsidP="001927B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5453" w:rsidRDefault="00A154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5453" w:rsidRPr="000B5BF4" w:rsidRDefault="00A15453" w:rsidP="001927BB">
    <w:pPr>
      <w:pStyle w:val="Footer"/>
      <w:framePr w:wrap="around" w:vAnchor="text" w:hAnchor="margin" w:xAlign="center" w:y="1"/>
      <w:rPr>
        <w:rStyle w:val="PageNumber"/>
        <w:rFonts w:ascii="Book Antiqua" w:hAnsi="Book Antiqua"/>
      </w:rPr>
    </w:pPr>
    <w:r w:rsidRPr="000B5BF4">
      <w:rPr>
        <w:rStyle w:val="PageNumber"/>
        <w:rFonts w:ascii="Book Antiqua" w:hAnsi="Book Antiqua"/>
      </w:rPr>
      <w:fldChar w:fldCharType="begin"/>
    </w:r>
    <w:r w:rsidRPr="000B5BF4">
      <w:rPr>
        <w:rStyle w:val="PageNumber"/>
        <w:rFonts w:ascii="Book Antiqua" w:hAnsi="Book Antiqua"/>
      </w:rPr>
      <w:instrText xml:space="preserve">PAGE  </w:instrText>
    </w:r>
    <w:r w:rsidRPr="000B5BF4">
      <w:rPr>
        <w:rStyle w:val="PageNumber"/>
        <w:rFonts w:ascii="Book Antiqua" w:hAnsi="Book Antiqua"/>
      </w:rPr>
      <w:fldChar w:fldCharType="separate"/>
    </w:r>
    <w:r w:rsidR="004C0FEE">
      <w:rPr>
        <w:rStyle w:val="PageNumber"/>
        <w:rFonts w:ascii="Book Antiqua" w:hAnsi="Book Antiqua"/>
        <w:noProof/>
      </w:rPr>
      <w:t>7</w:t>
    </w:r>
    <w:r w:rsidRPr="000B5BF4">
      <w:rPr>
        <w:rStyle w:val="PageNumber"/>
        <w:rFonts w:ascii="Book Antiqua" w:hAnsi="Book Antiqua"/>
      </w:rPr>
      <w:fldChar w:fldCharType="end"/>
    </w:r>
  </w:p>
  <w:p w:rsidR="00A15453" w:rsidRDefault="00A1545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697F" w:rsidRPr="000B5BF4" w:rsidRDefault="007C697F" w:rsidP="007C697F">
    <w:pPr>
      <w:pStyle w:val="Footer"/>
      <w:jc w:val="center"/>
      <w:rPr>
        <w:rFonts w:ascii="Book Antiqua" w:hAnsi="Book Antiqua"/>
        <w:b/>
      </w:rPr>
    </w:pPr>
    <w:r w:rsidRPr="000B5BF4">
      <w:rPr>
        <w:rFonts w:ascii="Book Antiqua" w:hAnsi="Book Antiqua"/>
        <w:b/>
      </w:rPr>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2519" w:rsidRDefault="007C0A8E">
      <w:r>
        <w:separator/>
      </w:r>
    </w:p>
  </w:footnote>
  <w:footnote w:type="continuationSeparator" w:id="0">
    <w:p w:rsidR="00E12519" w:rsidRDefault="007C0A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3AEB" w:rsidRDefault="009A3AEB" w:rsidP="009A3AEB">
    <w:pPr>
      <w:pStyle w:val="Header"/>
      <w:jc w:val="right"/>
      <w:rPr>
        <w:rFonts w:ascii="Book Antiqua" w:hAnsi="Book Antiqua" w:cs="Arial"/>
        <w:caps/>
        <w:color w:val="000000"/>
        <w:sz w:val="16"/>
        <w:szCs w:val="16"/>
      </w:rPr>
    </w:pPr>
    <w:r w:rsidRPr="000B5BF4">
      <w:rPr>
        <w:rFonts w:ascii="Book Antiqua" w:hAnsi="Book Antiqua" w:cs="Arial"/>
        <w:color w:val="000000"/>
        <w:sz w:val="16"/>
        <w:szCs w:val="16"/>
      </w:rPr>
      <w:t xml:space="preserve">Appeal Number: </w:t>
    </w:r>
    <w:r w:rsidRPr="000B5BF4">
      <w:rPr>
        <w:rFonts w:ascii="Book Antiqua" w:hAnsi="Book Antiqua" w:cs="Arial"/>
        <w:caps/>
        <w:color w:val="000000"/>
        <w:sz w:val="16"/>
        <w:szCs w:val="16"/>
      </w:rPr>
      <w:t>HU/04385/2017</w:t>
    </w:r>
  </w:p>
  <w:p w:rsidR="000B5BF4" w:rsidRPr="000B5BF4" w:rsidRDefault="000B5BF4" w:rsidP="009A3AEB">
    <w:pPr>
      <w:pStyle w:val="Header"/>
      <w:jc w:val="right"/>
      <w:rPr>
        <w:sz w:val="16"/>
        <w:szCs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2D6"/>
    <w:rsid w:val="000556EF"/>
    <w:rsid w:val="00072F54"/>
    <w:rsid w:val="000B5BF4"/>
    <w:rsid w:val="001054E4"/>
    <w:rsid w:val="001064FE"/>
    <w:rsid w:val="00143E60"/>
    <w:rsid w:val="001927BB"/>
    <w:rsid w:val="0023758E"/>
    <w:rsid w:val="002B2229"/>
    <w:rsid w:val="002B77C7"/>
    <w:rsid w:val="002F3C1A"/>
    <w:rsid w:val="00375501"/>
    <w:rsid w:val="00386024"/>
    <w:rsid w:val="003E2AAC"/>
    <w:rsid w:val="00453678"/>
    <w:rsid w:val="004939D7"/>
    <w:rsid w:val="004C0FEE"/>
    <w:rsid w:val="00591574"/>
    <w:rsid w:val="005A6274"/>
    <w:rsid w:val="00655ACB"/>
    <w:rsid w:val="0078203D"/>
    <w:rsid w:val="007A0CBF"/>
    <w:rsid w:val="007C0A8E"/>
    <w:rsid w:val="007C697F"/>
    <w:rsid w:val="00836459"/>
    <w:rsid w:val="00893093"/>
    <w:rsid w:val="009A3AEB"/>
    <w:rsid w:val="00A15453"/>
    <w:rsid w:val="00C142D6"/>
    <w:rsid w:val="00E12519"/>
    <w:rsid w:val="00E12845"/>
    <w:rsid w:val="00E448C9"/>
    <w:rsid w:val="00EE01A5"/>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25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42D6"/>
    <w:rPr>
      <w:rFonts w:ascii="Cambria" w:eastAsia="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927BB"/>
    <w:pPr>
      <w:tabs>
        <w:tab w:val="center" w:pos="4320"/>
        <w:tab w:val="right" w:pos="8640"/>
      </w:tabs>
    </w:pPr>
  </w:style>
  <w:style w:type="character" w:customStyle="1" w:styleId="FooterChar">
    <w:name w:val="Footer Char"/>
    <w:basedOn w:val="DefaultParagraphFont"/>
    <w:link w:val="Footer"/>
    <w:uiPriority w:val="99"/>
    <w:rsid w:val="001927BB"/>
    <w:rPr>
      <w:rFonts w:ascii="Cambria" w:eastAsia="Cambria" w:hAnsi="Cambria" w:cs="Times New Roman"/>
    </w:rPr>
  </w:style>
  <w:style w:type="character" w:styleId="PageNumber">
    <w:name w:val="page number"/>
    <w:basedOn w:val="DefaultParagraphFont"/>
    <w:uiPriority w:val="99"/>
    <w:semiHidden/>
    <w:unhideWhenUsed/>
    <w:rsid w:val="001927BB"/>
  </w:style>
  <w:style w:type="paragraph" w:styleId="NormalWeb">
    <w:name w:val="Normal (Web)"/>
    <w:basedOn w:val="Normal"/>
    <w:uiPriority w:val="99"/>
    <w:rsid w:val="002F3C1A"/>
    <w:pPr>
      <w:spacing w:beforeLines="1" w:afterLines="1"/>
    </w:pPr>
    <w:rPr>
      <w:rFonts w:ascii="Times" w:eastAsiaTheme="minorHAnsi" w:hAnsi="Times"/>
      <w:sz w:val="20"/>
      <w:szCs w:val="20"/>
      <w:lang w:val="en-GB"/>
    </w:rPr>
  </w:style>
  <w:style w:type="character" w:customStyle="1" w:styleId="apple-converted-space">
    <w:name w:val="apple-converted-space"/>
    <w:basedOn w:val="DefaultParagraphFont"/>
    <w:rsid w:val="002F3C1A"/>
  </w:style>
  <w:style w:type="paragraph" w:styleId="Header">
    <w:name w:val="header"/>
    <w:basedOn w:val="Normal"/>
    <w:link w:val="HeaderChar"/>
    <w:uiPriority w:val="99"/>
    <w:unhideWhenUsed/>
    <w:rsid w:val="007C697F"/>
    <w:pPr>
      <w:tabs>
        <w:tab w:val="center" w:pos="4513"/>
        <w:tab w:val="right" w:pos="9026"/>
      </w:tabs>
    </w:pPr>
  </w:style>
  <w:style w:type="character" w:customStyle="1" w:styleId="HeaderChar">
    <w:name w:val="Header Char"/>
    <w:basedOn w:val="DefaultParagraphFont"/>
    <w:link w:val="Header"/>
    <w:uiPriority w:val="99"/>
    <w:rsid w:val="007C697F"/>
    <w:rPr>
      <w:rFonts w:ascii="Cambria" w:eastAsia="Cambria" w:hAnsi="Cambria" w:cs="Times New Roman"/>
    </w:rPr>
  </w:style>
  <w:style w:type="paragraph" w:styleId="BalloonText">
    <w:name w:val="Balloon Text"/>
    <w:basedOn w:val="Normal"/>
    <w:link w:val="BalloonTextChar"/>
    <w:uiPriority w:val="99"/>
    <w:semiHidden/>
    <w:unhideWhenUsed/>
    <w:rsid w:val="001054E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4E4"/>
    <w:rPr>
      <w:rFonts w:ascii="Segoe UI" w:eastAsia="Cambr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673178">
      <w:bodyDiv w:val="1"/>
      <w:marLeft w:val="0"/>
      <w:marRight w:val="0"/>
      <w:marTop w:val="0"/>
      <w:marBottom w:val="0"/>
      <w:divBdr>
        <w:top w:val="none" w:sz="0" w:space="0" w:color="auto"/>
        <w:left w:val="none" w:sz="0" w:space="0" w:color="auto"/>
        <w:bottom w:val="none" w:sz="0" w:space="0" w:color="auto"/>
        <w:right w:val="none" w:sz="0" w:space="0" w:color="auto"/>
      </w:divBdr>
    </w:div>
    <w:div w:id="811408073">
      <w:bodyDiv w:val="1"/>
      <w:marLeft w:val="0"/>
      <w:marRight w:val="0"/>
      <w:marTop w:val="0"/>
      <w:marBottom w:val="0"/>
      <w:divBdr>
        <w:top w:val="none" w:sz="0" w:space="0" w:color="auto"/>
        <w:left w:val="none" w:sz="0" w:space="0" w:color="auto"/>
        <w:bottom w:val="none" w:sz="0" w:space="0" w:color="auto"/>
        <w:right w:val="none" w:sz="0" w:space="0" w:color="auto"/>
      </w:divBdr>
    </w:div>
    <w:div w:id="1377392985">
      <w:bodyDiv w:val="1"/>
      <w:marLeft w:val="0"/>
      <w:marRight w:val="0"/>
      <w:marTop w:val="0"/>
      <w:marBottom w:val="0"/>
      <w:divBdr>
        <w:top w:val="none" w:sz="0" w:space="0" w:color="auto"/>
        <w:left w:val="none" w:sz="0" w:space="0" w:color="auto"/>
        <w:bottom w:val="none" w:sz="0" w:space="0" w:color="auto"/>
        <w:right w:val="none" w:sz="0" w:space="0" w:color="auto"/>
      </w:divBdr>
    </w:div>
    <w:div w:id="15984405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2475</Words>
  <Characters>14110</Characters>
  <Application>Microsoft Office Word</Application>
  <DocSecurity>0</DocSecurity>
  <Lines>117</Lines>
  <Paragraphs>33</Paragraphs>
  <ScaleCrop>false</ScaleCrop>
  <Company/>
  <LinksUpToDate>false</LinksUpToDate>
  <CharactersWithSpaces>16552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2018-08-20T12:31:00Z</dcterms:created>
  <dcterms:modified xsi:type="dcterms:W3CDTF">2018-08-20T12:31:00Z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