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F353C" w14:textId="01C6A23D" w:rsidR="00612089" w:rsidRDefault="00BC316E" w:rsidP="00173B0F">
      <w:pPr>
        <w:spacing w:before="120" w:after="120"/>
        <w:jc w:val="center"/>
        <w:rPr>
          <w:rFonts w:ascii="Book Antiqua" w:hAnsi="Book Antiqua" w:cs="Arial"/>
          <w:sz w:val="16"/>
          <w:szCs w:val="16"/>
        </w:rPr>
      </w:pPr>
      <w:r>
        <w:rPr>
          <w:noProof/>
        </w:rPr>
        <w:drawing>
          <wp:inline distT="0" distB="0" distL="0" distR="0" wp14:anchorId="4C667BE7" wp14:editId="61908EE4">
            <wp:extent cx="1041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inline>
        </w:drawing>
      </w:r>
    </w:p>
    <w:p w14:paraId="0799F799" w14:textId="77777777" w:rsidR="00612089" w:rsidRDefault="00612089" w:rsidP="00173B0F">
      <w:pPr>
        <w:tabs>
          <w:tab w:val="right" w:pos="9639"/>
        </w:tabs>
        <w:spacing w:before="120" w:after="120"/>
        <w:rPr>
          <w:rFonts w:ascii="Book Antiqua" w:hAnsi="Book Antiqua" w:cs="Arial"/>
          <w:b/>
        </w:rPr>
      </w:pPr>
      <w:r>
        <w:rPr>
          <w:rFonts w:ascii="Book Antiqua" w:hAnsi="Book Antiqua" w:cs="Arial"/>
          <w:b/>
        </w:rPr>
        <w:t xml:space="preserve">Upper Tribunal </w:t>
      </w:r>
    </w:p>
    <w:p w14:paraId="38BC4FEC" w14:textId="77777777" w:rsidR="00612089" w:rsidRDefault="00612089" w:rsidP="00173B0F">
      <w:pPr>
        <w:tabs>
          <w:tab w:val="right" w:pos="9639"/>
        </w:tabs>
        <w:spacing w:before="120" w:after="120"/>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GoBack"/>
      <w:r w:rsidR="00AE2BB2">
        <w:rPr>
          <w:rFonts w:ascii="Book Antiqua" w:hAnsi="Book Antiqua" w:cs="Arial"/>
          <w:caps/>
        </w:rPr>
        <w:t>HU/04846/2016</w:t>
      </w:r>
      <w:bookmarkEnd w:id="0"/>
    </w:p>
    <w:p w14:paraId="2B52D213" w14:textId="2A2C446A" w:rsidR="00D3470C" w:rsidRDefault="00D3470C" w:rsidP="00173B0F">
      <w:pPr>
        <w:spacing w:before="120" w:after="120"/>
        <w:jc w:val="center"/>
        <w:rPr>
          <w:rFonts w:ascii="Book Antiqua" w:hAnsi="Book Antiqua" w:cs="Arial"/>
          <w:b/>
          <w:u w:val="single"/>
        </w:rPr>
      </w:pPr>
    </w:p>
    <w:p w14:paraId="2351E55E" w14:textId="0876F1B0" w:rsidR="00612089" w:rsidRDefault="00612089" w:rsidP="00173B0F">
      <w:pPr>
        <w:spacing w:before="120" w:after="120"/>
        <w:jc w:val="center"/>
        <w:rPr>
          <w:rFonts w:ascii="Book Antiqua" w:hAnsi="Book Antiqua" w:cs="Arial"/>
          <w:b/>
          <w:u w:val="single"/>
        </w:rPr>
      </w:pPr>
      <w:r>
        <w:rPr>
          <w:rFonts w:ascii="Book Antiqua" w:hAnsi="Book Antiqua" w:cs="Arial"/>
          <w:b/>
          <w:u w:val="single"/>
        </w:rPr>
        <w:t>THE IMMIGRATION ACTS</w:t>
      </w:r>
    </w:p>
    <w:p w14:paraId="4040D60C" w14:textId="77777777" w:rsidR="005F3044" w:rsidRDefault="005F3044" w:rsidP="00173B0F">
      <w:pPr>
        <w:spacing w:before="120" w:after="120"/>
        <w:jc w:val="center"/>
        <w:rPr>
          <w:rFonts w:ascii="Book Antiqua" w:hAnsi="Book Antiqua" w:cs="Arial"/>
          <w:b/>
          <w:u w:val="single"/>
        </w:rPr>
      </w:pPr>
    </w:p>
    <w:tbl>
      <w:tblPr>
        <w:tblW w:w="10286" w:type="dxa"/>
        <w:tblLook w:val="01E0" w:firstRow="1" w:lastRow="1" w:firstColumn="1" w:lastColumn="1" w:noHBand="0" w:noVBand="0"/>
      </w:tblPr>
      <w:tblGrid>
        <w:gridCol w:w="6217"/>
        <w:gridCol w:w="4069"/>
      </w:tblGrid>
      <w:tr w:rsidR="00612089" w:rsidRPr="00E315DC" w14:paraId="47D3DC0C" w14:textId="77777777" w:rsidTr="0029212B">
        <w:trPr>
          <w:trHeight w:val="164"/>
        </w:trPr>
        <w:tc>
          <w:tcPr>
            <w:tcW w:w="6217" w:type="dxa"/>
            <w:shd w:val="clear" w:color="auto" w:fill="auto"/>
          </w:tcPr>
          <w:p w14:paraId="17D8FF0C" w14:textId="77777777" w:rsidR="00612089" w:rsidRPr="00E315DC" w:rsidRDefault="00612089" w:rsidP="0029212B">
            <w:pPr>
              <w:jc w:val="both"/>
              <w:rPr>
                <w:rFonts w:ascii="Book Antiqua" w:hAnsi="Book Antiqua" w:cs="Arial"/>
                <w:b/>
              </w:rPr>
            </w:pPr>
            <w:r w:rsidRPr="00E315DC">
              <w:rPr>
                <w:rFonts w:ascii="Book Antiqua" w:hAnsi="Book Antiqua" w:cs="Arial"/>
                <w:b/>
              </w:rPr>
              <w:t xml:space="preserve">Heard at </w:t>
            </w:r>
            <w:r w:rsidR="00AE2BB2" w:rsidRPr="00E315DC">
              <w:rPr>
                <w:rFonts w:ascii="Book Antiqua" w:hAnsi="Book Antiqua" w:cs="Arial"/>
                <w:b/>
              </w:rPr>
              <w:t>Field House</w:t>
            </w:r>
          </w:p>
        </w:tc>
        <w:tc>
          <w:tcPr>
            <w:tcW w:w="4069" w:type="dxa"/>
            <w:shd w:val="clear" w:color="auto" w:fill="auto"/>
          </w:tcPr>
          <w:p w14:paraId="7ABD362A" w14:textId="77777777" w:rsidR="00612089" w:rsidRPr="00E315DC" w:rsidRDefault="00612089" w:rsidP="0029212B">
            <w:pPr>
              <w:jc w:val="both"/>
              <w:rPr>
                <w:rFonts w:ascii="Book Antiqua" w:hAnsi="Book Antiqua" w:cs="Arial"/>
                <w:b/>
              </w:rPr>
            </w:pPr>
            <w:r w:rsidRPr="00E315DC">
              <w:rPr>
                <w:rFonts w:ascii="Book Antiqua" w:hAnsi="Book Antiqua" w:cs="Arial"/>
                <w:b/>
              </w:rPr>
              <w:t>Decision &amp; Reasons Promulgated</w:t>
            </w:r>
          </w:p>
        </w:tc>
      </w:tr>
      <w:tr w:rsidR="00612089" w:rsidRPr="00E315DC" w14:paraId="719AE69B" w14:textId="77777777" w:rsidTr="0029212B">
        <w:trPr>
          <w:trHeight w:val="171"/>
        </w:trPr>
        <w:tc>
          <w:tcPr>
            <w:tcW w:w="6217" w:type="dxa"/>
            <w:shd w:val="clear" w:color="auto" w:fill="auto"/>
          </w:tcPr>
          <w:p w14:paraId="25AD9CB1" w14:textId="77777777" w:rsidR="00612089" w:rsidRPr="00E315DC" w:rsidRDefault="00612089" w:rsidP="0029212B">
            <w:pPr>
              <w:jc w:val="both"/>
              <w:rPr>
                <w:rFonts w:ascii="Book Antiqua" w:hAnsi="Book Antiqua" w:cs="Arial"/>
                <w:b/>
              </w:rPr>
            </w:pPr>
            <w:r w:rsidRPr="00E315DC">
              <w:rPr>
                <w:rFonts w:ascii="Book Antiqua" w:hAnsi="Book Antiqua" w:cs="Arial"/>
                <w:b/>
              </w:rPr>
              <w:t xml:space="preserve">On </w:t>
            </w:r>
            <w:r w:rsidR="00AE2BB2" w:rsidRPr="00E315DC">
              <w:rPr>
                <w:rFonts w:ascii="Book Antiqua" w:hAnsi="Book Antiqua" w:cs="Arial"/>
                <w:b/>
              </w:rPr>
              <w:t>29 May 2018</w:t>
            </w:r>
          </w:p>
        </w:tc>
        <w:tc>
          <w:tcPr>
            <w:tcW w:w="4069" w:type="dxa"/>
            <w:shd w:val="clear" w:color="auto" w:fill="auto"/>
          </w:tcPr>
          <w:p w14:paraId="1060EE19" w14:textId="77777777" w:rsidR="00612089" w:rsidRPr="00E315DC" w:rsidRDefault="0029212B" w:rsidP="0029212B">
            <w:pPr>
              <w:jc w:val="both"/>
              <w:rPr>
                <w:rFonts w:ascii="Book Antiqua" w:hAnsi="Book Antiqua" w:cs="Arial"/>
                <w:b/>
              </w:rPr>
            </w:pPr>
            <w:r w:rsidRPr="0029212B">
              <w:rPr>
                <w:rFonts w:ascii="Book Antiqua" w:hAnsi="Book Antiqua" w:cs="Arial"/>
                <w:b/>
              </w:rPr>
              <w:t>On 16 July 2018</w:t>
            </w:r>
          </w:p>
        </w:tc>
      </w:tr>
      <w:tr w:rsidR="00612089" w:rsidRPr="00E315DC" w14:paraId="20005920" w14:textId="77777777" w:rsidTr="0029212B">
        <w:trPr>
          <w:trHeight w:val="164"/>
        </w:trPr>
        <w:tc>
          <w:tcPr>
            <w:tcW w:w="6217" w:type="dxa"/>
            <w:shd w:val="clear" w:color="auto" w:fill="auto"/>
          </w:tcPr>
          <w:p w14:paraId="5E8DCAFB" w14:textId="77777777" w:rsidR="00612089" w:rsidRPr="00E315DC" w:rsidRDefault="00CF23BF" w:rsidP="0029212B">
            <w:pPr>
              <w:jc w:val="both"/>
              <w:rPr>
                <w:rFonts w:ascii="Book Antiqua" w:hAnsi="Book Antiqua" w:cs="Arial"/>
                <w:b/>
              </w:rPr>
            </w:pPr>
            <w:r>
              <w:rPr>
                <w:rFonts w:ascii="Book Antiqua" w:hAnsi="Book Antiqua" w:cs="Arial"/>
                <w:b/>
              </w:rPr>
              <w:t xml:space="preserve">Dictated: </w:t>
            </w:r>
            <w:r w:rsidR="00B14715">
              <w:rPr>
                <w:rFonts w:ascii="Book Antiqua" w:hAnsi="Book Antiqua" w:cs="Arial"/>
                <w:b/>
              </w:rPr>
              <w:t xml:space="preserve">18 </w:t>
            </w:r>
            <w:r>
              <w:rPr>
                <w:rFonts w:ascii="Book Antiqua" w:hAnsi="Book Antiqua" w:cs="Arial"/>
                <w:b/>
              </w:rPr>
              <w:t>June 2018</w:t>
            </w:r>
          </w:p>
        </w:tc>
        <w:tc>
          <w:tcPr>
            <w:tcW w:w="4069" w:type="dxa"/>
            <w:shd w:val="clear" w:color="auto" w:fill="auto"/>
          </w:tcPr>
          <w:p w14:paraId="00B0F700" w14:textId="77777777" w:rsidR="00612089" w:rsidRPr="00E315DC" w:rsidRDefault="00612089" w:rsidP="00173B0F">
            <w:pPr>
              <w:spacing w:before="120" w:after="120"/>
              <w:jc w:val="both"/>
              <w:rPr>
                <w:rFonts w:ascii="Book Antiqua" w:hAnsi="Book Antiqua" w:cs="Arial"/>
                <w:b/>
              </w:rPr>
            </w:pPr>
          </w:p>
        </w:tc>
      </w:tr>
    </w:tbl>
    <w:p w14:paraId="4867D4DA" w14:textId="77777777" w:rsidR="00CF23BF" w:rsidRDefault="00CF23BF" w:rsidP="0029212B">
      <w:pPr>
        <w:spacing w:before="120" w:after="120"/>
        <w:rPr>
          <w:rFonts w:ascii="Book Antiqua" w:hAnsi="Book Antiqua" w:cs="Arial"/>
          <w:b/>
        </w:rPr>
      </w:pPr>
    </w:p>
    <w:p w14:paraId="525D8553" w14:textId="77777777" w:rsidR="00612089" w:rsidRDefault="00612089" w:rsidP="00173B0F">
      <w:pPr>
        <w:spacing w:before="120" w:after="120"/>
        <w:jc w:val="center"/>
        <w:rPr>
          <w:rFonts w:ascii="Book Antiqua" w:hAnsi="Book Antiqua" w:cs="Arial"/>
          <w:b/>
        </w:rPr>
      </w:pPr>
      <w:r>
        <w:rPr>
          <w:rFonts w:ascii="Book Antiqua" w:hAnsi="Book Antiqua" w:cs="Arial"/>
          <w:b/>
        </w:rPr>
        <w:t>Before</w:t>
      </w:r>
    </w:p>
    <w:p w14:paraId="68D0A64E" w14:textId="77777777" w:rsidR="00612089" w:rsidRDefault="00612089" w:rsidP="00173B0F">
      <w:pPr>
        <w:spacing w:before="120" w:after="120"/>
        <w:jc w:val="center"/>
        <w:rPr>
          <w:rFonts w:ascii="Book Antiqua" w:hAnsi="Book Antiqua" w:cs="Arial"/>
          <w:b/>
        </w:rPr>
      </w:pPr>
      <w:r>
        <w:rPr>
          <w:rFonts w:ascii="Book Antiqua" w:hAnsi="Book Antiqua" w:cs="Arial"/>
          <w:b/>
        </w:rPr>
        <w:t>UPPER TRIBUNAL JUDGE O’CONNOR</w:t>
      </w:r>
    </w:p>
    <w:p w14:paraId="31346A3B" w14:textId="0439D752" w:rsidR="005F3044" w:rsidRDefault="005F3044" w:rsidP="00173B0F">
      <w:pPr>
        <w:spacing w:before="120" w:after="120"/>
        <w:jc w:val="center"/>
        <w:rPr>
          <w:rFonts w:ascii="Book Antiqua" w:hAnsi="Book Antiqua" w:cs="Arial"/>
          <w:b/>
        </w:rPr>
      </w:pPr>
    </w:p>
    <w:p w14:paraId="3A060C21" w14:textId="77777777" w:rsidR="005F3044" w:rsidRDefault="005F3044" w:rsidP="00173B0F">
      <w:pPr>
        <w:spacing w:before="120" w:after="120"/>
        <w:jc w:val="center"/>
        <w:rPr>
          <w:rFonts w:ascii="Book Antiqua" w:hAnsi="Book Antiqua" w:cs="Arial"/>
          <w:b/>
        </w:rPr>
      </w:pPr>
    </w:p>
    <w:p w14:paraId="491639CB" w14:textId="0C54EDD3" w:rsidR="00612089" w:rsidRDefault="00612089" w:rsidP="00173B0F">
      <w:pPr>
        <w:spacing w:before="120" w:after="120"/>
        <w:jc w:val="center"/>
        <w:rPr>
          <w:rFonts w:ascii="Book Antiqua" w:hAnsi="Book Antiqua" w:cs="Arial"/>
          <w:b/>
        </w:rPr>
      </w:pPr>
      <w:r>
        <w:rPr>
          <w:rFonts w:ascii="Book Antiqua" w:hAnsi="Book Antiqua" w:cs="Arial"/>
          <w:b/>
        </w:rPr>
        <w:t>Between</w:t>
      </w:r>
    </w:p>
    <w:p w14:paraId="389E12C9" w14:textId="77777777" w:rsidR="00612089" w:rsidRDefault="00AE2BB2" w:rsidP="00173B0F">
      <w:pPr>
        <w:spacing w:before="120" w:after="120"/>
        <w:jc w:val="center"/>
        <w:rPr>
          <w:rFonts w:ascii="Book Antiqua" w:hAnsi="Book Antiqua" w:cs="Arial"/>
          <w:b/>
          <w:caps/>
        </w:rPr>
      </w:pPr>
      <w:r>
        <w:rPr>
          <w:rFonts w:ascii="Book Antiqua" w:hAnsi="Book Antiqua" w:cs="Arial"/>
          <w:b/>
          <w:caps/>
        </w:rPr>
        <w:t>Robert solomon david</w:t>
      </w:r>
    </w:p>
    <w:p w14:paraId="2343712D" w14:textId="77777777" w:rsidR="00612089" w:rsidRDefault="00612089" w:rsidP="00173B0F">
      <w:pPr>
        <w:spacing w:before="120" w:after="120"/>
        <w:jc w:val="center"/>
        <w:rPr>
          <w:rFonts w:ascii="Book Antiqua" w:hAnsi="Book Antiqua" w:cs="Arial"/>
          <w:b/>
          <w:caps/>
        </w:rPr>
      </w:pPr>
      <w:r>
        <w:rPr>
          <w:rFonts w:ascii="Book Antiqua" w:hAnsi="Book Antiqua" w:cs="Arial"/>
          <w:b/>
          <w:caps/>
        </w:rPr>
        <w:t>(</w:t>
      </w:r>
      <w:r w:rsidR="00D3470C">
        <w:rPr>
          <w:rFonts w:ascii="Book Antiqua" w:hAnsi="Book Antiqua" w:cs="Arial"/>
          <w:b/>
          <w:caps/>
        </w:rPr>
        <w:t>anonymity direction not made)</w:t>
      </w:r>
    </w:p>
    <w:p w14:paraId="6D59A21D" w14:textId="77777777" w:rsidR="00612089" w:rsidRDefault="00612089" w:rsidP="00173B0F">
      <w:pPr>
        <w:spacing w:before="120" w:after="120"/>
        <w:jc w:val="right"/>
        <w:rPr>
          <w:rFonts w:ascii="Book Antiqua" w:hAnsi="Book Antiqua" w:cs="Arial"/>
          <w:u w:val="single"/>
        </w:rPr>
      </w:pPr>
      <w:r>
        <w:rPr>
          <w:rFonts w:ascii="Book Antiqua" w:hAnsi="Book Antiqua" w:cs="Arial"/>
          <w:u w:val="single"/>
        </w:rPr>
        <w:t>Appellant</w:t>
      </w:r>
    </w:p>
    <w:p w14:paraId="22AD196A" w14:textId="77777777" w:rsidR="00612089" w:rsidRDefault="00612089" w:rsidP="00173B0F">
      <w:pPr>
        <w:spacing w:before="120" w:after="120"/>
        <w:jc w:val="center"/>
        <w:rPr>
          <w:rFonts w:ascii="Book Antiqua" w:hAnsi="Book Antiqua" w:cs="Arial"/>
          <w:b/>
        </w:rPr>
      </w:pPr>
      <w:r>
        <w:rPr>
          <w:rFonts w:ascii="Book Antiqua" w:hAnsi="Book Antiqua" w:cs="Arial"/>
          <w:b/>
        </w:rPr>
        <w:t>and</w:t>
      </w:r>
    </w:p>
    <w:p w14:paraId="6154FD18" w14:textId="77777777" w:rsidR="00612089" w:rsidRDefault="00612089" w:rsidP="00173B0F">
      <w:pPr>
        <w:spacing w:before="120" w:after="120"/>
        <w:jc w:val="center"/>
        <w:rPr>
          <w:rFonts w:ascii="Book Antiqua" w:hAnsi="Book Antiqua" w:cs="Arial"/>
          <w:b/>
          <w:caps/>
        </w:rPr>
      </w:pPr>
      <w:r>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THE SECRETARY OF STATE FOR THE HOME DEPARTMENT</w:t>
      </w:r>
      <w:r>
        <w:rPr>
          <w:rFonts w:ascii="Book Antiqua" w:hAnsi="Book Antiqua" w:cs="Arial"/>
          <w:b/>
          <w:caps/>
        </w:rPr>
        <w:fldChar w:fldCharType="end"/>
      </w:r>
      <w:bookmarkEnd w:id="1"/>
    </w:p>
    <w:p w14:paraId="147E66A6" w14:textId="77777777" w:rsidR="00612089" w:rsidRDefault="00612089" w:rsidP="00173B0F">
      <w:pPr>
        <w:spacing w:before="120" w:after="120"/>
        <w:jc w:val="right"/>
        <w:rPr>
          <w:rFonts w:ascii="Book Antiqua" w:hAnsi="Book Antiqua" w:cs="Arial"/>
          <w:u w:val="single"/>
        </w:rPr>
      </w:pPr>
      <w:r>
        <w:rPr>
          <w:rFonts w:ascii="Book Antiqua" w:hAnsi="Book Antiqua" w:cs="Arial"/>
          <w:u w:val="single"/>
        </w:rPr>
        <w:t>Respondent</w:t>
      </w:r>
    </w:p>
    <w:p w14:paraId="5034BB7B" w14:textId="77777777" w:rsidR="00612089" w:rsidRDefault="00612089" w:rsidP="00173B0F">
      <w:pPr>
        <w:spacing w:before="120" w:after="120"/>
        <w:rPr>
          <w:rFonts w:ascii="Book Antiqua" w:hAnsi="Book Antiqua" w:cs="Arial"/>
          <w:u w:val="single"/>
        </w:rPr>
      </w:pPr>
    </w:p>
    <w:p w14:paraId="12093AF9" w14:textId="77777777" w:rsidR="00612089" w:rsidRDefault="00612089" w:rsidP="00CF23BF">
      <w:pPr>
        <w:spacing w:before="120" w:after="120"/>
        <w:rPr>
          <w:rFonts w:ascii="Book Antiqua" w:hAnsi="Book Antiqua" w:cs="Arial"/>
        </w:rPr>
      </w:pPr>
      <w:r>
        <w:rPr>
          <w:rFonts w:ascii="Book Antiqua" w:hAnsi="Book Antiqua" w:cs="Arial"/>
          <w:b/>
          <w:u w:val="single"/>
        </w:rPr>
        <w:t>Representation</w:t>
      </w:r>
      <w:r>
        <w:rPr>
          <w:rFonts w:ascii="Book Antiqua" w:hAnsi="Book Antiqua" w:cs="Arial"/>
          <w:b/>
        </w:rPr>
        <w:t>:</w:t>
      </w:r>
    </w:p>
    <w:p w14:paraId="07281B68" w14:textId="77777777" w:rsidR="00612089" w:rsidRDefault="00612089" w:rsidP="00CF23BF">
      <w:pPr>
        <w:tabs>
          <w:tab w:val="left" w:pos="2520"/>
        </w:tabs>
        <w:spacing w:before="120" w:after="120"/>
        <w:rPr>
          <w:rFonts w:ascii="Book Antiqua" w:hAnsi="Book Antiqua" w:cs="Arial"/>
        </w:rPr>
      </w:pPr>
      <w:r>
        <w:rPr>
          <w:rFonts w:ascii="Book Antiqua" w:hAnsi="Book Antiqua" w:cs="Arial"/>
        </w:rPr>
        <w:t>For the Appellant:</w:t>
      </w:r>
      <w:r>
        <w:rPr>
          <w:rFonts w:ascii="Book Antiqua" w:hAnsi="Book Antiqua" w:cs="Arial"/>
        </w:rPr>
        <w:tab/>
      </w:r>
      <w:r w:rsidR="00AE2BB2">
        <w:rPr>
          <w:rFonts w:ascii="Book Antiqua" w:hAnsi="Book Antiqua" w:cs="Arial"/>
        </w:rPr>
        <w:t>Mr P Haywood, Instructed by McKenzie</w:t>
      </w:r>
      <w:r w:rsidR="00AA17CF">
        <w:rPr>
          <w:rFonts w:ascii="Book Antiqua" w:hAnsi="Book Antiqua" w:cs="Arial"/>
        </w:rPr>
        <w:t>,</w:t>
      </w:r>
      <w:r w:rsidR="00AE2BB2">
        <w:rPr>
          <w:rFonts w:ascii="Book Antiqua" w:hAnsi="Book Antiqua" w:cs="Arial"/>
        </w:rPr>
        <w:t xml:space="preserve"> </w:t>
      </w:r>
      <w:proofErr w:type="spellStart"/>
      <w:r w:rsidR="00AE2BB2">
        <w:rPr>
          <w:rFonts w:ascii="Book Antiqua" w:hAnsi="Book Antiqua" w:cs="Arial"/>
        </w:rPr>
        <w:t>Beute</w:t>
      </w:r>
      <w:proofErr w:type="spellEnd"/>
      <w:r w:rsidR="00AE2BB2">
        <w:rPr>
          <w:rFonts w:ascii="Book Antiqua" w:hAnsi="Book Antiqua" w:cs="Arial"/>
        </w:rPr>
        <w:t xml:space="preserve"> &amp; Pope</w:t>
      </w:r>
    </w:p>
    <w:p w14:paraId="28B01A0F" w14:textId="77777777" w:rsidR="00612089" w:rsidRDefault="00612089" w:rsidP="00CF23BF">
      <w:pPr>
        <w:tabs>
          <w:tab w:val="left" w:pos="2520"/>
        </w:tabs>
        <w:spacing w:before="120" w:after="120"/>
        <w:rPr>
          <w:rFonts w:ascii="Book Antiqua" w:hAnsi="Book Antiqua" w:cs="Arial"/>
        </w:rPr>
      </w:pPr>
      <w:r>
        <w:rPr>
          <w:rFonts w:ascii="Book Antiqua" w:hAnsi="Book Antiqua" w:cs="Arial"/>
        </w:rPr>
        <w:t>For the Respondent:</w:t>
      </w:r>
      <w:r>
        <w:rPr>
          <w:rFonts w:ascii="Book Antiqua" w:hAnsi="Book Antiqua" w:cs="Arial"/>
        </w:rPr>
        <w:tab/>
      </w:r>
      <w:r w:rsidR="00342DD4">
        <w:rPr>
          <w:rFonts w:ascii="Book Antiqua" w:hAnsi="Book Antiqua" w:cs="Arial"/>
        </w:rPr>
        <w:t>Mr T Wilding, Senior Presenting Officer</w:t>
      </w:r>
    </w:p>
    <w:p w14:paraId="06E46A8C" w14:textId="77777777" w:rsidR="00612089" w:rsidRDefault="00612089" w:rsidP="00173B0F">
      <w:pPr>
        <w:tabs>
          <w:tab w:val="left" w:pos="2520"/>
        </w:tabs>
        <w:spacing w:before="120" w:after="120"/>
        <w:jc w:val="center"/>
        <w:rPr>
          <w:rFonts w:ascii="Book Antiqua" w:hAnsi="Book Antiqua" w:cs="Arial"/>
        </w:rPr>
      </w:pPr>
    </w:p>
    <w:p w14:paraId="03D84013" w14:textId="77777777" w:rsidR="00B14715" w:rsidRDefault="00D3470C" w:rsidP="0029212B">
      <w:pPr>
        <w:tabs>
          <w:tab w:val="left" w:pos="2520"/>
        </w:tabs>
        <w:spacing w:before="120" w:after="120"/>
        <w:jc w:val="center"/>
        <w:rPr>
          <w:rFonts w:ascii="Book Antiqua" w:hAnsi="Book Antiqua" w:cs="Arial"/>
        </w:rPr>
      </w:pPr>
      <w:r>
        <w:rPr>
          <w:rFonts w:ascii="Book Antiqua" w:hAnsi="Book Antiqua" w:cs="Arial"/>
          <w:b/>
          <w:u w:val="single"/>
        </w:rPr>
        <w:t>D</w:t>
      </w:r>
      <w:r w:rsidR="00612089">
        <w:rPr>
          <w:rFonts w:ascii="Book Antiqua" w:hAnsi="Book Antiqua" w:cs="Arial"/>
          <w:b/>
          <w:u w:val="single"/>
        </w:rPr>
        <w:t>ECISION AND REASONS</w:t>
      </w:r>
    </w:p>
    <w:p w14:paraId="1A1EC9C2" w14:textId="77777777" w:rsidR="00AA17CF" w:rsidRPr="00AA17CF" w:rsidRDefault="00AA17CF" w:rsidP="00173B0F">
      <w:pPr>
        <w:spacing w:before="120" w:after="120"/>
        <w:jc w:val="both"/>
        <w:rPr>
          <w:rFonts w:ascii="Book Antiqua" w:hAnsi="Book Antiqua" w:cs="Arial"/>
          <w:b/>
          <w:u w:val="single"/>
        </w:rPr>
      </w:pPr>
      <w:r w:rsidRPr="00AA17CF">
        <w:rPr>
          <w:rFonts w:ascii="Book Antiqua" w:hAnsi="Book Antiqua" w:cs="Arial"/>
          <w:b/>
          <w:u w:val="single"/>
        </w:rPr>
        <w:t>Introduction</w:t>
      </w:r>
    </w:p>
    <w:p w14:paraId="2A2EDB70" w14:textId="77777777" w:rsidR="00D3470C" w:rsidRDefault="00342DD4" w:rsidP="00173B0F">
      <w:pPr>
        <w:numPr>
          <w:ilvl w:val="0"/>
          <w:numId w:val="3"/>
        </w:numPr>
        <w:spacing w:before="120" w:after="120"/>
        <w:jc w:val="both"/>
        <w:rPr>
          <w:rFonts w:ascii="Book Antiqua" w:hAnsi="Book Antiqua" w:cs="Arial"/>
        </w:rPr>
      </w:pPr>
      <w:r>
        <w:rPr>
          <w:rFonts w:ascii="Book Antiqua" w:hAnsi="Book Antiqua" w:cs="Arial"/>
        </w:rPr>
        <w:t xml:space="preserve">The appellant is a national of Grenada, born </w:t>
      </w:r>
      <w:r w:rsidR="00D3470C">
        <w:rPr>
          <w:rFonts w:ascii="Book Antiqua" w:hAnsi="Book Antiqua" w:cs="Arial"/>
        </w:rPr>
        <w:t>in 1985. He</w:t>
      </w:r>
      <w:r>
        <w:rPr>
          <w:rFonts w:ascii="Book Antiqua" w:hAnsi="Book Antiqua" w:cs="Arial"/>
        </w:rPr>
        <w:t xml:space="preserve"> arrived in the United Kingdom on 14 January 1988 as </w:t>
      </w:r>
      <w:r w:rsidR="00B14715">
        <w:rPr>
          <w:rFonts w:ascii="Book Antiqua" w:hAnsi="Book Antiqua" w:cs="Arial"/>
        </w:rPr>
        <w:t xml:space="preserve">his mother’s </w:t>
      </w:r>
      <w:r>
        <w:rPr>
          <w:rFonts w:ascii="Book Antiqua" w:hAnsi="Book Antiqua" w:cs="Arial"/>
        </w:rPr>
        <w:t xml:space="preserve">dependant.  </w:t>
      </w:r>
      <w:r w:rsidR="00D3470C">
        <w:rPr>
          <w:rFonts w:ascii="Book Antiqua" w:hAnsi="Book Antiqua" w:cs="Arial"/>
        </w:rPr>
        <w:t>H</w:t>
      </w:r>
      <w:r>
        <w:rPr>
          <w:rFonts w:ascii="Book Antiqua" w:hAnsi="Book Antiqua" w:cs="Arial"/>
        </w:rPr>
        <w:t>e was</w:t>
      </w:r>
      <w:r w:rsidR="00D3470C">
        <w:rPr>
          <w:rFonts w:ascii="Book Antiqua" w:hAnsi="Book Antiqua" w:cs="Arial"/>
        </w:rPr>
        <w:t>, it appears,</w:t>
      </w:r>
      <w:r>
        <w:rPr>
          <w:rFonts w:ascii="Book Antiqua" w:hAnsi="Book Antiqua" w:cs="Arial"/>
        </w:rPr>
        <w:t xml:space="preserve"> granted indefinite leave to enter at that time.  </w:t>
      </w:r>
    </w:p>
    <w:p w14:paraId="62A527DC" w14:textId="77777777" w:rsidR="00D3470C" w:rsidRDefault="00342DD4" w:rsidP="00173B0F">
      <w:pPr>
        <w:numPr>
          <w:ilvl w:val="0"/>
          <w:numId w:val="3"/>
        </w:numPr>
        <w:spacing w:before="120" w:after="120"/>
        <w:jc w:val="both"/>
        <w:rPr>
          <w:rFonts w:ascii="Book Antiqua" w:hAnsi="Book Antiqua" w:cs="Arial"/>
        </w:rPr>
      </w:pPr>
      <w:r>
        <w:rPr>
          <w:rFonts w:ascii="Book Antiqua" w:hAnsi="Book Antiqua" w:cs="Arial"/>
        </w:rPr>
        <w:lastRenderedPageBreak/>
        <w:t>The appellant has a hi</w:t>
      </w:r>
      <w:r w:rsidR="00B14715">
        <w:rPr>
          <w:rFonts w:ascii="Book Antiqua" w:hAnsi="Book Antiqua" w:cs="Arial"/>
        </w:rPr>
        <w:t>story of criminal offending, his</w:t>
      </w:r>
      <w:r>
        <w:rPr>
          <w:rFonts w:ascii="Book Antiqua" w:hAnsi="Book Antiqua" w:cs="Arial"/>
        </w:rPr>
        <w:t xml:space="preserve"> first conviction being in October 2007 for grievous </w:t>
      </w:r>
      <w:r w:rsidR="00B343EA">
        <w:rPr>
          <w:rFonts w:ascii="Book Antiqua" w:hAnsi="Book Antiqua" w:cs="Arial"/>
        </w:rPr>
        <w:t>bodily harm</w:t>
      </w:r>
      <w:r w:rsidR="00B14715">
        <w:rPr>
          <w:rFonts w:ascii="Book Antiqua" w:hAnsi="Book Antiqua" w:cs="Arial"/>
        </w:rPr>
        <w:t>,</w:t>
      </w:r>
      <w:r w:rsidR="00B343EA">
        <w:rPr>
          <w:rFonts w:ascii="Book Antiqua" w:hAnsi="Book Antiqua" w:cs="Arial"/>
        </w:rPr>
        <w:t xml:space="preserve"> for which </w:t>
      </w:r>
      <w:r w:rsidR="00D3470C">
        <w:rPr>
          <w:rFonts w:ascii="Book Antiqua" w:hAnsi="Book Antiqua" w:cs="Arial"/>
        </w:rPr>
        <w:t>he</w:t>
      </w:r>
      <w:r w:rsidR="00B343EA">
        <w:rPr>
          <w:rFonts w:ascii="Book Antiqua" w:hAnsi="Book Antiqua" w:cs="Arial"/>
        </w:rPr>
        <w:t xml:space="preserve"> was </w:t>
      </w:r>
      <w:r w:rsidR="00D3470C">
        <w:rPr>
          <w:rFonts w:ascii="Book Antiqua" w:hAnsi="Book Antiqua" w:cs="Arial"/>
        </w:rPr>
        <w:t>sentenced to</w:t>
      </w:r>
      <w:r w:rsidR="00B343EA">
        <w:rPr>
          <w:rFonts w:ascii="Book Antiqua" w:hAnsi="Book Antiqua" w:cs="Arial"/>
        </w:rPr>
        <w:t xml:space="preserve"> an 18</w:t>
      </w:r>
      <w:r w:rsidR="00115838">
        <w:rPr>
          <w:rFonts w:ascii="Book Antiqua" w:hAnsi="Book Antiqua" w:cs="Arial"/>
        </w:rPr>
        <w:t>-</w:t>
      </w:r>
      <w:r w:rsidR="00B343EA">
        <w:rPr>
          <w:rFonts w:ascii="Book Antiqua" w:hAnsi="Book Antiqua" w:cs="Arial"/>
        </w:rPr>
        <w:t xml:space="preserve">month community order.  </w:t>
      </w:r>
      <w:r w:rsidR="00D3470C">
        <w:rPr>
          <w:rFonts w:ascii="Book Antiqua" w:hAnsi="Book Antiqua" w:cs="Arial"/>
        </w:rPr>
        <w:t>I</w:t>
      </w:r>
      <w:r w:rsidR="00B343EA">
        <w:rPr>
          <w:rFonts w:ascii="Book Antiqua" w:hAnsi="Book Antiqua" w:cs="Arial"/>
        </w:rPr>
        <w:t xml:space="preserve">n March 2009 </w:t>
      </w:r>
      <w:r w:rsidR="00D3470C">
        <w:rPr>
          <w:rFonts w:ascii="Book Antiqua" w:hAnsi="Book Antiqua" w:cs="Arial"/>
        </w:rPr>
        <w:t>the appellant</w:t>
      </w:r>
      <w:r w:rsidR="00B343EA">
        <w:rPr>
          <w:rFonts w:ascii="Book Antiqua" w:hAnsi="Book Antiqua" w:cs="Arial"/>
        </w:rPr>
        <w:t xml:space="preserve"> was convicted of battery and given a fine</w:t>
      </w:r>
      <w:r w:rsidR="00D3470C">
        <w:rPr>
          <w:rFonts w:ascii="Book Antiqua" w:hAnsi="Book Antiqua" w:cs="Arial"/>
        </w:rPr>
        <w:t>. A</w:t>
      </w:r>
      <w:r w:rsidR="00B343EA">
        <w:rPr>
          <w:rFonts w:ascii="Book Antiqua" w:hAnsi="Book Antiqua" w:cs="Arial"/>
        </w:rPr>
        <w:t xml:space="preserve"> further conviction followed in March 2012 for using threatening behaviour, for which the appellant was</w:t>
      </w:r>
      <w:r w:rsidR="00D3470C">
        <w:rPr>
          <w:rFonts w:ascii="Book Antiqua" w:hAnsi="Book Antiqua" w:cs="Arial"/>
        </w:rPr>
        <w:t xml:space="preserve"> again</w:t>
      </w:r>
      <w:r w:rsidR="00B343EA">
        <w:rPr>
          <w:rFonts w:ascii="Book Antiqua" w:hAnsi="Book Antiqua" w:cs="Arial"/>
        </w:rPr>
        <w:t xml:space="preserve"> given a fine.  </w:t>
      </w:r>
    </w:p>
    <w:p w14:paraId="74F70A65" w14:textId="77777777" w:rsidR="00612089" w:rsidRDefault="00B343EA" w:rsidP="00173B0F">
      <w:pPr>
        <w:numPr>
          <w:ilvl w:val="0"/>
          <w:numId w:val="3"/>
        </w:numPr>
        <w:spacing w:before="120" w:after="120"/>
        <w:jc w:val="both"/>
        <w:rPr>
          <w:rFonts w:ascii="Book Antiqua" w:hAnsi="Book Antiqua" w:cs="Arial"/>
        </w:rPr>
      </w:pPr>
      <w:r>
        <w:rPr>
          <w:rFonts w:ascii="Book Antiqua" w:hAnsi="Book Antiqua" w:cs="Arial"/>
        </w:rPr>
        <w:t xml:space="preserve">The conviction which </w:t>
      </w:r>
      <w:r w:rsidR="00D3470C">
        <w:rPr>
          <w:rFonts w:ascii="Book Antiqua" w:hAnsi="Book Antiqua" w:cs="Arial"/>
        </w:rPr>
        <w:t>led</w:t>
      </w:r>
      <w:r>
        <w:rPr>
          <w:rFonts w:ascii="Book Antiqua" w:hAnsi="Book Antiqua" w:cs="Arial"/>
        </w:rPr>
        <w:t xml:space="preserve"> </w:t>
      </w:r>
      <w:r w:rsidR="00B14715">
        <w:rPr>
          <w:rFonts w:ascii="Book Antiqua" w:hAnsi="Book Antiqua" w:cs="Arial"/>
        </w:rPr>
        <w:t xml:space="preserve">to </w:t>
      </w:r>
      <w:r>
        <w:rPr>
          <w:rFonts w:ascii="Book Antiqua" w:hAnsi="Book Antiqua" w:cs="Arial"/>
        </w:rPr>
        <w:t>the appellant</w:t>
      </w:r>
      <w:r w:rsidR="00D3470C">
        <w:rPr>
          <w:rFonts w:ascii="Book Antiqua" w:hAnsi="Book Antiqua" w:cs="Arial"/>
        </w:rPr>
        <w:t xml:space="preserve"> </w:t>
      </w:r>
      <w:r w:rsidR="003710F4">
        <w:rPr>
          <w:rFonts w:ascii="Book Antiqua" w:hAnsi="Book Antiqua" w:cs="Arial"/>
        </w:rPr>
        <w:t>being in</w:t>
      </w:r>
      <w:r w:rsidR="00D3470C">
        <w:rPr>
          <w:rFonts w:ascii="Book Antiqua" w:hAnsi="Book Antiqua" w:cs="Arial"/>
        </w:rPr>
        <w:t xml:space="preserve"> his</w:t>
      </w:r>
      <w:r>
        <w:rPr>
          <w:rFonts w:ascii="Book Antiqua" w:hAnsi="Book Antiqua" w:cs="Arial"/>
        </w:rPr>
        <w:t xml:space="preserve"> current predicament was</w:t>
      </w:r>
      <w:r w:rsidR="00D3470C">
        <w:rPr>
          <w:rFonts w:ascii="Book Antiqua" w:hAnsi="Book Antiqua" w:cs="Arial"/>
        </w:rPr>
        <w:t xml:space="preserve"> for</w:t>
      </w:r>
      <w:r>
        <w:rPr>
          <w:rFonts w:ascii="Book Antiqua" w:hAnsi="Book Antiqua" w:cs="Arial"/>
        </w:rPr>
        <w:t xml:space="preserve"> grievous bodily harm </w:t>
      </w:r>
      <w:r w:rsidR="0046135E">
        <w:rPr>
          <w:rFonts w:ascii="Book Antiqua" w:hAnsi="Book Antiqua" w:cs="Arial"/>
        </w:rPr>
        <w:t xml:space="preserve">at </w:t>
      </w:r>
      <w:r>
        <w:rPr>
          <w:rFonts w:ascii="Book Antiqua" w:hAnsi="Book Antiqua" w:cs="Arial"/>
        </w:rPr>
        <w:t>Cambridge Crown Court on 28 June 2013</w:t>
      </w:r>
      <w:r w:rsidR="00D3470C">
        <w:rPr>
          <w:rFonts w:ascii="Book Antiqua" w:hAnsi="Book Antiqua" w:cs="Arial"/>
        </w:rPr>
        <w:t xml:space="preserve">. </w:t>
      </w:r>
      <w:r>
        <w:rPr>
          <w:rFonts w:ascii="Book Antiqua" w:hAnsi="Book Antiqua" w:cs="Arial"/>
        </w:rPr>
        <w:t xml:space="preserve"> </w:t>
      </w:r>
      <w:r w:rsidR="00D3470C">
        <w:rPr>
          <w:rFonts w:ascii="Book Antiqua" w:hAnsi="Book Antiqua" w:cs="Arial"/>
        </w:rPr>
        <w:t xml:space="preserve">He </w:t>
      </w:r>
      <w:r>
        <w:rPr>
          <w:rFonts w:ascii="Book Antiqua" w:hAnsi="Book Antiqua" w:cs="Arial"/>
        </w:rPr>
        <w:t xml:space="preserve">was sentenced to five years in </w:t>
      </w:r>
      <w:r w:rsidR="00D3470C">
        <w:rPr>
          <w:rFonts w:ascii="Book Antiqua" w:hAnsi="Book Antiqua" w:cs="Arial"/>
        </w:rPr>
        <w:t>im</w:t>
      </w:r>
      <w:r>
        <w:rPr>
          <w:rFonts w:ascii="Book Antiqua" w:hAnsi="Book Antiqua" w:cs="Arial"/>
        </w:rPr>
        <w:t>prison</w:t>
      </w:r>
      <w:r w:rsidR="00D3470C">
        <w:rPr>
          <w:rFonts w:ascii="Book Antiqua" w:hAnsi="Book Antiqua" w:cs="Arial"/>
        </w:rPr>
        <w:t>ment as a consequence</w:t>
      </w:r>
      <w:r>
        <w:rPr>
          <w:rFonts w:ascii="Book Antiqua" w:hAnsi="Book Antiqua" w:cs="Arial"/>
        </w:rPr>
        <w:t xml:space="preserve">.  </w:t>
      </w:r>
    </w:p>
    <w:p w14:paraId="4456BEF9" w14:textId="77777777" w:rsidR="00B343EA" w:rsidRPr="003710F4" w:rsidRDefault="00D3470C" w:rsidP="00173B0F">
      <w:pPr>
        <w:numPr>
          <w:ilvl w:val="0"/>
          <w:numId w:val="3"/>
        </w:numPr>
        <w:spacing w:before="120" w:after="120"/>
        <w:jc w:val="both"/>
        <w:rPr>
          <w:rFonts w:ascii="Book Antiqua" w:hAnsi="Book Antiqua" w:cs="Arial"/>
        </w:rPr>
      </w:pPr>
      <w:r>
        <w:rPr>
          <w:rFonts w:ascii="Book Antiqua" w:hAnsi="Book Antiqua" w:cs="Arial"/>
        </w:rPr>
        <w:t>On</w:t>
      </w:r>
      <w:r w:rsidR="00B343EA">
        <w:rPr>
          <w:rFonts w:ascii="Book Antiqua" w:hAnsi="Book Antiqua" w:cs="Arial"/>
        </w:rPr>
        <w:t xml:space="preserve"> 23 December 2014</w:t>
      </w:r>
      <w:r w:rsidR="003710F4">
        <w:rPr>
          <w:rFonts w:ascii="Book Antiqua" w:hAnsi="Book Antiqua" w:cs="Arial"/>
        </w:rPr>
        <w:t>,</w:t>
      </w:r>
      <w:r>
        <w:rPr>
          <w:rFonts w:ascii="Book Antiqua" w:hAnsi="Book Antiqua" w:cs="Arial"/>
        </w:rPr>
        <w:t xml:space="preserve"> the Secretary of State for the Home Department (“SSHD”) made a decision</w:t>
      </w:r>
      <w:r w:rsidR="00B343EA">
        <w:rPr>
          <w:rFonts w:ascii="Book Antiqua" w:hAnsi="Book Antiqua" w:cs="Arial"/>
        </w:rPr>
        <w:t xml:space="preserve"> to deport the appellant</w:t>
      </w:r>
      <w:r>
        <w:rPr>
          <w:rFonts w:ascii="Book Antiqua" w:hAnsi="Book Antiqua" w:cs="Arial"/>
        </w:rPr>
        <w:t>, at the same</w:t>
      </w:r>
      <w:r w:rsidR="00B343EA">
        <w:rPr>
          <w:rFonts w:ascii="Book Antiqua" w:hAnsi="Book Antiqua" w:cs="Arial"/>
        </w:rPr>
        <w:t xml:space="preserve"> </w:t>
      </w:r>
      <w:r>
        <w:rPr>
          <w:rFonts w:ascii="Book Antiqua" w:hAnsi="Book Antiqua" w:cs="Arial"/>
        </w:rPr>
        <w:t>refusing</w:t>
      </w:r>
      <w:r w:rsidR="00B343EA">
        <w:rPr>
          <w:rFonts w:ascii="Book Antiqua" w:hAnsi="Book Antiqua" w:cs="Arial"/>
        </w:rPr>
        <w:t xml:space="preserve"> a human rights claim</w:t>
      </w:r>
      <w:r w:rsidR="00B14715">
        <w:rPr>
          <w:rFonts w:ascii="Book Antiqua" w:hAnsi="Book Antiqua" w:cs="Arial"/>
        </w:rPr>
        <w:t xml:space="preserve"> made</w:t>
      </w:r>
      <w:r w:rsidR="00115838">
        <w:rPr>
          <w:rFonts w:ascii="Book Antiqua" w:hAnsi="Book Antiqua" w:cs="Arial"/>
        </w:rPr>
        <w:t xml:space="preserve"> </w:t>
      </w:r>
      <w:r>
        <w:rPr>
          <w:rFonts w:ascii="Book Antiqua" w:hAnsi="Book Antiqua" w:cs="Arial"/>
        </w:rPr>
        <w:t xml:space="preserve">in response to </w:t>
      </w:r>
      <w:r w:rsidR="00B14715">
        <w:rPr>
          <w:rFonts w:ascii="Book Antiqua" w:hAnsi="Book Antiqua" w:cs="Arial"/>
        </w:rPr>
        <w:t xml:space="preserve">an </w:t>
      </w:r>
      <w:r>
        <w:rPr>
          <w:rFonts w:ascii="Book Antiqua" w:hAnsi="Book Antiqua" w:cs="Arial"/>
        </w:rPr>
        <w:t xml:space="preserve">invitation </w:t>
      </w:r>
      <w:r w:rsidR="00B14715">
        <w:rPr>
          <w:rFonts w:ascii="Book Antiqua" w:hAnsi="Book Antiqua" w:cs="Arial"/>
        </w:rPr>
        <w:t>from the SSHD</w:t>
      </w:r>
      <w:r w:rsidR="003710F4">
        <w:rPr>
          <w:rFonts w:ascii="Book Antiqua" w:hAnsi="Book Antiqua" w:cs="Arial"/>
        </w:rPr>
        <w:t xml:space="preserve"> to</w:t>
      </w:r>
      <w:r w:rsidR="00B14715">
        <w:rPr>
          <w:rFonts w:ascii="Book Antiqua" w:hAnsi="Book Antiqua" w:cs="Arial"/>
        </w:rPr>
        <w:t xml:space="preserve"> provide reasons </w:t>
      </w:r>
      <w:r>
        <w:rPr>
          <w:rFonts w:ascii="Book Antiqua" w:hAnsi="Book Antiqua" w:cs="Arial"/>
        </w:rPr>
        <w:t xml:space="preserve">why </w:t>
      </w:r>
      <w:r w:rsidR="00B14715">
        <w:rPr>
          <w:rFonts w:ascii="Book Antiqua" w:hAnsi="Book Antiqua" w:cs="Arial"/>
        </w:rPr>
        <w:t>t</w:t>
      </w:r>
      <w:r>
        <w:rPr>
          <w:rFonts w:ascii="Book Antiqua" w:hAnsi="Book Antiqua" w:cs="Arial"/>
        </w:rPr>
        <w:t>he</w:t>
      </w:r>
      <w:r w:rsidR="00B14715">
        <w:rPr>
          <w:rFonts w:ascii="Book Antiqua" w:hAnsi="Book Antiqua" w:cs="Arial"/>
        </w:rPr>
        <w:t xml:space="preserve"> appellant</w:t>
      </w:r>
      <w:r>
        <w:rPr>
          <w:rFonts w:ascii="Book Antiqua" w:hAnsi="Book Antiqua" w:cs="Arial"/>
        </w:rPr>
        <w:t xml:space="preserve"> should not be deported.  </w:t>
      </w:r>
      <w:r w:rsidR="003710F4">
        <w:rPr>
          <w:rFonts w:ascii="Book Antiqua" w:hAnsi="Book Antiqua" w:cs="Arial"/>
        </w:rPr>
        <w:t>T</w:t>
      </w:r>
      <w:r w:rsidR="00B343EA">
        <w:rPr>
          <w:rFonts w:ascii="Book Antiqua" w:hAnsi="Book Antiqua" w:cs="Arial"/>
        </w:rPr>
        <w:t xml:space="preserve">he claim </w:t>
      </w:r>
      <w:r w:rsidR="003710F4">
        <w:rPr>
          <w:rFonts w:ascii="Book Antiqua" w:hAnsi="Book Antiqua" w:cs="Arial"/>
        </w:rPr>
        <w:t xml:space="preserve">was certified </w:t>
      </w:r>
      <w:r w:rsidR="00B343EA">
        <w:rPr>
          <w:rFonts w:ascii="Book Antiqua" w:hAnsi="Book Antiqua" w:cs="Arial"/>
        </w:rPr>
        <w:t>pursuant to Section 94B of the Nationality, Immigration and Asylum Act 2002</w:t>
      </w:r>
      <w:r w:rsidR="003710F4">
        <w:rPr>
          <w:rFonts w:ascii="Book Antiqua" w:hAnsi="Book Antiqua" w:cs="Arial"/>
        </w:rPr>
        <w:t>, t</w:t>
      </w:r>
      <w:r w:rsidR="00B343EA" w:rsidRPr="003710F4">
        <w:rPr>
          <w:rFonts w:ascii="Book Antiqua" w:hAnsi="Book Antiqua" w:cs="Arial"/>
        </w:rPr>
        <w:t xml:space="preserve">he consequence of such certification </w:t>
      </w:r>
      <w:r w:rsidR="003710F4">
        <w:rPr>
          <w:rFonts w:ascii="Book Antiqua" w:hAnsi="Book Antiqua" w:cs="Arial"/>
        </w:rPr>
        <w:t>being</w:t>
      </w:r>
      <w:r w:rsidR="00B343EA" w:rsidRPr="003710F4">
        <w:rPr>
          <w:rFonts w:ascii="Book Antiqua" w:hAnsi="Book Antiqua" w:cs="Arial"/>
        </w:rPr>
        <w:t xml:space="preserve"> that the appellant was not entitled to bring an appeal against the decision refusing his human rights claim until </w:t>
      </w:r>
      <w:r w:rsidR="003710F4">
        <w:rPr>
          <w:rFonts w:ascii="Book Antiqua" w:hAnsi="Book Antiqua" w:cs="Arial"/>
        </w:rPr>
        <w:t>after his departure from the United Kingdom.</w:t>
      </w:r>
      <w:r w:rsidR="00B343EA" w:rsidRPr="003710F4">
        <w:rPr>
          <w:rFonts w:ascii="Book Antiqua" w:hAnsi="Book Antiqua" w:cs="Arial"/>
        </w:rPr>
        <w:t xml:space="preserve">  </w:t>
      </w:r>
    </w:p>
    <w:p w14:paraId="4EE94114" w14:textId="77777777" w:rsidR="00B343EA" w:rsidRDefault="003710F4" w:rsidP="00173B0F">
      <w:pPr>
        <w:numPr>
          <w:ilvl w:val="0"/>
          <w:numId w:val="3"/>
        </w:numPr>
        <w:spacing w:before="120" w:after="120"/>
        <w:jc w:val="both"/>
        <w:rPr>
          <w:rFonts w:ascii="Book Antiqua" w:hAnsi="Book Antiqua" w:cs="Arial"/>
        </w:rPr>
      </w:pPr>
      <w:r>
        <w:rPr>
          <w:rFonts w:ascii="Book Antiqua" w:hAnsi="Book Antiqua" w:cs="Arial"/>
        </w:rPr>
        <w:t>T</w:t>
      </w:r>
      <w:r w:rsidR="00B343EA">
        <w:rPr>
          <w:rFonts w:ascii="Book Antiqua" w:hAnsi="Book Antiqua" w:cs="Arial"/>
        </w:rPr>
        <w:t>he appellant</w:t>
      </w:r>
      <w:r>
        <w:rPr>
          <w:rFonts w:ascii="Book Antiqua" w:hAnsi="Book Antiqua" w:cs="Arial"/>
        </w:rPr>
        <w:t xml:space="preserve"> nevertheless</w:t>
      </w:r>
      <w:r w:rsidR="00B343EA">
        <w:rPr>
          <w:rFonts w:ascii="Book Antiqua" w:hAnsi="Book Antiqua" w:cs="Arial"/>
        </w:rPr>
        <w:t xml:space="preserve"> attempted to bring an appeal whilst </w:t>
      </w:r>
      <w:r w:rsidR="009F7041">
        <w:rPr>
          <w:rFonts w:ascii="Book Antiqua" w:hAnsi="Book Antiqua" w:cs="Arial"/>
        </w:rPr>
        <w:t>s</w:t>
      </w:r>
      <w:r>
        <w:rPr>
          <w:rFonts w:ascii="Book Antiqua" w:hAnsi="Book Antiqua" w:cs="Arial"/>
        </w:rPr>
        <w:t>in the UK,</w:t>
      </w:r>
      <w:r w:rsidR="00B343EA">
        <w:rPr>
          <w:rFonts w:ascii="Book Antiqua" w:hAnsi="Book Antiqua" w:cs="Arial"/>
        </w:rPr>
        <w:t xml:space="preserve"> but this was dismissed for want of jurisdiction by First-tier Tribunal Judge Shanahan </w:t>
      </w:r>
      <w:r>
        <w:rPr>
          <w:rFonts w:ascii="Book Antiqua" w:hAnsi="Book Antiqua" w:cs="Arial"/>
        </w:rPr>
        <w:t>in a decision of</w:t>
      </w:r>
      <w:r w:rsidR="00B343EA">
        <w:rPr>
          <w:rFonts w:ascii="Book Antiqua" w:hAnsi="Book Antiqua" w:cs="Arial"/>
        </w:rPr>
        <w:t xml:space="preserve"> 16 February 2015.  </w:t>
      </w:r>
    </w:p>
    <w:p w14:paraId="6572884F" w14:textId="77777777" w:rsidR="00B343EA" w:rsidRDefault="00B343EA" w:rsidP="00173B0F">
      <w:pPr>
        <w:numPr>
          <w:ilvl w:val="0"/>
          <w:numId w:val="3"/>
        </w:numPr>
        <w:spacing w:before="120" w:after="120"/>
        <w:jc w:val="both"/>
        <w:rPr>
          <w:rFonts w:ascii="Book Antiqua" w:hAnsi="Book Antiqua" w:cs="Arial"/>
        </w:rPr>
      </w:pPr>
      <w:r>
        <w:rPr>
          <w:rFonts w:ascii="Book Antiqua" w:hAnsi="Book Antiqua" w:cs="Arial"/>
        </w:rPr>
        <w:t xml:space="preserve">The appellant was subsequently deported on 25 January 2016 after the </w:t>
      </w:r>
      <w:r w:rsidR="00ED1B9B">
        <w:rPr>
          <w:rFonts w:ascii="Book Antiqua" w:hAnsi="Book Antiqua" w:cs="Arial"/>
        </w:rPr>
        <w:t>SSHD</w:t>
      </w:r>
      <w:r>
        <w:rPr>
          <w:rFonts w:ascii="Book Antiqua" w:hAnsi="Book Antiqua" w:cs="Arial"/>
        </w:rPr>
        <w:t xml:space="preserve"> had considered</w:t>
      </w:r>
      <w:r w:rsidR="00ED1B9B">
        <w:rPr>
          <w:rFonts w:ascii="Book Antiqua" w:hAnsi="Book Antiqua" w:cs="Arial"/>
        </w:rPr>
        <w:t>, and rejected,</w:t>
      </w:r>
      <w:r>
        <w:rPr>
          <w:rFonts w:ascii="Book Antiqua" w:hAnsi="Book Antiqua" w:cs="Arial"/>
        </w:rPr>
        <w:t xml:space="preserve"> </w:t>
      </w:r>
      <w:r w:rsidR="00ED1B9B">
        <w:rPr>
          <w:rFonts w:ascii="Book Antiqua" w:hAnsi="Book Antiqua" w:cs="Arial"/>
        </w:rPr>
        <w:t>his further</w:t>
      </w:r>
      <w:r>
        <w:rPr>
          <w:rFonts w:ascii="Book Antiqua" w:hAnsi="Book Antiqua" w:cs="Arial"/>
        </w:rPr>
        <w:t xml:space="preserve"> represen</w:t>
      </w:r>
      <w:r w:rsidR="009F7041">
        <w:rPr>
          <w:rFonts w:ascii="Book Antiqua" w:hAnsi="Book Antiqua" w:cs="Arial"/>
        </w:rPr>
        <w:t>tations</w:t>
      </w:r>
      <w:r>
        <w:rPr>
          <w:rFonts w:ascii="Book Antiqua" w:hAnsi="Book Antiqua" w:cs="Arial"/>
        </w:rPr>
        <w:t xml:space="preserve"> and after Upper Tribunal Judge Allen had refused to stay his removal in the context of an application for judicial review brought against the aforementioned </w:t>
      </w:r>
      <w:r w:rsidR="00ED1B9B">
        <w:rPr>
          <w:rFonts w:ascii="Book Antiqua" w:hAnsi="Book Antiqua" w:cs="Arial"/>
        </w:rPr>
        <w:t>rejection</w:t>
      </w:r>
      <w:r>
        <w:rPr>
          <w:rFonts w:ascii="Book Antiqua" w:hAnsi="Book Antiqua" w:cs="Arial"/>
        </w:rPr>
        <w:t xml:space="preserve">.  </w:t>
      </w:r>
    </w:p>
    <w:p w14:paraId="75E43C0D" w14:textId="77777777" w:rsidR="00B343EA" w:rsidRDefault="00B343EA" w:rsidP="00173B0F">
      <w:pPr>
        <w:numPr>
          <w:ilvl w:val="0"/>
          <w:numId w:val="3"/>
        </w:numPr>
        <w:spacing w:before="120" w:after="120"/>
        <w:jc w:val="both"/>
        <w:rPr>
          <w:rFonts w:ascii="Book Antiqua" w:hAnsi="Book Antiqua" w:cs="Arial"/>
        </w:rPr>
      </w:pPr>
      <w:r>
        <w:rPr>
          <w:rFonts w:ascii="Book Antiqua" w:hAnsi="Book Antiqua" w:cs="Arial"/>
        </w:rPr>
        <w:t xml:space="preserve">Once in Grenada the appellant lodged </w:t>
      </w:r>
      <w:r w:rsidR="00ED1B9B">
        <w:rPr>
          <w:rFonts w:ascii="Book Antiqua" w:hAnsi="Book Antiqua" w:cs="Arial"/>
        </w:rPr>
        <w:t>an</w:t>
      </w:r>
      <w:r>
        <w:rPr>
          <w:rFonts w:ascii="Book Antiqua" w:hAnsi="Book Antiqua" w:cs="Arial"/>
        </w:rPr>
        <w:t xml:space="preserve"> appeal </w:t>
      </w:r>
      <w:r w:rsidR="00ED1B9B">
        <w:rPr>
          <w:rFonts w:ascii="Book Antiqua" w:hAnsi="Book Antiqua" w:cs="Arial"/>
        </w:rPr>
        <w:t>with</w:t>
      </w:r>
      <w:r>
        <w:rPr>
          <w:rFonts w:ascii="Book Antiqua" w:hAnsi="Book Antiqua" w:cs="Arial"/>
        </w:rPr>
        <w:t xml:space="preserve"> the First-tier Tribunal</w:t>
      </w:r>
      <w:r w:rsidR="008D4BDE">
        <w:rPr>
          <w:rFonts w:ascii="Book Antiqua" w:hAnsi="Book Antiqua" w:cs="Arial"/>
        </w:rPr>
        <w:t xml:space="preserve"> (“</w:t>
      </w:r>
      <w:proofErr w:type="spellStart"/>
      <w:r w:rsidR="008D4BDE">
        <w:rPr>
          <w:rFonts w:ascii="Book Antiqua" w:hAnsi="Book Antiqua" w:cs="Arial"/>
        </w:rPr>
        <w:t>FtT</w:t>
      </w:r>
      <w:proofErr w:type="spellEnd"/>
      <w:r w:rsidR="008D4BDE">
        <w:rPr>
          <w:rFonts w:ascii="Book Antiqua" w:hAnsi="Book Antiqua" w:cs="Arial"/>
        </w:rPr>
        <w:t>”)</w:t>
      </w:r>
      <w:r w:rsidR="00ED1B9B">
        <w:rPr>
          <w:rFonts w:ascii="Book Antiqua" w:hAnsi="Book Antiqua" w:cs="Arial"/>
        </w:rPr>
        <w:t>. H</w:t>
      </w:r>
      <w:r w:rsidR="0046135E">
        <w:rPr>
          <w:rFonts w:ascii="Book Antiqua" w:hAnsi="Book Antiqua" w:cs="Arial"/>
        </w:rPr>
        <w:t xml:space="preserve">e </w:t>
      </w:r>
      <w:r w:rsidR="00ED1B9B">
        <w:rPr>
          <w:rFonts w:ascii="Book Antiqua" w:hAnsi="Book Antiqua" w:cs="Arial"/>
        </w:rPr>
        <w:t xml:space="preserve">has </w:t>
      </w:r>
      <w:r w:rsidR="0046135E">
        <w:rPr>
          <w:rFonts w:ascii="Book Antiqua" w:hAnsi="Book Antiqua" w:cs="Arial"/>
        </w:rPr>
        <w:t>remained in Grenada</w:t>
      </w:r>
      <w:r>
        <w:rPr>
          <w:rFonts w:ascii="Book Antiqua" w:hAnsi="Book Antiqua" w:cs="Arial"/>
        </w:rPr>
        <w:t xml:space="preserve"> throughout the course of the</w:t>
      </w:r>
      <w:r w:rsidR="00ED1B9B">
        <w:rPr>
          <w:rFonts w:ascii="Book Antiqua" w:hAnsi="Book Antiqua" w:cs="Arial"/>
        </w:rPr>
        <w:t>se</w:t>
      </w:r>
      <w:r>
        <w:rPr>
          <w:rFonts w:ascii="Book Antiqua" w:hAnsi="Book Antiqua" w:cs="Arial"/>
        </w:rPr>
        <w:t xml:space="preserve"> proceedings</w:t>
      </w:r>
      <w:r w:rsidR="00ED1B9B">
        <w:rPr>
          <w:rFonts w:ascii="Book Antiqua" w:hAnsi="Book Antiqua" w:cs="Arial"/>
        </w:rPr>
        <w:t>.</w:t>
      </w:r>
    </w:p>
    <w:p w14:paraId="4FE0BA81" w14:textId="77777777" w:rsidR="00B343EA" w:rsidRPr="008D4BDE" w:rsidRDefault="00B343EA" w:rsidP="00173B0F">
      <w:pPr>
        <w:spacing w:before="120" w:after="120"/>
        <w:jc w:val="both"/>
        <w:rPr>
          <w:rFonts w:ascii="Book Antiqua" w:hAnsi="Book Antiqua" w:cs="Arial"/>
          <w:b/>
          <w:u w:val="single"/>
        </w:rPr>
      </w:pPr>
      <w:r w:rsidRPr="008D4BDE">
        <w:rPr>
          <w:rFonts w:ascii="Book Antiqua" w:hAnsi="Book Antiqua" w:cs="Arial"/>
          <w:b/>
          <w:u w:val="single"/>
        </w:rPr>
        <w:t>First-tier Tribunal</w:t>
      </w:r>
      <w:r w:rsidR="00ED1B9B">
        <w:rPr>
          <w:rFonts w:ascii="Book Antiqua" w:hAnsi="Book Antiqua" w:cs="Arial"/>
          <w:b/>
          <w:u w:val="single"/>
        </w:rPr>
        <w:t>’s</w:t>
      </w:r>
      <w:r w:rsidRPr="008D4BDE">
        <w:rPr>
          <w:rFonts w:ascii="Book Antiqua" w:hAnsi="Book Antiqua" w:cs="Arial"/>
          <w:b/>
          <w:u w:val="single"/>
        </w:rPr>
        <w:t xml:space="preserve"> Decision</w:t>
      </w:r>
    </w:p>
    <w:p w14:paraId="7B5FC365" w14:textId="77777777" w:rsidR="00342DD4" w:rsidRDefault="008D4BDE" w:rsidP="00173B0F">
      <w:pPr>
        <w:numPr>
          <w:ilvl w:val="0"/>
          <w:numId w:val="3"/>
        </w:numPr>
        <w:spacing w:before="120" w:after="120"/>
        <w:jc w:val="both"/>
        <w:rPr>
          <w:rFonts w:ascii="Book Antiqua" w:hAnsi="Book Antiqua" w:cs="Arial"/>
        </w:rPr>
      </w:pPr>
      <w:r>
        <w:rPr>
          <w:rFonts w:ascii="Book Antiqua" w:hAnsi="Book Antiqua" w:cs="Arial"/>
        </w:rPr>
        <w:t>The appellant’s appeal cam</w:t>
      </w:r>
      <w:r w:rsidR="009F7041">
        <w:rPr>
          <w:rFonts w:ascii="Book Antiqua" w:hAnsi="Book Antiqua" w:cs="Arial"/>
        </w:rPr>
        <w:t xml:space="preserve">e before </w:t>
      </w:r>
      <w:proofErr w:type="spellStart"/>
      <w:r w:rsidR="009F7041">
        <w:rPr>
          <w:rFonts w:ascii="Book Antiqua" w:hAnsi="Book Antiqua" w:cs="Arial"/>
        </w:rPr>
        <w:t>FtT</w:t>
      </w:r>
      <w:proofErr w:type="spellEnd"/>
      <w:r w:rsidR="009F7041">
        <w:rPr>
          <w:rFonts w:ascii="Book Antiqua" w:hAnsi="Book Antiqua" w:cs="Arial"/>
        </w:rPr>
        <w:t xml:space="preserve"> Judge Nicholls on </w:t>
      </w:r>
      <w:r>
        <w:rPr>
          <w:rFonts w:ascii="Book Antiqua" w:hAnsi="Book Antiqua" w:cs="Arial"/>
        </w:rPr>
        <w:t xml:space="preserve">9 December 2016 and was dismissed in a decision sent to the parties on 16 January 2017.  </w:t>
      </w:r>
      <w:r w:rsidR="00ED1B9B">
        <w:rPr>
          <w:rFonts w:ascii="Book Antiqua" w:hAnsi="Book Antiqua" w:cs="Arial"/>
        </w:rPr>
        <w:t>A</w:t>
      </w:r>
      <w:r>
        <w:rPr>
          <w:rFonts w:ascii="Book Antiqua" w:hAnsi="Book Antiqua" w:cs="Arial"/>
        </w:rPr>
        <w:t xml:space="preserve"> substantial number of witnesses </w:t>
      </w:r>
      <w:r w:rsidR="00ED1B9B">
        <w:rPr>
          <w:rFonts w:ascii="Book Antiqua" w:hAnsi="Book Antiqua" w:cs="Arial"/>
        </w:rPr>
        <w:t xml:space="preserve">gave oral and written evidence </w:t>
      </w:r>
      <w:r>
        <w:rPr>
          <w:rFonts w:ascii="Book Antiqua" w:hAnsi="Book Antiqua" w:cs="Arial"/>
        </w:rPr>
        <w:t xml:space="preserve">on </w:t>
      </w:r>
      <w:r w:rsidR="00ED1B9B">
        <w:rPr>
          <w:rFonts w:ascii="Book Antiqua" w:hAnsi="Book Antiqua" w:cs="Arial"/>
        </w:rPr>
        <w:t>the appellant’s</w:t>
      </w:r>
      <w:r>
        <w:rPr>
          <w:rFonts w:ascii="Book Antiqua" w:hAnsi="Book Antiqua" w:cs="Arial"/>
        </w:rPr>
        <w:t xml:space="preserve"> behalf but </w:t>
      </w:r>
      <w:r w:rsidR="00ED1B9B">
        <w:rPr>
          <w:rFonts w:ascii="Book Antiqua" w:hAnsi="Book Antiqua" w:cs="Arial"/>
        </w:rPr>
        <w:t>the appellant</w:t>
      </w:r>
      <w:r w:rsidR="009F7041">
        <w:rPr>
          <w:rFonts w:ascii="Book Antiqua" w:hAnsi="Book Antiqua" w:cs="Arial"/>
        </w:rPr>
        <w:t xml:space="preserve"> himself did not give oral</w:t>
      </w:r>
      <w:r>
        <w:rPr>
          <w:rFonts w:ascii="Book Antiqua" w:hAnsi="Book Antiqua" w:cs="Arial"/>
        </w:rPr>
        <w:t xml:space="preserve"> evidence</w:t>
      </w:r>
      <w:r w:rsidR="00ED1B9B">
        <w:rPr>
          <w:rFonts w:ascii="Book Antiqua" w:hAnsi="Book Antiqua" w:cs="Arial"/>
        </w:rPr>
        <w:t>,</w:t>
      </w:r>
      <w:r>
        <w:rPr>
          <w:rFonts w:ascii="Book Antiqua" w:hAnsi="Book Antiqua" w:cs="Arial"/>
        </w:rPr>
        <w:t xml:space="preserve"> </w:t>
      </w:r>
      <w:r w:rsidR="00ED1B9B">
        <w:rPr>
          <w:rFonts w:ascii="Book Antiqua" w:hAnsi="Book Antiqua" w:cs="Arial"/>
        </w:rPr>
        <w:t>but relied only on written evidence</w:t>
      </w:r>
      <w:r>
        <w:rPr>
          <w:rFonts w:ascii="Book Antiqua" w:hAnsi="Book Antiqua" w:cs="Arial"/>
        </w:rPr>
        <w:t xml:space="preserve"> </w:t>
      </w:r>
      <w:r w:rsidR="00ED1B9B">
        <w:rPr>
          <w:rFonts w:ascii="Book Antiqua" w:hAnsi="Book Antiqua" w:cs="Arial"/>
        </w:rPr>
        <w:t>produced with the assistance of his legal</w:t>
      </w:r>
      <w:r>
        <w:rPr>
          <w:rFonts w:ascii="Book Antiqua" w:hAnsi="Book Antiqua" w:cs="Arial"/>
        </w:rPr>
        <w:t xml:space="preserve"> representatives.  </w:t>
      </w:r>
    </w:p>
    <w:p w14:paraId="23D80669" w14:textId="77777777" w:rsidR="00647418" w:rsidRDefault="009918CA" w:rsidP="00173B0F">
      <w:pPr>
        <w:numPr>
          <w:ilvl w:val="0"/>
          <w:numId w:val="3"/>
        </w:numPr>
        <w:spacing w:before="120" w:after="120"/>
        <w:jc w:val="both"/>
        <w:rPr>
          <w:rFonts w:ascii="Book Antiqua" w:hAnsi="Book Antiqua" w:cs="Arial"/>
        </w:rPr>
      </w:pPr>
      <w:r>
        <w:rPr>
          <w:rFonts w:ascii="Book Antiqua" w:hAnsi="Book Antiqua" w:cs="Arial"/>
        </w:rPr>
        <w:t>In its</w:t>
      </w:r>
      <w:r w:rsidR="00647418">
        <w:rPr>
          <w:rFonts w:ascii="Book Antiqua" w:hAnsi="Book Antiqua" w:cs="Arial"/>
        </w:rPr>
        <w:t xml:space="preserve"> decision, </w:t>
      </w:r>
      <w:r>
        <w:rPr>
          <w:rFonts w:ascii="Book Antiqua" w:hAnsi="Book Antiqua" w:cs="Arial"/>
        </w:rPr>
        <w:t>the First-tier Tribunal (“</w:t>
      </w:r>
      <w:proofErr w:type="spellStart"/>
      <w:r>
        <w:rPr>
          <w:rFonts w:ascii="Book Antiqua" w:hAnsi="Book Antiqua" w:cs="Arial"/>
        </w:rPr>
        <w:t>FtT</w:t>
      </w:r>
      <w:proofErr w:type="spellEnd"/>
      <w:r>
        <w:rPr>
          <w:rFonts w:ascii="Book Antiqua" w:hAnsi="Book Antiqua" w:cs="Arial"/>
        </w:rPr>
        <w:t>”)</w:t>
      </w:r>
      <w:r w:rsidR="00647418">
        <w:rPr>
          <w:rFonts w:ascii="Book Antiqua" w:hAnsi="Book Antiqua" w:cs="Arial"/>
        </w:rPr>
        <w:t xml:space="preserve"> </w:t>
      </w:r>
      <w:r w:rsidR="00ED1B9B">
        <w:rPr>
          <w:rFonts w:ascii="Book Antiqua" w:hAnsi="Book Antiqua" w:cs="Arial"/>
        </w:rPr>
        <w:t xml:space="preserve">carefully </w:t>
      </w:r>
      <w:r w:rsidR="00C7695B">
        <w:rPr>
          <w:rFonts w:ascii="Book Antiqua" w:hAnsi="Book Antiqua" w:cs="Arial"/>
        </w:rPr>
        <w:t>summarises</w:t>
      </w:r>
      <w:r w:rsidR="00647418">
        <w:rPr>
          <w:rFonts w:ascii="Book Antiqua" w:hAnsi="Book Antiqua" w:cs="Arial"/>
        </w:rPr>
        <w:t xml:space="preserve"> the evidence before him </w:t>
      </w:r>
      <w:r w:rsidR="0046135E">
        <w:rPr>
          <w:rFonts w:ascii="Book Antiqua" w:hAnsi="Book Antiqua" w:cs="Arial"/>
        </w:rPr>
        <w:t>[paragraphs 6</w:t>
      </w:r>
      <w:r w:rsidR="00C7695B">
        <w:rPr>
          <w:rFonts w:ascii="Book Antiqua" w:hAnsi="Book Antiqua" w:cs="Arial"/>
        </w:rPr>
        <w:t xml:space="preserve"> </w:t>
      </w:r>
      <w:r w:rsidR="0046135E">
        <w:rPr>
          <w:rFonts w:ascii="Book Antiqua" w:hAnsi="Book Antiqua" w:cs="Arial"/>
        </w:rPr>
        <w:t>-</w:t>
      </w:r>
      <w:r w:rsidR="00647418">
        <w:rPr>
          <w:rFonts w:ascii="Book Antiqua" w:hAnsi="Book Antiqua" w:cs="Arial"/>
        </w:rPr>
        <w:t>23]</w:t>
      </w:r>
      <w:r w:rsidR="00C7695B">
        <w:rPr>
          <w:rFonts w:ascii="Book Antiqua" w:hAnsi="Book Antiqua" w:cs="Arial"/>
        </w:rPr>
        <w:t>, and thereafter provides detailed reasons for dismissing the appellant’s appeal [</w:t>
      </w:r>
      <w:r w:rsidR="0046135E">
        <w:rPr>
          <w:rFonts w:ascii="Book Antiqua" w:hAnsi="Book Antiqua" w:cs="Arial"/>
        </w:rPr>
        <w:t>paragraphs 26</w:t>
      </w:r>
      <w:r w:rsidR="00C7695B">
        <w:rPr>
          <w:rFonts w:ascii="Book Antiqua" w:hAnsi="Book Antiqua" w:cs="Arial"/>
        </w:rPr>
        <w:t xml:space="preserve"> – </w:t>
      </w:r>
      <w:r w:rsidR="00647418">
        <w:rPr>
          <w:rFonts w:ascii="Book Antiqua" w:hAnsi="Book Antiqua" w:cs="Arial"/>
        </w:rPr>
        <w:t>42</w:t>
      </w:r>
      <w:r w:rsidR="00C7695B">
        <w:rPr>
          <w:rFonts w:ascii="Book Antiqua" w:hAnsi="Book Antiqua" w:cs="Arial"/>
        </w:rPr>
        <w:t>]</w:t>
      </w:r>
      <w:r w:rsidR="00647418">
        <w:rPr>
          <w:rFonts w:ascii="Book Antiqua" w:hAnsi="Book Antiqua" w:cs="Arial"/>
        </w:rPr>
        <w:t xml:space="preserve"> </w:t>
      </w:r>
    </w:p>
    <w:p w14:paraId="317AA26B" w14:textId="77777777" w:rsidR="00647418" w:rsidRDefault="00647418" w:rsidP="00173B0F">
      <w:pPr>
        <w:numPr>
          <w:ilvl w:val="0"/>
          <w:numId w:val="3"/>
        </w:numPr>
        <w:spacing w:before="120" w:after="120"/>
        <w:jc w:val="both"/>
        <w:rPr>
          <w:rFonts w:ascii="Book Antiqua" w:hAnsi="Book Antiqua" w:cs="Arial"/>
        </w:rPr>
      </w:pPr>
      <w:r>
        <w:rPr>
          <w:rFonts w:ascii="Book Antiqua" w:hAnsi="Book Antiqua" w:cs="Arial"/>
        </w:rPr>
        <w:t xml:space="preserve">Permission to appeal to the Upper Tribunal was granted by Upper Tribunal Judge Craig on 20 September 2017 in the following </w:t>
      </w:r>
      <w:r w:rsidR="00C7695B">
        <w:rPr>
          <w:rFonts w:ascii="Book Antiqua" w:hAnsi="Book Antiqua" w:cs="Arial"/>
        </w:rPr>
        <w:t xml:space="preserve">succinct </w:t>
      </w:r>
      <w:r>
        <w:rPr>
          <w:rFonts w:ascii="Book Antiqua" w:hAnsi="Book Antiqua" w:cs="Arial"/>
        </w:rPr>
        <w:t>terms:</w:t>
      </w:r>
    </w:p>
    <w:p w14:paraId="48B5A628" w14:textId="77777777" w:rsidR="00647418" w:rsidRDefault="00647418" w:rsidP="00173B0F">
      <w:pPr>
        <w:spacing w:before="120" w:after="120"/>
        <w:ind w:left="1134"/>
        <w:jc w:val="both"/>
        <w:rPr>
          <w:rFonts w:ascii="Book Antiqua" w:hAnsi="Book Antiqua" w:cs="Arial"/>
          <w:sz w:val="22"/>
          <w:szCs w:val="22"/>
        </w:rPr>
      </w:pPr>
      <w:r>
        <w:rPr>
          <w:rFonts w:ascii="Book Antiqua" w:hAnsi="Book Antiqua" w:cs="Arial"/>
          <w:sz w:val="22"/>
          <w:szCs w:val="22"/>
        </w:rPr>
        <w:t xml:space="preserve">“In light of the decision of the Supreme Court in </w:t>
      </w:r>
      <w:proofErr w:type="spellStart"/>
      <w:r w:rsidRPr="00647418">
        <w:rPr>
          <w:rFonts w:ascii="Book Antiqua" w:hAnsi="Book Antiqua" w:cs="Arial"/>
          <w:i/>
          <w:sz w:val="22"/>
          <w:szCs w:val="22"/>
        </w:rPr>
        <w:t>Kiar</w:t>
      </w:r>
      <w:r>
        <w:rPr>
          <w:rFonts w:ascii="Book Antiqua" w:hAnsi="Book Antiqua" w:cs="Arial"/>
          <w:i/>
          <w:sz w:val="22"/>
          <w:szCs w:val="22"/>
        </w:rPr>
        <w:t>i</w:t>
      </w:r>
      <w:r w:rsidRPr="00647418">
        <w:rPr>
          <w:rFonts w:ascii="Book Antiqua" w:hAnsi="Book Antiqua" w:cs="Arial"/>
          <w:i/>
          <w:sz w:val="22"/>
          <w:szCs w:val="22"/>
        </w:rPr>
        <w:t>e</w:t>
      </w:r>
      <w:proofErr w:type="spellEnd"/>
      <w:r w:rsidRPr="00647418">
        <w:rPr>
          <w:rFonts w:ascii="Book Antiqua" w:hAnsi="Book Antiqua" w:cs="Arial"/>
          <w:i/>
          <w:sz w:val="22"/>
          <w:szCs w:val="22"/>
        </w:rPr>
        <w:t xml:space="preserve"> and </w:t>
      </w:r>
      <w:proofErr w:type="spellStart"/>
      <w:r w:rsidRPr="00647418">
        <w:rPr>
          <w:rFonts w:ascii="Book Antiqua" w:hAnsi="Book Antiqua" w:cs="Arial"/>
          <w:i/>
          <w:sz w:val="22"/>
          <w:szCs w:val="22"/>
        </w:rPr>
        <w:t>Byndloss</w:t>
      </w:r>
      <w:proofErr w:type="spellEnd"/>
      <w:r w:rsidRPr="00647418">
        <w:rPr>
          <w:rFonts w:ascii="Book Antiqua" w:hAnsi="Book Antiqua" w:cs="Arial"/>
          <w:i/>
          <w:sz w:val="22"/>
          <w:szCs w:val="22"/>
        </w:rPr>
        <w:t xml:space="preserve"> v SSHD</w:t>
      </w:r>
      <w:r>
        <w:rPr>
          <w:rFonts w:ascii="Book Antiqua" w:hAnsi="Book Antiqua" w:cs="Arial"/>
          <w:sz w:val="22"/>
          <w:szCs w:val="22"/>
        </w:rPr>
        <w:t xml:space="preserve"> [2017] UKSC 42, this appeal is arguable.”</w:t>
      </w:r>
    </w:p>
    <w:p w14:paraId="7BB42AB6" w14:textId="77777777" w:rsidR="00342DD4" w:rsidRDefault="00647418" w:rsidP="00173B0F">
      <w:pPr>
        <w:numPr>
          <w:ilvl w:val="0"/>
          <w:numId w:val="3"/>
        </w:numPr>
        <w:spacing w:before="120" w:after="120"/>
        <w:jc w:val="both"/>
        <w:rPr>
          <w:rFonts w:ascii="Book Antiqua" w:hAnsi="Book Antiqua" w:cs="Arial"/>
        </w:rPr>
      </w:pPr>
      <w:r>
        <w:rPr>
          <w:rFonts w:ascii="Book Antiqua" w:hAnsi="Book Antiqua" w:cs="Arial"/>
        </w:rPr>
        <w:t>Thus</w:t>
      </w:r>
      <w:r w:rsidR="00C7695B">
        <w:rPr>
          <w:rFonts w:ascii="Book Antiqua" w:hAnsi="Book Antiqua" w:cs="Arial"/>
        </w:rPr>
        <w:t>,</w:t>
      </w:r>
      <w:r>
        <w:rPr>
          <w:rFonts w:ascii="Book Antiqua" w:hAnsi="Book Antiqua" w:cs="Arial"/>
        </w:rPr>
        <w:t xml:space="preserve"> the matter comes before me.  </w:t>
      </w:r>
    </w:p>
    <w:p w14:paraId="49D794AF" w14:textId="77777777" w:rsidR="00647418" w:rsidRDefault="00C7695B" w:rsidP="004F3946">
      <w:pPr>
        <w:spacing w:before="120" w:after="240"/>
        <w:jc w:val="both"/>
        <w:rPr>
          <w:rFonts w:ascii="Book Antiqua" w:hAnsi="Book Antiqua" w:cs="Arial"/>
          <w:b/>
          <w:u w:val="single"/>
        </w:rPr>
      </w:pPr>
      <w:r>
        <w:rPr>
          <w:rFonts w:ascii="Book Antiqua" w:hAnsi="Book Antiqua" w:cs="Arial"/>
          <w:b/>
          <w:u w:val="single"/>
        </w:rPr>
        <w:t>Legal Background</w:t>
      </w:r>
    </w:p>
    <w:p w14:paraId="6E6FCE1F" w14:textId="77777777" w:rsidR="00FB22CC" w:rsidRPr="00FB22CC" w:rsidRDefault="00C7695B" w:rsidP="00173B0F">
      <w:pPr>
        <w:numPr>
          <w:ilvl w:val="0"/>
          <w:numId w:val="3"/>
        </w:numPr>
        <w:spacing w:before="120" w:after="120"/>
        <w:jc w:val="both"/>
        <w:rPr>
          <w:rFonts w:ascii="Book Antiqua" w:hAnsi="Book Antiqua" w:cs="Arial"/>
          <w:u w:val="single"/>
        </w:rPr>
      </w:pPr>
      <w:r>
        <w:rPr>
          <w:rFonts w:ascii="Book Antiqua" w:hAnsi="Book Antiqua" w:cs="Arial"/>
        </w:rPr>
        <w:t xml:space="preserve">The </w:t>
      </w:r>
      <w:r w:rsidR="004F3946">
        <w:rPr>
          <w:rFonts w:ascii="Book Antiqua" w:hAnsi="Book Antiqua" w:cs="Arial"/>
        </w:rPr>
        <w:t xml:space="preserve">instant </w:t>
      </w:r>
      <w:r>
        <w:rPr>
          <w:rFonts w:ascii="Book Antiqua" w:hAnsi="Book Antiqua" w:cs="Arial"/>
        </w:rPr>
        <w:t>appeal before the U</w:t>
      </w:r>
      <w:r w:rsidR="004F3946">
        <w:rPr>
          <w:rFonts w:ascii="Book Antiqua" w:hAnsi="Book Antiqua" w:cs="Arial"/>
        </w:rPr>
        <w:t>pper Tribunal must be put in the</w:t>
      </w:r>
      <w:r>
        <w:rPr>
          <w:rFonts w:ascii="Book Antiqua" w:hAnsi="Book Antiqua" w:cs="Arial"/>
        </w:rPr>
        <w:t xml:space="preserve"> proper context of the developing case law regarding the ambit of the procedural protection afforded to </w:t>
      </w:r>
      <w:r>
        <w:rPr>
          <w:rFonts w:ascii="Book Antiqua" w:hAnsi="Book Antiqua" w:cs="Arial"/>
        </w:rPr>
        <w:lastRenderedPageBreak/>
        <w:t>litigants by Article 8 ECHR</w:t>
      </w:r>
      <w:r w:rsidR="00FB22CC">
        <w:rPr>
          <w:rFonts w:ascii="Book Antiqua" w:hAnsi="Book Antiqua" w:cs="Arial"/>
        </w:rPr>
        <w:t xml:space="preserve"> in scenarios such as the insta</w:t>
      </w:r>
      <w:r w:rsidR="004F3946">
        <w:rPr>
          <w:rFonts w:ascii="Book Antiqua" w:hAnsi="Book Antiqua" w:cs="Arial"/>
        </w:rPr>
        <w:t>nt one, in which an appellant in</w:t>
      </w:r>
      <w:r w:rsidR="00FB22CC">
        <w:rPr>
          <w:rFonts w:ascii="Book Antiqua" w:hAnsi="Book Antiqua" w:cs="Arial"/>
        </w:rPr>
        <w:t xml:space="preserve"> an appeal before the Tribunal is </w:t>
      </w:r>
      <w:r w:rsidR="004F3946">
        <w:rPr>
          <w:rFonts w:ascii="Book Antiqua" w:hAnsi="Book Antiqua" w:cs="Arial"/>
        </w:rPr>
        <w:t xml:space="preserve">located </w:t>
      </w:r>
      <w:r w:rsidR="00FB22CC">
        <w:rPr>
          <w:rFonts w:ascii="Book Antiqua" w:hAnsi="Book Antiqua" w:cs="Arial"/>
        </w:rPr>
        <w:t xml:space="preserve">outside </w:t>
      </w:r>
      <w:r w:rsidR="004F3946">
        <w:rPr>
          <w:rFonts w:ascii="Book Antiqua" w:hAnsi="Book Antiqua" w:cs="Arial"/>
        </w:rPr>
        <w:t>of the United Kingdom</w:t>
      </w:r>
      <w:r w:rsidR="00FB22CC">
        <w:rPr>
          <w:rFonts w:ascii="Book Antiqua" w:hAnsi="Book Antiqua" w:cs="Arial"/>
        </w:rPr>
        <w:t xml:space="preserve"> </w:t>
      </w:r>
      <w:r w:rsidR="00984C9C">
        <w:rPr>
          <w:rFonts w:ascii="Book Antiqua" w:hAnsi="Book Antiqua" w:cs="Arial"/>
        </w:rPr>
        <w:t>during</w:t>
      </w:r>
      <w:r w:rsidR="004F3946">
        <w:rPr>
          <w:rFonts w:ascii="Book Antiqua" w:hAnsi="Book Antiqua" w:cs="Arial"/>
        </w:rPr>
        <w:t xml:space="preserve"> the</w:t>
      </w:r>
      <w:r w:rsidR="00FB22CC">
        <w:rPr>
          <w:rFonts w:ascii="Book Antiqua" w:hAnsi="Book Antiqua" w:cs="Arial"/>
        </w:rPr>
        <w:t xml:space="preserve"> appeal process</w:t>
      </w:r>
    </w:p>
    <w:p w14:paraId="52435F37" w14:textId="77777777" w:rsidR="00FB22CC" w:rsidRPr="00FB22CC" w:rsidRDefault="00FB22CC" w:rsidP="00173B0F">
      <w:pPr>
        <w:numPr>
          <w:ilvl w:val="0"/>
          <w:numId w:val="3"/>
        </w:numPr>
        <w:spacing w:before="120" w:after="120"/>
        <w:jc w:val="both"/>
        <w:rPr>
          <w:rFonts w:ascii="Book Antiqua" w:hAnsi="Book Antiqua" w:cs="Arial"/>
          <w:u w:val="single"/>
        </w:rPr>
      </w:pPr>
      <w:r>
        <w:rPr>
          <w:rFonts w:ascii="Book Antiqua" w:hAnsi="Book Antiqua" w:cs="Arial"/>
        </w:rPr>
        <w:t>At t</w:t>
      </w:r>
      <w:r w:rsidR="00E6302F">
        <w:rPr>
          <w:rFonts w:ascii="Book Antiqua" w:hAnsi="Book Antiqua" w:cs="Arial"/>
        </w:rPr>
        <w:t>he cornerstone of th</w:t>
      </w:r>
      <w:r>
        <w:rPr>
          <w:rFonts w:ascii="Book Antiqua" w:hAnsi="Book Antiqua" w:cs="Arial"/>
        </w:rPr>
        <w:t>is developing</w:t>
      </w:r>
      <w:r w:rsidR="00E6302F">
        <w:rPr>
          <w:rFonts w:ascii="Book Antiqua" w:hAnsi="Book Antiqua" w:cs="Arial"/>
        </w:rPr>
        <w:t xml:space="preserve"> case law i</w:t>
      </w:r>
      <w:r>
        <w:rPr>
          <w:rFonts w:ascii="Book Antiqua" w:hAnsi="Book Antiqua" w:cs="Arial"/>
        </w:rPr>
        <w:t>s</w:t>
      </w:r>
      <w:r w:rsidR="00E6302F">
        <w:rPr>
          <w:rFonts w:ascii="Book Antiqua" w:hAnsi="Book Antiqua" w:cs="Arial"/>
        </w:rPr>
        <w:t xml:space="preserve"> the decision of the Supreme Court in </w:t>
      </w:r>
      <w:proofErr w:type="spellStart"/>
      <w:r w:rsidR="00E6302F">
        <w:rPr>
          <w:rFonts w:ascii="Book Antiqua" w:hAnsi="Book Antiqua"/>
          <w:color w:val="000000"/>
          <w:u w:val="single"/>
        </w:rPr>
        <w:t>Kiarie</w:t>
      </w:r>
      <w:proofErr w:type="spellEnd"/>
      <w:r w:rsidR="00E6302F">
        <w:rPr>
          <w:rFonts w:ascii="Book Antiqua" w:hAnsi="Book Antiqua"/>
          <w:color w:val="000000"/>
          <w:u w:val="single"/>
        </w:rPr>
        <w:t xml:space="preserve"> v SSHD</w:t>
      </w:r>
      <w:r w:rsidR="00E6302F">
        <w:rPr>
          <w:rFonts w:ascii="Book Antiqua" w:hAnsi="Book Antiqua"/>
          <w:color w:val="000000"/>
        </w:rPr>
        <w:t xml:space="preserve">; </w:t>
      </w:r>
      <w:r w:rsidR="00E6302F">
        <w:rPr>
          <w:rFonts w:ascii="Book Antiqua" w:hAnsi="Book Antiqua"/>
          <w:color w:val="000000"/>
          <w:u w:val="single"/>
        </w:rPr>
        <w:t>R (</w:t>
      </w:r>
      <w:proofErr w:type="spellStart"/>
      <w:r w:rsidR="00E6302F">
        <w:rPr>
          <w:rFonts w:ascii="Book Antiqua" w:hAnsi="Book Antiqua"/>
          <w:color w:val="000000"/>
          <w:u w:val="single"/>
        </w:rPr>
        <w:t>Byndloss</w:t>
      </w:r>
      <w:proofErr w:type="spellEnd"/>
      <w:r w:rsidR="00E6302F">
        <w:rPr>
          <w:rFonts w:ascii="Book Antiqua" w:hAnsi="Book Antiqua"/>
          <w:color w:val="000000"/>
          <w:u w:val="single"/>
        </w:rPr>
        <w:t>) v SSHD</w:t>
      </w:r>
      <w:r w:rsidR="00E6302F">
        <w:rPr>
          <w:rFonts w:ascii="Book Antiqua" w:hAnsi="Book Antiqua"/>
          <w:color w:val="000000"/>
        </w:rPr>
        <w:t xml:space="preserve"> [2017] UKSC 42; [2017] 1 WLR 2380 (“</w:t>
      </w:r>
      <w:proofErr w:type="spellStart"/>
      <w:r w:rsidR="00E6302F">
        <w:rPr>
          <w:rFonts w:ascii="Book Antiqua" w:hAnsi="Book Antiqua"/>
          <w:color w:val="000000"/>
          <w:u w:val="single"/>
        </w:rPr>
        <w:t>Kiarie</w:t>
      </w:r>
      <w:proofErr w:type="spellEnd"/>
      <w:r w:rsidR="00E6302F">
        <w:rPr>
          <w:rFonts w:ascii="Book Antiqua" w:hAnsi="Book Antiqua"/>
          <w:color w:val="000000"/>
          <w:u w:val="single"/>
        </w:rPr>
        <w:t xml:space="preserve"> and </w:t>
      </w:r>
      <w:proofErr w:type="spellStart"/>
      <w:r w:rsidR="00E6302F">
        <w:rPr>
          <w:rFonts w:ascii="Book Antiqua" w:hAnsi="Book Antiqua"/>
          <w:color w:val="000000"/>
          <w:u w:val="single"/>
        </w:rPr>
        <w:t>Byndloss</w:t>
      </w:r>
      <w:proofErr w:type="spellEnd"/>
      <w:r w:rsidR="00E6302F">
        <w:rPr>
          <w:rFonts w:ascii="Book Antiqua" w:hAnsi="Book Antiqua"/>
          <w:color w:val="000000"/>
        </w:rPr>
        <w:t>”)</w:t>
      </w:r>
      <w:r w:rsidR="00E6302F" w:rsidRPr="00E6302F">
        <w:rPr>
          <w:rFonts w:ascii="Book Antiqua" w:hAnsi="Book Antiqua" w:cs="Arial"/>
        </w:rPr>
        <w:t>.</w:t>
      </w:r>
      <w:r>
        <w:rPr>
          <w:rFonts w:ascii="Book Antiqua" w:hAnsi="Book Antiqua" w:cs="Arial"/>
        </w:rPr>
        <w:t xml:space="preserve"> </w:t>
      </w:r>
      <w:r w:rsidRPr="00FB22CC">
        <w:rPr>
          <w:rFonts w:ascii="Book Antiqua" w:hAnsi="Book Antiqua"/>
          <w:color w:val="000000"/>
        </w:rPr>
        <w:t xml:space="preserve">In the </w:t>
      </w:r>
      <w:proofErr w:type="spellStart"/>
      <w:r w:rsidRPr="00FB22CC">
        <w:rPr>
          <w:rFonts w:ascii="Book Antiqua" w:hAnsi="Book Antiqua"/>
          <w:color w:val="000000"/>
          <w:u w:val="single"/>
        </w:rPr>
        <w:t>Kiarie</w:t>
      </w:r>
      <w:proofErr w:type="spellEnd"/>
      <w:r w:rsidRPr="00FB22CC">
        <w:rPr>
          <w:rFonts w:ascii="Book Antiqua" w:hAnsi="Book Antiqua"/>
          <w:color w:val="000000"/>
          <w:u w:val="single"/>
        </w:rPr>
        <w:t xml:space="preserve"> and </w:t>
      </w:r>
      <w:proofErr w:type="spellStart"/>
      <w:r w:rsidRPr="00FB22CC">
        <w:rPr>
          <w:rFonts w:ascii="Book Antiqua" w:hAnsi="Book Antiqua"/>
          <w:color w:val="000000"/>
          <w:u w:val="single"/>
        </w:rPr>
        <w:t>Byndloss</w:t>
      </w:r>
      <w:proofErr w:type="spellEnd"/>
      <w:r w:rsidRPr="00FB22CC">
        <w:rPr>
          <w:rFonts w:ascii="Book Antiqua" w:hAnsi="Book Antiqua"/>
          <w:color w:val="000000"/>
        </w:rPr>
        <w:t xml:space="preserve"> litigation the senior courts gave detailed consideration to the approach to be taken to an assessment of the lawfulness of a section 94B certificate. </w:t>
      </w:r>
    </w:p>
    <w:p w14:paraId="7DA8A6CE" w14:textId="77777777" w:rsidR="009F7041" w:rsidRDefault="00FB22CC" w:rsidP="00173B0F">
      <w:pPr>
        <w:pStyle w:val="ListParagraph"/>
        <w:numPr>
          <w:ilvl w:val="0"/>
          <w:numId w:val="3"/>
        </w:numPr>
        <w:spacing w:before="120" w:after="120"/>
        <w:jc w:val="both"/>
        <w:rPr>
          <w:rFonts w:ascii="Book Antiqua" w:hAnsi="Book Antiqua"/>
          <w:color w:val="000000"/>
          <w:szCs w:val="24"/>
        </w:rPr>
      </w:pPr>
      <w:r>
        <w:rPr>
          <w:rFonts w:ascii="Book Antiqua" w:hAnsi="Book Antiqua"/>
          <w:szCs w:val="24"/>
          <w:lang w:eastAsia="en-GB"/>
        </w:rPr>
        <w:t xml:space="preserve">Both Mr </w:t>
      </w:r>
      <w:proofErr w:type="spellStart"/>
      <w:r>
        <w:rPr>
          <w:rFonts w:ascii="Book Antiqua" w:hAnsi="Book Antiqua"/>
          <w:iCs/>
          <w:szCs w:val="24"/>
          <w:lang w:eastAsia="en-GB"/>
        </w:rPr>
        <w:t>Kiarie</w:t>
      </w:r>
      <w:proofErr w:type="spellEnd"/>
      <w:r>
        <w:rPr>
          <w:rFonts w:ascii="Book Antiqua" w:hAnsi="Book Antiqua"/>
          <w:iCs/>
          <w:szCs w:val="24"/>
          <w:lang w:eastAsia="en-GB"/>
        </w:rPr>
        <w:t xml:space="preserve"> </w:t>
      </w:r>
      <w:r>
        <w:rPr>
          <w:rFonts w:ascii="Book Antiqua" w:hAnsi="Book Antiqua"/>
          <w:szCs w:val="24"/>
          <w:lang w:eastAsia="en-GB"/>
        </w:rPr>
        <w:t xml:space="preserve">and Mr </w:t>
      </w:r>
      <w:proofErr w:type="spellStart"/>
      <w:r>
        <w:rPr>
          <w:rFonts w:ascii="Book Antiqua" w:hAnsi="Book Antiqua"/>
          <w:iCs/>
          <w:szCs w:val="24"/>
          <w:lang w:eastAsia="en-GB"/>
        </w:rPr>
        <w:t>Byndloss</w:t>
      </w:r>
      <w:proofErr w:type="spellEnd"/>
      <w:r>
        <w:rPr>
          <w:rFonts w:ascii="Book Antiqua" w:hAnsi="Book Antiqua"/>
          <w:szCs w:val="24"/>
          <w:lang w:eastAsia="en-GB"/>
        </w:rPr>
        <w:t xml:space="preserve"> were foreign offenders against whom the SSHD had made deportation orders, rejected human rights claims and certified those human rights claims pursuant to section 94B of the 2002 Act. The Court of Appeal concluded that, in common with her general practice at the relevant time, the SSHD had misdirected herself when considering whether to certify the human rights claims, focus being incorrectly placed on the question of whether the applicants would, before the exhaustion of the appeals process, face a real risk of serious irreversible harm if removed. It is now settled that the SSHD ought to have asked herself whether the applicant’s removal would be unlawful under section 6 of the Human Rights Act. </w:t>
      </w:r>
      <w:r>
        <w:rPr>
          <w:rFonts w:ascii="Book Antiqua" w:hAnsi="Book Antiqua"/>
          <w:color w:val="000000"/>
          <w:szCs w:val="24"/>
        </w:rPr>
        <w:t xml:space="preserve">Despite accepting that the SSHD had misdirected herself in law, the Court of Appeal dismissed the substantive appeals </w:t>
      </w:r>
      <w:bookmarkStart w:id="2" w:name="para3"/>
      <w:r>
        <w:rPr>
          <w:rFonts w:ascii="Book Antiqua" w:hAnsi="Book Antiqua"/>
          <w:color w:val="000000"/>
          <w:szCs w:val="24"/>
        </w:rPr>
        <w:t xml:space="preserve">having found, in both cases, that the error was immaterial on the basis that had the SSHD considered the correct question she would inevitably have concluded that </w:t>
      </w:r>
      <w:bookmarkEnd w:id="2"/>
      <w:r>
        <w:rPr>
          <w:rFonts w:ascii="Book Antiqua" w:hAnsi="Book Antiqua"/>
          <w:color w:val="000000"/>
          <w:szCs w:val="24"/>
        </w:rPr>
        <w:t>the applicants' removal pending the outcome of their appeals would not breach either the substantive or the procedural aspects of rights afforded by Article 8.</w:t>
      </w:r>
    </w:p>
    <w:p w14:paraId="4A142745" w14:textId="77777777" w:rsidR="00FB22CC" w:rsidRDefault="00FB22CC" w:rsidP="009F7041">
      <w:pPr>
        <w:pStyle w:val="ListParagraph"/>
        <w:spacing w:before="120" w:after="120"/>
        <w:ind w:left="567"/>
        <w:jc w:val="both"/>
        <w:rPr>
          <w:rFonts w:ascii="Book Antiqua" w:hAnsi="Book Antiqua"/>
          <w:color w:val="000000"/>
          <w:szCs w:val="24"/>
        </w:rPr>
      </w:pPr>
      <w:r>
        <w:rPr>
          <w:rFonts w:ascii="Book Antiqua" w:hAnsi="Book Antiqua"/>
          <w:color w:val="000000"/>
          <w:szCs w:val="24"/>
        </w:rPr>
        <w:t xml:space="preserve"> </w:t>
      </w:r>
    </w:p>
    <w:p w14:paraId="0233546B" w14:textId="77777777" w:rsidR="00FB22CC" w:rsidRDefault="00FB22CC" w:rsidP="00173B0F">
      <w:pPr>
        <w:pStyle w:val="ListParagraph"/>
        <w:numPr>
          <w:ilvl w:val="0"/>
          <w:numId w:val="3"/>
        </w:numPr>
        <w:spacing w:before="120" w:after="120"/>
        <w:jc w:val="both"/>
        <w:rPr>
          <w:rFonts w:ascii="Book Antiqua" w:hAnsi="Book Antiqua"/>
          <w:color w:val="000000"/>
          <w:szCs w:val="24"/>
        </w:rPr>
      </w:pPr>
      <w:r>
        <w:rPr>
          <w:rFonts w:ascii="Book Antiqua" w:hAnsi="Book Antiqua"/>
          <w:szCs w:val="24"/>
          <w:lang w:eastAsia="en-GB"/>
        </w:rPr>
        <w:t xml:space="preserve">In the Supreme Court emphasis was placed on the procedural rights protected by Article 8 and, in particular, </w:t>
      </w:r>
      <w:r w:rsidR="004F3946">
        <w:rPr>
          <w:rFonts w:ascii="Book Antiqua" w:hAnsi="Book Antiqua"/>
          <w:szCs w:val="24"/>
          <w:lang w:eastAsia="en-GB"/>
        </w:rPr>
        <w:t>the question of whether there was</w:t>
      </w:r>
      <w:r>
        <w:rPr>
          <w:rFonts w:ascii="Book Antiqua" w:hAnsi="Book Antiqua"/>
          <w:szCs w:val="24"/>
          <w:lang w:eastAsia="en-GB"/>
        </w:rPr>
        <w:t xml:space="preserve"> an Article 8 compliant system in place for out-of-country appeals. The Court found that the considerable practical difficulties that faced an out-of-country appellant meant that the burden fell on the SSHD to establish </w:t>
      </w:r>
      <w:r w:rsidR="003D2F15">
        <w:rPr>
          <w:rFonts w:ascii="Book Antiqua" w:hAnsi="Book Antiqua"/>
          <w:szCs w:val="24"/>
          <w:lang w:eastAsia="en-GB"/>
        </w:rPr>
        <w:t xml:space="preserve">in each case </w:t>
      </w:r>
      <w:r>
        <w:rPr>
          <w:rFonts w:ascii="Book Antiqua" w:hAnsi="Book Antiqua"/>
          <w:szCs w:val="24"/>
          <w:lang w:eastAsia="en-GB"/>
        </w:rPr>
        <w:t>that such an appeal would be effective and fair and, therefore, met the procedural req</w:t>
      </w:r>
      <w:r w:rsidR="003D2F15">
        <w:rPr>
          <w:rFonts w:ascii="Book Antiqua" w:hAnsi="Book Antiqua"/>
          <w:szCs w:val="24"/>
          <w:lang w:eastAsia="en-GB"/>
        </w:rPr>
        <w:t>uirements of Article 8. The Court</w:t>
      </w:r>
      <w:r>
        <w:rPr>
          <w:rFonts w:ascii="Book Antiqua" w:hAnsi="Book Antiqua"/>
          <w:szCs w:val="24"/>
          <w:lang w:eastAsia="en-GB"/>
        </w:rPr>
        <w:t xml:space="preserve"> held that the SSHD had not established this </w:t>
      </w:r>
      <w:r w:rsidR="003D2F15">
        <w:rPr>
          <w:rFonts w:ascii="Book Antiqua" w:hAnsi="Book Antiqua"/>
          <w:szCs w:val="24"/>
          <w:lang w:eastAsia="en-GB"/>
        </w:rPr>
        <w:t xml:space="preserve">was </w:t>
      </w:r>
      <w:r w:rsidR="009918CA">
        <w:rPr>
          <w:rFonts w:ascii="Book Antiqua" w:hAnsi="Book Antiqua"/>
          <w:szCs w:val="24"/>
          <w:lang w:eastAsia="en-GB"/>
        </w:rPr>
        <w:t>t</w:t>
      </w:r>
      <w:r w:rsidR="003D2F15">
        <w:rPr>
          <w:rFonts w:ascii="Book Antiqua" w:hAnsi="Book Antiqua"/>
          <w:szCs w:val="24"/>
          <w:lang w:eastAsia="en-GB"/>
        </w:rPr>
        <w:t xml:space="preserve">he position </w:t>
      </w:r>
      <w:r>
        <w:rPr>
          <w:rFonts w:ascii="Book Antiqua" w:hAnsi="Book Antiqua"/>
          <w:szCs w:val="24"/>
          <w:lang w:eastAsia="en-GB"/>
        </w:rPr>
        <w:t xml:space="preserve">in either of the cases before </w:t>
      </w:r>
      <w:r w:rsidR="003D2F15">
        <w:rPr>
          <w:rFonts w:ascii="Book Antiqua" w:hAnsi="Book Antiqua"/>
          <w:szCs w:val="24"/>
          <w:lang w:eastAsia="en-GB"/>
        </w:rPr>
        <w:t>it</w:t>
      </w:r>
      <w:r>
        <w:rPr>
          <w:rFonts w:ascii="Book Antiqua" w:hAnsi="Book Antiqua"/>
          <w:szCs w:val="24"/>
          <w:lang w:eastAsia="en-GB"/>
        </w:rPr>
        <w:t xml:space="preserve">. </w:t>
      </w:r>
      <w:bookmarkStart w:id="3" w:name="para76"/>
    </w:p>
    <w:p w14:paraId="063A31E4" w14:textId="77777777" w:rsidR="00E6302F" w:rsidRPr="00E6302F" w:rsidRDefault="00FB22CC" w:rsidP="00173B0F">
      <w:pPr>
        <w:numPr>
          <w:ilvl w:val="0"/>
          <w:numId w:val="3"/>
        </w:numPr>
        <w:spacing w:before="120" w:after="120"/>
        <w:jc w:val="both"/>
        <w:rPr>
          <w:rFonts w:ascii="Book Antiqua" w:hAnsi="Book Antiqua" w:cs="Arial"/>
          <w:u w:val="single"/>
        </w:rPr>
      </w:pPr>
      <w:r>
        <w:rPr>
          <w:rFonts w:ascii="Book Antiqua" w:hAnsi="Book Antiqua"/>
        </w:rPr>
        <w:t xml:space="preserve">Lord Wilson, with whom Baroness Hale, Lord Hodge and Lord Toulson agreed, gave the leading judgment. In paragraph 35 thereof, Lord Wilson identified the public interest in removing a foreign criminal in advance of an appeal as being the risk that, if permitted to remain pending his appeal, the foreign criminal might take that opportunity to reoffend. It was further stated, however, that such public interest </w:t>
      </w:r>
      <w:r>
        <w:rPr>
          <w:rFonts w:ascii="Book Antiqua" w:hAnsi="Book Antiqua"/>
          <w:i/>
        </w:rPr>
        <w:t>"may be outweighed by a wider public interest which runs the other way"</w:t>
      </w:r>
      <w:r>
        <w:rPr>
          <w:rFonts w:ascii="Book Antiqua" w:hAnsi="Book Antiqua"/>
        </w:rPr>
        <w:t xml:space="preserve"> e.g. </w:t>
      </w:r>
      <w:r>
        <w:rPr>
          <w:rFonts w:ascii="Book Antiqua" w:hAnsi="Book Antiqua"/>
          <w:i/>
        </w:rPr>
        <w:t>"the public interest that, when we are afforded a right of appeal, our appeal should be effective"</w:t>
      </w:r>
      <w:bookmarkEnd w:id="3"/>
      <w:r>
        <w:rPr>
          <w:rFonts w:ascii="Book Antiqua" w:hAnsi="Book Antiqua"/>
        </w:rPr>
        <w:t>.</w:t>
      </w:r>
    </w:p>
    <w:p w14:paraId="576409D9" w14:textId="77777777" w:rsidR="00647418" w:rsidRDefault="00647418" w:rsidP="0037406E">
      <w:pPr>
        <w:spacing w:before="120" w:after="240"/>
        <w:jc w:val="both"/>
        <w:rPr>
          <w:rFonts w:ascii="Book Antiqua" w:hAnsi="Book Antiqua" w:cs="Arial"/>
          <w:b/>
          <w:u w:val="single"/>
        </w:rPr>
      </w:pPr>
      <w:r w:rsidRPr="00647418">
        <w:rPr>
          <w:rFonts w:ascii="Book Antiqua" w:hAnsi="Book Antiqua" w:cs="Arial"/>
          <w:b/>
          <w:u w:val="single"/>
        </w:rPr>
        <w:t>Summary of Grounds</w:t>
      </w:r>
    </w:p>
    <w:p w14:paraId="33DAAA85" w14:textId="77777777" w:rsidR="00647418" w:rsidRDefault="007F7EE6" w:rsidP="00173B0F">
      <w:pPr>
        <w:numPr>
          <w:ilvl w:val="0"/>
          <w:numId w:val="3"/>
        </w:numPr>
        <w:spacing w:before="120" w:after="120"/>
        <w:jc w:val="both"/>
        <w:rPr>
          <w:rFonts w:ascii="Book Antiqua" w:hAnsi="Book Antiqua" w:cs="Arial"/>
        </w:rPr>
      </w:pPr>
      <w:r>
        <w:rPr>
          <w:rFonts w:ascii="Book Antiqua" w:hAnsi="Book Antiqua" w:cs="Arial"/>
        </w:rPr>
        <w:t>T</w:t>
      </w:r>
      <w:r w:rsidR="00647418">
        <w:rPr>
          <w:rFonts w:ascii="Book Antiqua" w:hAnsi="Book Antiqua" w:cs="Arial"/>
        </w:rPr>
        <w:t xml:space="preserve">he appellant’s grounds </w:t>
      </w:r>
      <w:r w:rsidR="009918CA">
        <w:rPr>
          <w:rFonts w:ascii="Book Antiqua" w:hAnsi="Book Antiqua" w:cs="Arial"/>
        </w:rPr>
        <w:t xml:space="preserve">to the Upper Tribunal </w:t>
      </w:r>
      <w:r>
        <w:rPr>
          <w:rFonts w:ascii="Book Antiqua" w:hAnsi="Book Antiqua" w:cs="Arial"/>
        </w:rPr>
        <w:t xml:space="preserve">can be summarised </w:t>
      </w:r>
      <w:r w:rsidR="009918CA">
        <w:rPr>
          <w:rFonts w:ascii="Book Antiqua" w:hAnsi="Book Antiqua" w:cs="Arial"/>
        </w:rPr>
        <w:t>in the following terms</w:t>
      </w:r>
      <w:r w:rsidR="00647418">
        <w:rPr>
          <w:rFonts w:ascii="Book Antiqua" w:hAnsi="Book Antiqua" w:cs="Arial"/>
        </w:rPr>
        <w:t>:</w:t>
      </w:r>
    </w:p>
    <w:p w14:paraId="66CC82CF" w14:textId="77777777" w:rsidR="00647418" w:rsidRDefault="00647418" w:rsidP="00173B0F">
      <w:pPr>
        <w:numPr>
          <w:ilvl w:val="2"/>
          <w:numId w:val="3"/>
        </w:numPr>
        <w:spacing w:before="120" w:after="120"/>
        <w:jc w:val="both"/>
        <w:rPr>
          <w:rFonts w:ascii="Book Antiqua" w:hAnsi="Book Antiqua" w:cs="Arial"/>
        </w:rPr>
      </w:pPr>
      <w:r>
        <w:rPr>
          <w:rFonts w:ascii="Book Antiqua" w:hAnsi="Book Antiqua" w:cs="Arial"/>
        </w:rPr>
        <w:t xml:space="preserve">Following the decision in </w:t>
      </w:r>
      <w:proofErr w:type="spellStart"/>
      <w:r w:rsidRPr="006A59D2">
        <w:rPr>
          <w:rFonts w:ascii="Book Antiqua" w:hAnsi="Book Antiqua" w:cs="Arial"/>
          <w:u w:val="single"/>
        </w:rPr>
        <w:t>Kiarie</w:t>
      </w:r>
      <w:proofErr w:type="spellEnd"/>
      <w:r w:rsidRPr="006A59D2">
        <w:rPr>
          <w:rFonts w:ascii="Book Antiqua" w:hAnsi="Book Antiqua" w:cs="Arial"/>
          <w:u w:val="single"/>
        </w:rPr>
        <w:t xml:space="preserve"> </w:t>
      </w:r>
      <w:r w:rsidR="00065914" w:rsidRPr="006A59D2">
        <w:rPr>
          <w:rFonts w:ascii="Book Antiqua" w:hAnsi="Book Antiqua" w:cs="Arial"/>
          <w:u w:val="single"/>
        </w:rPr>
        <w:t xml:space="preserve">&amp; </w:t>
      </w:r>
      <w:proofErr w:type="spellStart"/>
      <w:r w:rsidR="00065914" w:rsidRPr="006A59D2">
        <w:rPr>
          <w:rFonts w:ascii="Book Antiqua" w:hAnsi="Book Antiqua" w:cs="Arial"/>
          <w:u w:val="single"/>
        </w:rPr>
        <w:t>Byndloss</w:t>
      </w:r>
      <w:proofErr w:type="spellEnd"/>
      <w:r w:rsidR="00065914">
        <w:rPr>
          <w:rFonts w:ascii="Book Antiqua" w:hAnsi="Book Antiqua" w:cs="Arial"/>
        </w:rPr>
        <w:t xml:space="preserve">, the appeal before the </w:t>
      </w:r>
      <w:proofErr w:type="spellStart"/>
      <w:r w:rsidR="00065914">
        <w:rPr>
          <w:rFonts w:ascii="Book Antiqua" w:hAnsi="Book Antiqua" w:cs="Arial"/>
        </w:rPr>
        <w:t>FtT</w:t>
      </w:r>
      <w:proofErr w:type="spellEnd"/>
      <w:r w:rsidR="00065914">
        <w:rPr>
          <w:rFonts w:ascii="Book Antiqua" w:hAnsi="Book Antiqua" w:cs="Arial"/>
        </w:rPr>
        <w:t xml:space="preserve"> breached the appellant’s procedural rights as safeguarded by Article 8 </w:t>
      </w:r>
      <w:r w:rsidR="00065914">
        <w:rPr>
          <w:rFonts w:ascii="Book Antiqua" w:hAnsi="Book Antiqua" w:cs="Arial"/>
        </w:rPr>
        <w:lastRenderedPageBreak/>
        <w:t>and/or w</w:t>
      </w:r>
      <w:r w:rsidR="007F7EE6">
        <w:rPr>
          <w:rFonts w:ascii="Book Antiqua" w:hAnsi="Book Antiqua" w:cs="Arial"/>
        </w:rPr>
        <w:t>as</w:t>
      </w:r>
      <w:r w:rsidR="00065914">
        <w:rPr>
          <w:rFonts w:ascii="Book Antiqua" w:hAnsi="Book Antiqua" w:cs="Arial"/>
        </w:rPr>
        <w:t xml:space="preserve"> </w:t>
      </w:r>
      <w:r w:rsidR="009918CA">
        <w:rPr>
          <w:rFonts w:ascii="Book Antiqua" w:hAnsi="Book Antiqua" w:cs="Arial"/>
        </w:rPr>
        <w:t xml:space="preserve">procedurally </w:t>
      </w:r>
      <w:r w:rsidR="00065914">
        <w:rPr>
          <w:rFonts w:ascii="Book Antiqua" w:hAnsi="Book Antiqua" w:cs="Arial"/>
        </w:rPr>
        <w:t>unfair as a consequence of the ap</w:t>
      </w:r>
      <w:r w:rsidR="009918CA">
        <w:rPr>
          <w:rFonts w:ascii="Book Antiqua" w:hAnsi="Book Antiqua" w:cs="Arial"/>
        </w:rPr>
        <w:t>pellant’s inability to give oral</w:t>
      </w:r>
      <w:r w:rsidR="00065914">
        <w:rPr>
          <w:rFonts w:ascii="Book Antiqua" w:hAnsi="Book Antiqua" w:cs="Arial"/>
        </w:rPr>
        <w:t xml:space="preserve"> evidence</w:t>
      </w:r>
      <w:r w:rsidR="00536EF4">
        <w:rPr>
          <w:rFonts w:ascii="Book Antiqua" w:hAnsi="Book Antiqua" w:cs="Arial"/>
        </w:rPr>
        <w:t xml:space="preserve"> before the </w:t>
      </w:r>
      <w:proofErr w:type="spellStart"/>
      <w:r w:rsidR="00536EF4">
        <w:rPr>
          <w:rFonts w:ascii="Book Antiqua" w:hAnsi="Book Antiqua" w:cs="Arial"/>
        </w:rPr>
        <w:t>FtT</w:t>
      </w:r>
      <w:proofErr w:type="spellEnd"/>
      <w:r w:rsidR="00065914">
        <w:rPr>
          <w:rFonts w:ascii="Book Antiqua" w:hAnsi="Book Antiqua" w:cs="Arial"/>
        </w:rPr>
        <w:t>;</w:t>
      </w:r>
    </w:p>
    <w:p w14:paraId="4EC33EE0" w14:textId="77777777" w:rsidR="00065914" w:rsidRDefault="00065914" w:rsidP="00173B0F">
      <w:pPr>
        <w:numPr>
          <w:ilvl w:val="2"/>
          <w:numId w:val="3"/>
        </w:numPr>
        <w:spacing w:before="120" w:after="120"/>
        <w:jc w:val="both"/>
        <w:rPr>
          <w:rFonts w:ascii="Book Antiqua" w:hAnsi="Book Antiqua" w:cs="Arial"/>
        </w:rPr>
      </w:pPr>
      <w:r>
        <w:rPr>
          <w:rFonts w:ascii="Book Antiqua" w:hAnsi="Book Antiqua" w:cs="Arial"/>
        </w:rPr>
        <w:t xml:space="preserve">The </w:t>
      </w:r>
      <w:proofErr w:type="spellStart"/>
      <w:r>
        <w:rPr>
          <w:rFonts w:ascii="Book Antiqua" w:hAnsi="Book Antiqua" w:cs="Arial"/>
        </w:rPr>
        <w:t>FtT’s</w:t>
      </w:r>
      <w:proofErr w:type="spellEnd"/>
      <w:r>
        <w:rPr>
          <w:rFonts w:ascii="Book Antiqua" w:hAnsi="Book Antiqua" w:cs="Arial"/>
        </w:rPr>
        <w:t xml:space="preserve"> consideration of </w:t>
      </w:r>
      <w:r w:rsidR="007F7EE6">
        <w:rPr>
          <w:rFonts w:ascii="Book Antiqua" w:hAnsi="Book Antiqua" w:cs="Arial"/>
        </w:rPr>
        <w:t>whether</w:t>
      </w:r>
      <w:r>
        <w:rPr>
          <w:rFonts w:ascii="Book Antiqua" w:hAnsi="Book Antiqua" w:cs="Arial"/>
        </w:rPr>
        <w:t xml:space="preserve"> there </w:t>
      </w:r>
      <w:r w:rsidR="007F7EE6">
        <w:rPr>
          <w:rFonts w:ascii="Book Antiqua" w:hAnsi="Book Antiqua" w:cs="Arial"/>
        </w:rPr>
        <w:t>are</w:t>
      </w:r>
      <w:r>
        <w:rPr>
          <w:rFonts w:ascii="Book Antiqua" w:hAnsi="Book Antiqua" w:cs="Arial"/>
        </w:rPr>
        <w:t xml:space="preserve"> very significant obstacles to the appellant’s integration into life in Grenada was unlawfully inadequate</w:t>
      </w:r>
      <w:r w:rsidR="007F7EE6">
        <w:rPr>
          <w:rFonts w:ascii="Book Antiqua" w:hAnsi="Book Antiqua" w:cs="Arial"/>
        </w:rPr>
        <w:t xml:space="preserve"> and</w:t>
      </w:r>
      <w:r>
        <w:rPr>
          <w:rFonts w:ascii="Book Antiqua" w:hAnsi="Book Antiqua" w:cs="Arial"/>
        </w:rPr>
        <w:t xml:space="preserve"> failed to comply with the ratio of the decision in </w:t>
      </w:r>
      <w:r w:rsidRPr="007F7EE6">
        <w:rPr>
          <w:rFonts w:ascii="Book Antiqua" w:hAnsi="Book Antiqua" w:cs="Arial"/>
          <w:u w:val="single"/>
        </w:rPr>
        <w:t>SSHD v Kamara</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813 </w:t>
      </w:r>
      <w:r w:rsidR="007F7EE6">
        <w:rPr>
          <w:rFonts w:ascii="Book Antiqua" w:hAnsi="Book Antiqua" w:cs="Arial"/>
        </w:rPr>
        <w:t>(</w:t>
      </w:r>
      <w:r>
        <w:rPr>
          <w:rFonts w:ascii="Book Antiqua" w:hAnsi="Book Antiqua" w:cs="Arial"/>
        </w:rPr>
        <w:t>at [14]</w:t>
      </w:r>
      <w:r w:rsidR="007F7EE6">
        <w:rPr>
          <w:rFonts w:ascii="Book Antiqua" w:hAnsi="Book Antiqua" w:cs="Arial"/>
        </w:rPr>
        <w:t>)</w:t>
      </w:r>
      <w:r>
        <w:rPr>
          <w:rFonts w:ascii="Book Antiqua" w:hAnsi="Book Antiqua" w:cs="Arial"/>
        </w:rPr>
        <w:t xml:space="preserve">; </w:t>
      </w:r>
    </w:p>
    <w:p w14:paraId="335004FF" w14:textId="77777777" w:rsidR="00065914" w:rsidRDefault="00065914" w:rsidP="00173B0F">
      <w:pPr>
        <w:numPr>
          <w:ilvl w:val="2"/>
          <w:numId w:val="3"/>
        </w:numPr>
        <w:spacing w:before="120" w:after="120"/>
        <w:jc w:val="both"/>
        <w:rPr>
          <w:rFonts w:ascii="Book Antiqua" w:hAnsi="Book Antiqua" w:cs="Arial"/>
        </w:rPr>
      </w:pP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erred in failing to take lawful cognisance of the fact that the appellant had been eligible to apply for British Citizenship</w:t>
      </w:r>
      <w:r w:rsidR="007F7EE6">
        <w:rPr>
          <w:rFonts w:ascii="Book Antiqua" w:hAnsi="Book Antiqua" w:cs="Arial"/>
        </w:rPr>
        <w:t>,</w:t>
      </w:r>
      <w:r>
        <w:rPr>
          <w:rFonts w:ascii="Book Antiqua" w:hAnsi="Book Antiqua" w:cs="Arial"/>
        </w:rPr>
        <w:t xml:space="preserve"> but had not done so in circumstances in which had he applied he would likely have been granted.  </w:t>
      </w:r>
    </w:p>
    <w:p w14:paraId="1FDC7A83" w14:textId="77777777" w:rsidR="007F7EE6" w:rsidRDefault="00065914" w:rsidP="009918CA">
      <w:pPr>
        <w:spacing w:before="240" w:after="120"/>
        <w:jc w:val="both"/>
        <w:rPr>
          <w:rFonts w:ascii="Book Antiqua" w:hAnsi="Book Antiqua" w:cs="Arial"/>
        </w:rPr>
      </w:pPr>
      <w:r w:rsidRPr="00065914">
        <w:rPr>
          <w:rFonts w:ascii="Book Antiqua" w:hAnsi="Book Antiqua" w:cs="Arial"/>
          <w:b/>
          <w:u w:val="single"/>
        </w:rPr>
        <w:t>Discussion</w:t>
      </w:r>
      <w:r>
        <w:rPr>
          <w:rFonts w:ascii="Book Antiqua" w:hAnsi="Book Antiqua" w:cs="Arial"/>
        </w:rPr>
        <w:t xml:space="preserve"> </w:t>
      </w:r>
    </w:p>
    <w:p w14:paraId="6854BF31" w14:textId="77777777" w:rsidR="00D16047" w:rsidRPr="00D16047" w:rsidRDefault="009918CA" w:rsidP="00D16047">
      <w:pPr>
        <w:numPr>
          <w:ilvl w:val="0"/>
          <w:numId w:val="3"/>
        </w:numPr>
        <w:spacing w:before="120" w:after="120"/>
        <w:jc w:val="both"/>
        <w:rPr>
          <w:rFonts w:ascii="Book Antiqua" w:hAnsi="Book Antiqua" w:cs="Arial"/>
        </w:rPr>
      </w:pPr>
      <w:r>
        <w:rPr>
          <w:rFonts w:ascii="Book Antiqua" w:hAnsi="Book Antiqua" w:cs="Arial"/>
        </w:rPr>
        <w:t>I turn</w:t>
      </w:r>
      <w:r w:rsidR="007F7EE6">
        <w:rPr>
          <w:rFonts w:ascii="Book Antiqua" w:hAnsi="Book Antiqua" w:cs="Arial"/>
        </w:rPr>
        <w:t xml:space="preserve"> first to the ground underpinned by the rationale in </w:t>
      </w:r>
      <w:proofErr w:type="spellStart"/>
      <w:r w:rsidR="007F7EE6" w:rsidRPr="007F7EE6">
        <w:rPr>
          <w:rFonts w:ascii="Book Antiqua" w:hAnsi="Book Antiqua" w:cs="Arial"/>
          <w:u w:val="single"/>
        </w:rPr>
        <w:t>Kiarie</w:t>
      </w:r>
      <w:proofErr w:type="spellEnd"/>
      <w:r w:rsidR="007F7EE6" w:rsidRPr="007F7EE6">
        <w:rPr>
          <w:rFonts w:ascii="Book Antiqua" w:hAnsi="Book Antiqua" w:cs="Arial"/>
          <w:u w:val="single"/>
        </w:rPr>
        <w:t xml:space="preserve"> and </w:t>
      </w:r>
      <w:proofErr w:type="spellStart"/>
      <w:r w:rsidR="007F7EE6" w:rsidRPr="007F7EE6">
        <w:rPr>
          <w:rFonts w:ascii="Book Antiqua" w:hAnsi="Book Antiqua" w:cs="Arial"/>
          <w:u w:val="single"/>
        </w:rPr>
        <w:t>Byndloss</w:t>
      </w:r>
      <w:proofErr w:type="spellEnd"/>
      <w:r w:rsidR="007F7EE6">
        <w:rPr>
          <w:rFonts w:ascii="Book Antiqua" w:hAnsi="Book Antiqua" w:cs="Arial"/>
        </w:rPr>
        <w:t xml:space="preserve">. </w:t>
      </w:r>
      <w:r>
        <w:rPr>
          <w:rFonts w:ascii="Book Antiqua" w:hAnsi="Book Antiqua" w:cs="Arial"/>
        </w:rPr>
        <w:t xml:space="preserve">It is not in dispute that </w:t>
      </w:r>
      <w:r>
        <w:rPr>
          <w:rFonts w:ascii="Book Antiqua" w:hAnsi="Book Antiqua"/>
          <w:color w:val="000000"/>
        </w:rPr>
        <w:t>a</w:t>
      </w:r>
      <w:r w:rsidR="007F7EE6" w:rsidRPr="009918CA">
        <w:rPr>
          <w:rFonts w:ascii="Book Antiqua" w:hAnsi="Book Antiqua"/>
          <w:color w:val="000000"/>
        </w:rPr>
        <w:t xml:space="preserve">n appeal to the </w:t>
      </w:r>
      <w:proofErr w:type="spellStart"/>
      <w:r>
        <w:rPr>
          <w:rFonts w:ascii="Book Antiqua" w:hAnsi="Book Antiqua"/>
          <w:color w:val="000000"/>
        </w:rPr>
        <w:t>FtT</w:t>
      </w:r>
      <w:proofErr w:type="spellEnd"/>
      <w:r w:rsidR="007F7EE6" w:rsidRPr="009918CA">
        <w:rPr>
          <w:rFonts w:ascii="Book Antiqua" w:hAnsi="Book Antiqua"/>
          <w:color w:val="000000"/>
        </w:rPr>
        <w:t xml:space="preserve"> against a decision to refuse a human rights claim, which has been legislated for by Parliament, must be </w:t>
      </w:r>
      <w:r w:rsidR="007F7EE6" w:rsidRPr="009918CA">
        <w:rPr>
          <w:rFonts w:ascii="Book Antiqua" w:hAnsi="Book Antiqua"/>
          <w:i/>
          <w:color w:val="000000"/>
        </w:rPr>
        <w:t>“effective”</w:t>
      </w:r>
      <w:r w:rsidR="007F7EE6" w:rsidRPr="009918CA">
        <w:rPr>
          <w:rFonts w:ascii="Book Antiqua" w:hAnsi="Book Antiqua"/>
          <w:color w:val="000000"/>
        </w:rPr>
        <w:t xml:space="preserve">. Neither Article 8 nor the common law doctrine of procedural fairness requires access to the best possible procedure on the appeal, but access to a procedure that meets the essential requirements of effectiveness and fairness. What is effective and fair must always be viewed in context, and will depend upon the facts and circumstances of a particular case. </w:t>
      </w:r>
    </w:p>
    <w:p w14:paraId="16379F35" w14:textId="77777777" w:rsidR="007F7EE6" w:rsidRPr="00D16047" w:rsidRDefault="007F7EE6" w:rsidP="00D16047">
      <w:pPr>
        <w:numPr>
          <w:ilvl w:val="0"/>
          <w:numId w:val="3"/>
        </w:numPr>
        <w:spacing w:before="120" w:after="120"/>
        <w:jc w:val="both"/>
        <w:rPr>
          <w:rFonts w:ascii="Book Antiqua" w:hAnsi="Book Antiqua" w:cs="Arial"/>
        </w:rPr>
      </w:pPr>
      <w:r w:rsidRPr="00D16047">
        <w:rPr>
          <w:rFonts w:ascii="Book Antiqua" w:hAnsi="Book Antiqua"/>
          <w:color w:val="000000"/>
        </w:rPr>
        <w:t xml:space="preserve">In paragraphs 60 to 74 of his judgment in </w:t>
      </w:r>
      <w:proofErr w:type="spellStart"/>
      <w:r w:rsidRPr="00D16047">
        <w:rPr>
          <w:rFonts w:ascii="Book Antiqua" w:hAnsi="Book Antiqua"/>
          <w:color w:val="000000"/>
          <w:u w:val="single"/>
        </w:rPr>
        <w:t>Kiarie</w:t>
      </w:r>
      <w:proofErr w:type="spellEnd"/>
      <w:r w:rsidRPr="00D16047">
        <w:rPr>
          <w:rFonts w:ascii="Book Antiqua" w:hAnsi="Book Antiqua"/>
          <w:color w:val="000000"/>
          <w:u w:val="single"/>
        </w:rPr>
        <w:t xml:space="preserve"> and </w:t>
      </w:r>
      <w:proofErr w:type="spellStart"/>
      <w:r w:rsidRPr="00D16047">
        <w:rPr>
          <w:rFonts w:ascii="Book Antiqua" w:hAnsi="Book Antiqua"/>
          <w:color w:val="000000"/>
          <w:u w:val="single"/>
        </w:rPr>
        <w:t>Byndloss</w:t>
      </w:r>
      <w:proofErr w:type="spellEnd"/>
      <w:r w:rsidRPr="00D16047">
        <w:rPr>
          <w:rFonts w:ascii="Book Antiqua" w:hAnsi="Book Antiqua"/>
          <w:color w:val="000000"/>
        </w:rPr>
        <w:t>, Lord Wilson identifies a number of fact sensitive features of an applicant’s claim that require addressing when consideration is being given to the issue of whether an out-of-country appeal against the refusal of a human rights claim is compatible with the procedur</w:t>
      </w:r>
      <w:r w:rsidR="00057A04">
        <w:rPr>
          <w:rFonts w:ascii="Book Antiqua" w:hAnsi="Book Antiqua"/>
          <w:color w:val="000000"/>
        </w:rPr>
        <w:t>al requirements of Article 8. I</w:t>
      </w:r>
      <w:r w:rsidRPr="00D16047">
        <w:rPr>
          <w:rFonts w:ascii="Book Antiqua" w:hAnsi="Book Antiqua"/>
          <w:color w:val="000000"/>
        </w:rPr>
        <w:t xml:space="preserve"> gratefully adopt the following synthesis of that consideration, set out by the Upper Tribunal (President and Upper Tribunal Judge Hanson) in its recent decision of </w:t>
      </w:r>
      <w:r w:rsidRPr="00D16047">
        <w:rPr>
          <w:rFonts w:ascii="Book Antiqua" w:hAnsi="Book Antiqua"/>
          <w:color w:val="000000"/>
          <w:u w:val="single"/>
        </w:rPr>
        <w:t>AJ</w:t>
      </w:r>
      <w:r w:rsidRPr="00D16047">
        <w:rPr>
          <w:rFonts w:ascii="Book Antiqua" w:hAnsi="Book Antiqua"/>
          <w:color w:val="000000"/>
        </w:rPr>
        <w:t xml:space="preserve"> (s94B: </w:t>
      </w:r>
      <w:proofErr w:type="spellStart"/>
      <w:r w:rsidRPr="00D16047">
        <w:rPr>
          <w:rFonts w:ascii="Book Antiqua" w:hAnsi="Book Antiqua"/>
          <w:color w:val="000000"/>
          <w:u w:val="single"/>
        </w:rPr>
        <w:t>Kiarie</w:t>
      </w:r>
      <w:proofErr w:type="spellEnd"/>
      <w:r w:rsidRPr="00D16047">
        <w:rPr>
          <w:rFonts w:ascii="Book Antiqua" w:hAnsi="Book Antiqua"/>
          <w:color w:val="000000"/>
          <w:u w:val="single"/>
        </w:rPr>
        <w:t xml:space="preserve"> and </w:t>
      </w:r>
      <w:proofErr w:type="spellStart"/>
      <w:r w:rsidRPr="00D16047">
        <w:rPr>
          <w:rFonts w:ascii="Book Antiqua" w:hAnsi="Book Antiqua"/>
          <w:color w:val="000000"/>
          <w:u w:val="single"/>
        </w:rPr>
        <w:t>Byndloss</w:t>
      </w:r>
      <w:proofErr w:type="spellEnd"/>
      <w:r w:rsidRPr="00D16047">
        <w:rPr>
          <w:rFonts w:ascii="Book Antiqua" w:hAnsi="Book Antiqua"/>
          <w:color w:val="000000"/>
        </w:rPr>
        <w:t xml:space="preserve"> questions) Nigeria [2018] UKUT 00115 (IAC)</w:t>
      </w:r>
    </w:p>
    <w:p w14:paraId="2759A83A" w14:textId="77777777" w:rsidR="007F7EE6" w:rsidRDefault="007F7EE6" w:rsidP="00173B0F">
      <w:pPr>
        <w:spacing w:before="120" w:after="120"/>
        <w:ind w:left="1134" w:hanging="141"/>
        <w:jc w:val="both"/>
        <w:rPr>
          <w:rFonts w:ascii="Book Antiqua" w:hAnsi="Book Antiqua" w:cs="Arial"/>
          <w:b/>
          <w:i/>
          <w:sz w:val="22"/>
          <w:szCs w:val="22"/>
        </w:rPr>
      </w:pPr>
      <w:r>
        <w:rPr>
          <w:rFonts w:ascii="Book Antiqua" w:hAnsi="Book Antiqua"/>
          <w:color w:val="000000"/>
          <w:sz w:val="22"/>
          <w:szCs w:val="22"/>
        </w:rPr>
        <w:t>“</w:t>
      </w:r>
      <w:r>
        <w:rPr>
          <w:rFonts w:ascii="Book Antiqua" w:hAnsi="Book Antiqua" w:cs="Arial"/>
          <w:b/>
          <w:i/>
          <w:sz w:val="22"/>
          <w:szCs w:val="22"/>
        </w:rPr>
        <w:t>First question</w:t>
      </w:r>
    </w:p>
    <w:p w14:paraId="35976F8B" w14:textId="77777777" w:rsidR="007F7EE6" w:rsidRDefault="007F7EE6" w:rsidP="00173B0F">
      <w:pPr>
        <w:spacing w:before="120" w:after="120"/>
        <w:ind w:left="1134"/>
        <w:jc w:val="both"/>
        <w:rPr>
          <w:rFonts w:ascii="Book Antiqua" w:hAnsi="Book Antiqua" w:cs="Arial"/>
          <w:sz w:val="22"/>
          <w:szCs w:val="22"/>
        </w:rPr>
      </w:pPr>
      <w:r>
        <w:rPr>
          <w:rFonts w:ascii="Book Antiqua" w:hAnsi="Book Antiqua" w:cs="Arial"/>
          <w:sz w:val="22"/>
          <w:szCs w:val="22"/>
        </w:rPr>
        <w:t xml:space="preserve">The first question, addressed at paragraph 60 of the judgment, is whether the appellant will be able to secure legal representation, which might have been available had the appellant remained in the United Kingdom, and whether the appellant will be able to give instructions to his lawyer and receive advice from the lawyer, both prior to the hearing and during it.  </w:t>
      </w:r>
    </w:p>
    <w:p w14:paraId="0D9F035D" w14:textId="77777777" w:rsidR="007F7EE6" w:rsidRDefault="007F7EE6" w:rsidP="00173B0F">
      <w:pPr>
        <w:spacing w:before="120" w:after="120"/>
        <w:ind w:left="1134"/>
        <w:jc w:val="both"/>
        <w:rPr>
          <w:rFonts w:ascii="Book Antiqua" w:hAnsi="Book Antiqua" w:cs="Arial"/>
          <w:b/>
          <w:i/>
          <w:sz w:val="22"/>
          <w:szCs w:val="22"/>
        </w:rPr>
      </w:pPr>
      <w:r>
        <w:rPr>
          <w:rFonts w:ascii="Book Antiqua" w:hAnsi="Book Antiqua" w:cs="Arial"/>
          <w:b/>
          <w:i/>
          <w:sz w:val="22"/>
          <w:szCs w:val="22"/>
        </w:rPr>
        <w:t>Second question</w:t>
      </w:r>
    </w:p>
    <w:p w14:paraId="2850AE6D" w14:textId="77777777" w:rsidR="007F7EE6" w:rsidRDefault="007F7EE6" w:rsidP="00173B0F">
      <w:pPr>
        <w:spacing w:before="120" w:after="120"/>
        <w:ind w:left="1134"/>
        <w:jc w:val="both"/>
        <w:rPr>
          <w:rFonts w:ascii="Book Antiqua" w:hAnsi="Book Antiqua" w:cs="Arial"/>
          <w:sz w:val="22"/>
          <w:szCs w:val="22"/>
        </w:rPr>
      </w:pPr>
      <w:r>
        <w:rPr>
          <w:rFonts w:ascii="Book Antiqua" w:hAnsi="Book Antiqua" w:cs="Arial"/>
          <w:sz w:val="22"/>
          <w:szCs w:val="22"/>
        </w:rPr>
        <w:t xml:space="preserve">The second question, addressed at paragraph 74 of the judgment, is whether the appellant’s absence from the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as a result of deportation or other removal pursuant to the section 94B certificate, is likely to present “difficulties in obtaining the supporting professional evidence which … can prove crucial in achieving its success”.  One example given was the likelihood of submitting evidence from a criminal appellant’s probation officer; “but, upon his deportation, his probation officer will have closed his file and will apparently regard himself as no longer obliged to write a report about him”.  Another potential problem would be where the appellant wished “to submit evidence from a consultant forensic psychiatrist about [the level of risk]” posed by the appellant.  In cases concerning relationships with a child, partner or other </w:t>
      </w:r>
      <w:r>
        <w:rPr>
          <w:rFonts w:ascii="Book Antiqua" w:hAnsi="Book Antiqua" w:cs="Arial"/>
          <w:sz w:val="22"/>
          <w:szCs w:val="22"/>
        </w:rPr>
        <w:lastRenderedPageBreak/>
        <w:t xml:space="preserve">family member in the United Kingdom, an appellant “will not uncommonly adduce …  a report by an independent social worker … but a report compiled in the absence of a social worker’s direct observation of the appellant and the family together is likely to be of negligible value”. </w:t>
      </w:r>
    </w:p>
    <w:p w14:paraId="3A404272" w14:textId="77777777" w:rsidR="007F7EE6" w:rsidRDefault="007F7EE6" w:rsidP="00173B0F">
      <w:pPr>
        <w:spacing w:before="120" w:after="120"/>
        <w:ind w:left="1134"/>
        <w:jc w:val="both"/>
        <w:rPr>
          <w:rFonts w:ascii="Book Antiqua" w:hAnsi="Book Antiqua" w:cs="Arial"/>
          <w:b/>
          <w:i/>
          <w:sz w:val="22"/>
          <w:szCs w:val="22"/>
        </w:rPr>
      </w:pPr>
      <w:r>
        <w:rPr>
          <w:rFonts w:ascii="Book Antiqua" w:hAnsi="Book Antiqua" w:cs="Arial"/>
          <w:b/>
          <w:i/>
          <w:sz w:val="22"/>
          <w:szCs w:val="22"/>
        </w:rPr>
        <w:t>Third question</w:t>
      </w:r>
    </w:p>
    <w:p w14:paraId="4E41E7C1" w14:textId="77777777" w:rsidR="007F7EE6" w:rsidRDefault="007F7EE6" w:rsidP="00173B0F">
      <w:pPr>
        <w:spacing w:before="120" w:after="120"/>
        <w:ind w:left="1134"/>
        <w:jc w:val="both"/>
        <w:rPr>
          <w:rFonts w:ascii="Book Antiqua" w:hAnsi="Book Antiqua" w:cs="Arial"/>
          <w:sz w:val="22"/>
          <w:szCs w:val="22"/>
        </w:rPr>
      </w:pPr>
      <w:r>
        <w:rPr>
          <w:rFonts w:ascii="Book Antiqua" w:hAnsi="Book Antiqua" w:cs="Arial"/>
          <w:sz w:val="22"/>
          <w:szCs w:val="22"/>
        </w:rPr>
        <w:t>The third question concerns the need for oral evidence from the appellant. Although in his judgment Lord Wilson dealt with this issue before turning to the two questions set out above, it seems to us that in many if not most cases the First-tier Tribunal should address those two questions first. This is because judicial time and effort spent on determining the need for live evidence and the likely availability and adequacy of a video link will be wasted if the answer to one or both of the first two questions means that the appellant needs in any event to be in the United Kingdom in order for there to be a procedurally fair hearing of his appeal.</w:t>
      </w:r>
    </w:p>
    <w:p w14:paraId="5164B6DF" w14:textId="77777777" w:rsidR="007F7EE6" w:rsidRDefault="007F7EE6" w:rsidP="00173B0F">
      <w:pPr>
        <w:spacing w:before="120" w:after="120"/>
        <w:ind w:left="1134"/>
        <w:jc w:val="both"/>
        <w:rPr>
          <w:rFonts w:ascii="Book Antiqua" w:hAnsi="Book Antiqua" w:cs="Arial"/>
          <w:sz w:val="22"/>
          <w:szCs w:val="22"/>
        </w:rPr>
      </w:pPr>
      <w:r>
        <w:rPr>
          <w:rFonts w:ascii="Book Antiqua" w:hAnsi="Book Antiqua" w:cs="Arial"/>
          <w:sz w:val="22"/>
          <w:szCs w:val="22"/>
        </w:rPr>
        <w:t>Paragraph 61 of Lord Wilson’s judgment highlights the issues regarding live evidence. It is in our view significant that Lord Wilson did not say that every appellant who is abroad as a result of removal pursuant to section 94B must be given the opportunity to give live evidence. In this regard, it needs to be remembered that entry clearance appeals have been a feature of the immigration jurisdiction since the appellate system was created and it has not hitherto been considered that such appeals have, since the coming into force of the Human Rights Act 1998 in 2000, been procedurally unfair because the appellant is unable to give live evidence.</w:t>
      </w:r>
    </w:p>
    <w:p w14:paraId="1FC86819" w14:textId="77777777" w:rsidR="007F7EE6" w:rsidRDefault="007F7EE6" w:rsidP="00173B0F">
      <w:pPr>
        <w:spacing w:before="120" w:after="120"/>
        <w:ind w:left="1134"/>
        <w:jc w:val="both"/>
        <w:rPr>
          <w:rFonts w:ascii="Book Antiqua" w:hAnsi="Book Antiqua" w:cs="Arial"/>
          <w:sz w:val="22"/>
          <w:szCs w:val="22"/>
        </w:rPr>
      </w:pPr>
      <w:r>
        <w:rPr>
          <w:rFonts w:ascii="Book Antiqua" w:hAnsi="Book Antiqua" w:cs="Arial"/>
          <w:sz w:val="22"/>
          <w:szCs w:val="22"/>
        </w:rPr>
        <w:t xml:space="preserve">Be that as it may, it is clear that the Supreme Court in </w:t>
      </w:r>
      <w:proofErr w:type="spellStart"/>
      <w:r>
        <w:rPr>
          <w:rFonts w:ascii="Book Antiqua" w:hAnsi="Book Antiqua" w:cs="Arial"/>
          <w:sz w:val="22"/>
          <w:szCs w:val="22"/>
          <w:u w:val="single"/>
        </w:rPr>
        <w:t>Kiarie</w:t>
      </w:r>
      <w:proofErr w:type="spellEnd"/>
      <w:r>
        <w:rPr>
          <w:rFonts w:ascii="Book Antiqua" w:hAnsi="Book Antiqua" w:cs="Arial"/>
          <w:sz w:val="22"/>
          <w:szCs w:val="22"/>
          <w:u w:val="single"/>
        </w:rPr>
        <w:t xml:space="preserve"> and </w:t>
      </w:r>
      <w:proofErr w:type="spellStart"/>
      <w:r>
        <w:rPr>
          <w:rFonts w:ascii="Book Antiqua" w:hAnsi="Book Antiqua" w:cs="Arial"/>
          <w:sz w:val="22"/>
          <w:szCs w:val="22"/>
          <w:u w:val="single"/>
        </w:rPr>
        <w:t>Byndloss</w:t>
      </w:r>
      <w:proofErr w:type="spellEnd"/>
      <w:r>
        <w:rPr>
          <w:rFonts w:ascii="Book Antiqua" w:hAnsi="Book Antiqua" w:cs="Arial"/>
          <w:sz w:val="22"/>
          <w:szCs w:val="22"/>
        </w:rPr>
        <w:t xml:space="preserve"> clearly considered section 94B cases give rise to the need to assess with care whether oral evidence from the appellant is required. The Court’s expectation was that, in most cases, the appellant’s oral evidence would be necessary Nevertheless, the question remains case-specific and will be for the First-tier Tribunal to decide. </w:t>
      </w:r>
    </w:p>
    <w:p w14:paraId="664E4DD0" w14:textId="77777777" w:rsidR="007F7EE6" w:rsidRDefault="007F7EE6" w:rsidP="00173B0F">
      <w:pPr>
        <w:spacing w:before="120" w:after="120"/>
        <w:ind w:left="1134"/>
        <w:jc w:val="both"/>
        <w:rPr>
          <w:rFonts w:ascii="Book Antiqua" w:hAnsi="Book Antiqua" w:cs="Arial"/>
          <w:b/>
          <w:i/>
          <w:sz w:val="22"/>
          <w:szCs w:val="22"/>
        </w:rPr>
      </w:pPr>
      <w:r>
        <w:rPr>
          <w:rFonts w:ascii="Book Antiqua" w:hAnsi="Book Antiqua" w:cs="Arial"/>
          <w:b/>
          <w:i/>
          <w:sz w:val="22"/>
          <w:szCs w:val="22"/>
        </w:rPr>
        <w:t>Fourth question</w:t>
      </w:r>
    </w:p>
    <w:p w14:paraId="650C1062" w14:textId="77777777" w:rsidR="007F7EE6" w:rsidRDefault="007F7EE6" w:rsidP="00173B0F">
      <w:pPr>
        <w:spacing w:before="120" w:after="120"/>
        <w:ind w:left="1134"/>
        <w:jc w:val="both"/>
        <w:rPr>
          <w:rFonts w:ascii="Book Antiqua" w:hAnsi="Book Antiqua" w:cs="Arial"/>
          <w:b/>
          <w:i/>
          <w:sz w:val="22"/>
          <w:szCs w:val="22"/>
        </w:rPr>
      </w:pPr>
      <w:r>
        <w:rPr>
          <w:rFonts w:ascii="Book Antiqua" w:hAnsi="Book Antiqua" w:cs="Arial"/>
          <w:sz w:val="22"/>
          <w:szCs w:val="22"/>
        </w:rPr>
        <w:t xml:space="preserve">The fourth and final question will be whether, if there is a need to hear live evidence from the appellant, doing so by video-link will be satisfactory: see paragraphs 66 to 73 of the judgments. Lord Wilson was sceptical that such a link would be functionally adequate.  His observations on that matter are, however, manifestly not findings of law or irrefutable findings of fact. On the contrary, at paragraph 102, Lord </w:t>
      </w:r>
      <w:proofErr w:type="spellStart"/>
      <w:r>
        <w:rPr>
          <w:rFonts w:ascii="Book Antiqua" w:hAnsi="Book Antiqua" w:cs="Arial"/>
          <w:sz w:val="22"/>
          <w:szCs w:val="22"/>
        </w:rPr>
        <w:t>Carnwath</w:t>
      </w:r>
      <w:proofErr w:type="spellEnd"/>
      <w:r>
        <w:rPr>
          <w:rFonts w:ascii="Book Antiqua" w:hAnsi="Book Antiqua" w:cs="Arial"/>
          <w:sz w:val="22"/>
          <w:szCs w:val="22"/>
        </w:rPr>
        <w:t xml:space="preserve"> could “see no reason in principle why use of modern video facilities should not provide an effective means of providing oral evidence and participation from abroad, so long as the necessary facilities and resources are available”.  Furthermore, as others have observed, hearing evidence by video-link is a growing feature of </w:t>
      </w:r>
      <w:smartTag w:uri="urn:schemas-microsoft-com:office:smarttags" w:element="country-region">
        <w:smartTag w:uri="urn:schemas-microsoft-com:office:smarttags" w:element="place">
          <w:r>
            <w:rPr>
              <w:rFonts w:ascii="Book Antiqua" w:hAnsi="Book Antiqua" w:cs="Arial"/>
              <w:sz w:val="22"/>
              <w:szCs w:val="22"/>
            </w:rPr>
            <w:t>United Kingdom</w:t>
          </w:r>
        </w:smartTag>
      </w:smartTag>
      <w:r>
        <w:rPr>
          <w:rFonts w:ascii="Book Antiqua" w:hAnsi="Book Antiqua" w:cs="Arial"/>
          <w:sz w:val="22"/>
          <w:szCs w:val="22"/>
        </w:rPr>
        <w:t xml:space="preserve"> legal proceedings. “</w:t>
      </w:r>
    </w:p>
    <w:p w14:paraId="1ADD680E" w14:textId="77777777" w:rsidR="007F7EE6" w:rsidRDefault="007F7EE6" w:rsidP="00173B0F">
      <w:pPr>
        <w:spacing w:before="120" w:after="120"/>
        <w:jc w:val="both"/>
        <w:rPr>
          <w:rFonts w:ascii="Book Antiqua" w:hAnsi="Book Antiqua" w:cs="Arial"/>
        </w:rPr>
      </w:pPr>
    </w:p>
    <w:p w14:paraId="3AED9C81" w14:textId="77777777" w:rsidR="00C5197F" w:rsidRDefault="007F7EE6" w:rsidP="00C5197F">
      <w:pPr>
        <w:numPr>
          <w:ilvl w:val="0"/>
          <w:numId w:val="3"/>
        </w:numPr>
        <w:spacing w:before="120" w:after="120"/>
        <w:jc w:val="both"/>
        <w:rPr>
          <w:rFonts w:ascii="Book Antiqua" w:hAnsi="Book Antiqua" w:cs="Arial"/>
        </w:rPr>
      </w:pPr>
      <w:r>
        <w:rPr>
          <w:rFonts w:ascii="Book Antiqua" w:hAnsi="Book Antiqua" w:cs="Arial"/>
        </w:rPr>
        <w:t xml:space="preserve">In </w:t>
      </w:r>
      <w:r w:rsidRPr="007F7EE6">
        <w:rPr>
          <w:rFonts w:ascii="Book Antiqua" w:hAnsi="Book Antiqua" w:cs="Arial"/>
          <w:u w:val="single"/>
        </w:rPr>
        <w:t>AJ</w:t>
      </w:r>
      <w:r w:rsidR="00057A04">
        <w:rPr>
          <w:rFonts w:ascii="Book Antiqua" w:hAnsi="Book Antiqua" w:cs="Arial"/>
        </w:rPr>
        <w:t xml:space="preserve"> the appellant</w:t>
      </w:r>
      <w:r w:rsidR="00065914">
        <w:rPr>
          <w:rFonts w:ascii="Book Antiqua" w:hAnsi="Book Antiqua" w:cs="Arial"/>
        </w:rPr>
        <w:t xml:space="preserve"> had arrived </w:t>
      </w:r>
      <w:r w:rsidR="00057A04">
        <w:rPr>
          <w:rFonts w:ascii="Book Antiqua" w:hAnsi="Book Antiqua" w:cs="Arial"/>
        </w:rPr>
        <w:t xml:space="preserve">in the United Kingdom aged two and in his </w:t>
      </w:r>
      <w:r w:rsidR="00C5197F">
        <w:rPr>
          <w:rFonts w:ascii="Book Antiqua" w:hAnsi="Book Antiqua" w:cs="Arial"/>
        </w:rPr>
        <w:t>adulthood,</w:t>
      </w:r>
      <w:r w:rsidR="00065914">
        <w:rPr>
          <w:rFonts w:ascii="Book Antiqua" w:hAnsi="Book Antiqua" w:cs="Arial"/>
        </w:rPr>
        <w:t xml:space="preserve"> </w:t>
      </w:r>
      <w:r w:rsidR="00C5197F">
        <w:rPr>
          <w:rFonts w:ascii="Book Antiqua" w:hAnsi="Book Antiqua" w:cs="Arial"/>
        </w:rPr>
        <w:t xml:space="preserve">had </w:t>
      </w:r>
      <w:r w:rsidR="00065914">
        <w:rPr>
          <w:rFonts w:ascii="Book Antiqua" w:hAnsi="Book Antiqua" w:cs="Arial"/>
        </w:rPr>
        <w:t>been convicted of a serious offence which</w:t>
      </w:r>
      <w:r>
        <w:rPr>
          <w:rFonts w:ascii="Book Antiqua" w:hAnsi="Book Antiqua" w:cs="Arial"/>
        </w:rPr>
        <w:t xml:space="preserve"> had</w:t>
      </w:r>
      <w:r w:rsidR="00065914">
        <w:rPr>
          <w:rFonts w:ascii="Book Antiqua" w:hAnsi="Book Antiqua" w:cs="Arial"/>
        </w:rPr>
        <w:t xml:space="preserve"> led to </w:t>
      </w:r>
      <w:r w:rsidR="00057A04">
        <w:rPr>
          <w:rFonts w:ascii="Book Antiqua" w:hAnsi="Book Antiqua" w:cs="Arial"/>
        </w:rPr>
        <w:t>an 18-month</w:t>
      </w:r>
      <w:r w:rsidR="00065914">
        <w:rPr>
          <w:rFonts w:ascii="Book Antiqua" w:hAnsi="Book Antiqua" w:cs="Arial"/>
        </w:rPr>
        <w:t xml:space="preserve"> sentence of </w:t>
      </w:r>
      <w:r w:rsidR="00057A04">
        <w:rPr>
          <w:rFonts w:ascii="Book Antiqua" w:hAnsi="Book Antiqua" w:cs="Arial"/>
        </w:rPr>
        <w:t>imprisonment. AJ was the</w:t>
      </w:r>
      <w:r>
        <w:rPr>
          <w:rFonts w:ascii="Book Antiqua" w:hAnsi="Book Antiqua" w:cs="Arial"/>
        </w:rPr>
        <w:t xml:space="preserve"> </w:t>
      </w:r>
      <w:r w:rsidR="00065914">
        <w:rPr>
          <w:rFonts w:ascii="Book Antiqua" w:hAnsi="Book Antiqua" w:cs="Arial"/>
        </w:rPr>
        <w:t>subject</w:t>
      </w:r>
      <w:r>
        <w:rPr>
          <w:rFonts w:ascii="Book Antiqua" w:hAnsi="Book Antiqua" w:cs="Arial"/>
        </w:rPr>
        <w:t xml:space="preserve"> of a </w:t>
      </w:r>
      <w:r w:rsidR="00065914">
        <w:rPr>
          <w:rFonts w:ascii="Book Antiqua" w:hAnsi="Book Antiqua" w:cs="Arial"/>
        </w:rPr>
        <w:t xml:space="preserve">decision to deport him </w:t>
      </w:r>
      <w:r w:rsidR="00C5197F">
        <w:rPr>
          <w:rFonts w:ascii="Book Antiqua" w:hAnsi="Book Antiqua" w:cs="Arial"/>
        </w:rPr>
        <w:t xml:space="preserve">from the United Kingdom </w:t>
      </w:r>
      <w:r w:rsidR="00065914">
        <w:rPr>
          <w:rFonts w:ascii="Book Antiqua" w:hAnsi="Book Antiqua" w:cs="Arial"/>
        </w:rPr>
        <w:t xml:space="preserve">and </w:t>
      </w:r>
      <w:r>
        <w:rPr>
          <w:rFonts w:ascii="Book Antiqua" w:hAnsi="Book Antiqua" w:cs="Arial"/>
        </w:rPr>
        <w:t xml:space="preserve">a further decision </w:t>
      </w:r>
      <w:r w:rsidR="00065914">
        <w:rPr>
          <w:rFonts w:ascii="Book Antiqua" w:hAnsi="Book Antiqua" w:cs="Arial"/>
        </w:rPr>
        <w:t xml:space="preserve">to refuse </w:t>
      </w:r>
      <w:r w:rsidR="00C5197F">
        <w:rPr>
          <w:rFonts w:ascii="Book Antiqua" w:hAnsi="Book Antiqua" w:cs="Arial"/>
        </w:rPr>
        <w:t>his</w:t>
      </w:r>
      <w:r w:rsidR="00065914">
        <w:rPr>
          <w:rFonts w:ascii="Book Antiqua" w:hAnsi="Book Antiqua" w:cs="Arial"/>
        </w:rPr>
        <w:t xml:space="preserve"> human rights claim</w:t>
      </w:r>
      <w:r>
        <w:rPr>
          <w:rFonts w:ascii="Book Antiqua" w:hAnsi="Book Antiqua" w:cs="Arial"/>
        </w:rPr>
        <w:t>.</w:t>
      </w:r>
      <w:r w:rsidR="00065914">
        <w:rPr>
          <w:rFonts w:ascii="Book Antiqua" w:hAnsi="Book Antiqua" w:cs="Arial"/>
        </w:rPr>
        <w:t xml:space="preserve"> </w:t>
      </w:r>
      <w:r>
        <w:rPr>
          <w:rFonts w:ascii="Book Antiqua" w:hAnsi="Book Antiqua" w:cs="Arial"/>
        </w:rPr>
        <w:t>T</w:t>
      </w:r>
      <w:r w:rsidR="00C5197F">
        <w:rPr>
          <w:rFonts w:ascii="Book Antiqua" w:hAnsi="Book Antiqua" w:cs="Arial"/>
        </w:rPr>
        <w:t>hat claim</w:t>
      </w:r>
      <w:r>
        <w:rPr>
          <w:rFonts w:ascii="Book Antiqua" w:hAnsi="Book Antiqua" w:cs="Arial"/>
        </w:rPr>
        <w:t>, as in the instant case,</w:t>
      </w:r>
      <w:r w:rsidR="00C5197F">
        <w:rPr>
          <w:rFonts w:ascii="Book Antiqua" w:hAnsi="Book Antiqua" w:cs="Arial"/>
        </w:rPr>
        <w:t xml:space="preserve"> was</w:t>
      </w:r>
      <w:r w:rsidR="00065914">
        <w:rPr>
          <w:rFonts w:ascii="Book Antiqua" w:hAnsi="Book Antiqua" w:cs="Arial"/>
        </w:rPr>
        <w:t xml:space="preserve"> certified pursuant to Section 94B of the 2002 Act</w:t>
      </w:r>
      <w:r>
        <w:rPr>
          <w:rFonts w:ascii="Book Antiqua" w:hAnsi="Book Antiqua" w:cs="Arial"/>
        </w:rPr>
        <w:t>.</w:t>
      </w:r>
      <w:r w:rsidR="00065914">
        <w:rPr>
          <w:rFonts w:ascii="Book Antiqua" w:hAnsi="Book Antiqua" w:cs="Arial"/>
        </w:rPr>
        <w:t xml:space="preserve"> </w:t>
      </w:r>
      <w:r>
        <w:rPr>
          <w:rFonts w:ascii="Book Antiqua" w:hAnsi="Book Antiqua" w:cs="Arial"/>
        </w:rPr>
        <w:t>The</w:t>
      </w:r>
      <w:r w:rsidR="00065914">
        <w:rPr>
          <w:rFonts w:ascii="Book Antiqua" w:hAnsi="Book Antiqua" w:cs="Arial"/>
        </w:rPr>
        <w:t xml:space="preserve"> certification had been challenged by</w:t>
      </w:r>
      <w:r w:rsidR="00057A04">
        <w:rPr>
          <w:rFonts w:ascii="Book Antiqua" w:hAnsi="Book Antiqua" w:cs="Arial"/>
        </w:rPr>
        <w:t xml:space="preserve"> way of judicial review but those proceedings were</w:t>
      </w:r>
      <w:r w:rsidR="00065914">
        <w:rPr>
          <w:rFonts w:ascii="Book Antiqua" w:hAnsi="Book Antiqua" w:cs="Arial"/>
        </w:rPr>
        <w:t xml:space="preserve"> dismissed</w:t>
      </w:r>
      <w:r w:rsidR="00057A04">
        <w:rPr>
          <w:rFonts w:ascii="Book Antiqua" w:hAnsi="Book Antiqua" w:cs="Arial"/>
        </w:rPr>
        <w:t>. AJ</w:t>
      </w:r>
      <w:r w:rsidR="00065914">
        <w:rPr>
          <w:rFonts w:ascii="Book Antiqua" w:hAnsi="Book Antiqua" w:cs="Arial"/>
        </w:rPr>
        <w:t xml:space="preserve"> was eventually deported. </w:t>
      </w:r>
      <w:r>
        <w:rPr>
          <w:rFonts w:ascii="Book Antiqua" w:hAnsi="Book Antiqua" w:cs="Arial"/>
        </w:rPr>
        <w:t>T</w:t>
      </w:r>
      <w:r w:rsidR="00065914">
        <w:rPr>
          <w:rFonts w:ascii="Book Antiqua" w:hAnsi="Book Antiqua" w:cs="Arial"/>
        </w:rPr>
        <w:t>hereafter</w:t>
      </w:r>
      <w:r w:rsidR="00057A04">
        <w:rPr>
          <w:rFonts w:ascii="Book Antiqua" w:hAnsi="Book Antiqua" w:cs="Arial"/>
        </w:rPr>
        <w:t xml:space="preserve"> he</w:t>
      </w:r>
      <w:r w:rsidR="00C5197F">
        <w:rPr>
          <w:rFonts w:ascii="Book Antiqua" w:hAnsi="Book Antiqua" w:cs="Arial"/>
        </w:rPr>
        <w:t xml:space="preserve"> appealed to the </w:t>
      </w:r>
      <w:proofErr w:type="spellStart"/>
      <w:r w:rsidR="00C5197F">
        <w:rPr>
          <w:rFonts w:ascii="Book Antiqua" w:hAnsi="Book Antiqua" w:cs="Arial"/>
        </w:rPr>
        <w:t>FtT</w:t>
      </w:r>
      <w:proofErr w:type="spellEnd"/>
      <w:r w:rsidR="00C5197F">
        <w:rPr>
          <w:rFonts w:ascii="Book Antiqua" w:hAnsi="Book Antiqua" w:cs="Arial"/>
        </w:rPr>
        <w:t>.</w:t>
      </w:r>
      <w:r w:rsidR="00057A04">
        <w:rPr>
          <w:rFonts w:ascii="Book Antiqua" w:hAnsi="Book Antiqua" w:cs="Arial"/>
        </w:rPr>
        <w:t xml:space="preserve"> AJ did not give</w:t>
      </w:r>
      <w:r w:rsidR="00065914">
        <w:rPr>
          <w:rFonts w:ascii="Book Antiqua" w:hAnsi="Book Antiqua" w:cs="Arial"/>
        </w:rPr>
        <w:t xml:space="preserve"> </w:t>
      </w:r>
      <w:r>
        <w:rPr>
          <w:rFonts w:ascii="Book Antiqua" w:hAnsi="Book Antiqua" w:cs="Arial"/>
        </w:rPr>
        <w:t xml:space="preserve">oral </w:t>
      </w:r>
      <w:r w:rsidR="00C5197F">
        <w:rPr>
          <w:rFonts w:ascii="Book Antiqua" w:hAnsi="Book Antiqua" w:cs="Arial"/>
        </w:rPr>
        <w:t>evidence at that appeal</w:t>
      </w:r>
      <w:r w:rsidR="006A59D2">
        <w:rPr>
          <w:rFonts w:ascii="Book Antiqua" w:hAnsi="Book Antiqua" w:cs="Arial"/>
        </w:rPr>
        <w:t xml:space="preserve">.  </w:t>
      </w:r>
    </w:p>
    <w:p w14:paraId="4899DC47" w14:textId="77777777" w:rsidR="00065914" w:rsidRPr="00C5197F" w:rsidRDefault="00C5197F" w:rsidP="00C5197F">
      <w:pPr>
        <w:numPr>
          <w:ilvl w:val="0"/>
          <w:numId w:val="3"/>
        </w:numPr>
        <w:spacing w:before="120" w:after="120"/>
        <w:jc w:val="both"/>
        <w:rPr>
          <w:rFonts w:ascii="Book Antiqua" w:hAnsi="Book Antiqua" w:cs="Arial"/>
        </w:rPr>
      </w:pPr>
      <w:r>
        <w:rPr>
          <w:rFonts w:ascii="Book Antiqua" w:hAnsi="Book Antiqua" w:cs="Arial"/>
        </w:rPr>
        <w:lastRenderedPageBreak/>
        <w:t>All of the material</w:t>
      </w:r>
      <w:r w:rsidR="006A59D2" w:rsidRPr="00C5197F">
        <w:rPr>
          <w:rFonts w:ascii="Book Antiqua" w:hAnsi="Book Antiqua" w:cs="Arial"/>
        </w:rPr>
        <w:t xml:space="preserve"> events</w:t>
      </w:r>
      <w:r>
        <w:rPr>
          <w:rFonts w:ascii="Book Antiqua" w:hAnsi="Book Antiqua" w:cs="Arial"/>
        </w:rPr>
        <w:t xml:space="preserve"> in </w:t>
      </w:r>
      <w:r w:rsidRPr="00C5197F">
        <w:rPr>
          <w:rFonts w:ascii="Book Antiqua" w:hAnsi="Book Antiqua" w:cs="Arial"/>
          <w:u w:val="single"/>
        </w:rPr>
        <w:t>AJ</w:t>
      </w:r>
      <w:r w:rsidR="006A59D2" w:rsidRPr="00C5197F">
        <w:rPr>
          <w:rFonts w:ascii="Book Antiqua" w:hAnsi="Book Antiqua" w:cs="Arial"/>
        </w:rPr>
        <w:t>, as in the instant case, took place before the Supreme Court</w:t>
      </w:r>
      <w:r w:rsidR="007F7EE6" w:rsidRPr="00C5197F">
        <w:rPr>
          <w:rFonts w:ascii="Book Antiqua" w:hAnsi="Book Antiqua" w:cs="Arial"/>
        </w:rPr>
        <w:t>’</w:t>
      </w:r>
      <w:r w:rsidR="006A59D2" w:rsidRPr="00C5197F">
        <w:rPr>
          <w:rFonts w:ascii="Book Antiqua" w:hAnsi="Book Antiqua" w:cs="Arial"/>
        </w:rPr>
        <w:t xml:space="preserve">s decision in </w:t>
      </w:r>
      <w:proofErr w:type="spellStart"/>
      <w:r w:rsidR="006A59D2" w:rsidRPr="00C5197F">
        <w:rPr>
          <w:rFonts w:ascii="Book Antiqua" w:hAnsi="Book Antiqua" w:cs="Arial"/>
          <w:u w:val="single"/>
        </w:rPr>
        <w:t>Kiarie</w:t>
      </w:r>
      <w:proofErr w:type="spellEnd"/>
      <w:r w:rsidR="006A59D2" w:rsidRPr="00C5197F">
        <w:rPr>
          <w:rFonts w:ascii="Book Antiqua" w:hAnsi="Book Antiqua" w:cs="Arial"/>
          <w:u w:val="single"/>
        </w:rPr>
        <w:t xml:space="preserve"> &amp; </w:t>
      </w:r>
      <w:proofErr w:type="spellStart"/>
      <w:r w:rsidR="006A59D2" w:rsidRPr="00C5197F">
        <w:rPr>
          <w:rFonts w:ascii="Book Antiqua" w:hAnsi="Book Antiqua" w:cs="Arial"/>
          <w:u w:val="single"/>
        </w:rPr>
        <w:t>Byndloss</w:t>
      </w:r>
      <w:proofErr w:type="spellEnd"/>
      <w:r w:rsidR="006A59D2" w:rsidRPr="00C5197F">
        <w:rPr>
          <w:rFonts w:ascii="Book Antiqua" w:hAnsi="Book Antiqua" w:cs="Arial"/>
        </w:rPr>
        <w:t>.  AJ appealed to the Upper Tribunal</w:t>
      </w:r>
      <w:r w:rsidR="007F7EE6" w:rsidRPr="00C5197F">
        <w:rPr>
          <w:rFonts w:ascii="Book Antiqua" w:hAnsi="Book Antiqua" w:cs="Arial"/>
        </w:rPr>
        <w:t xml:space="preserve">. </w:t>
      </w:r>
      <w:r w:rsidR="006A59D2" w:rsidRPr="00C5197F">
        <w:rPr>
          <w:rFonts w:ascii="Book Antiqua" w:hAnsi="Book Antiqua" w:cs="Arial"/>
        </w:rPr>
        <w:t>The</w:t>
      </w:r>
      <w:r w:rsidR="007F7EE6" w:rsidRPr="00C5197F">
        <w:rPr>
          <w:rFonts w:ascii="Book Antiqua" w:hAnsi="Book Antiqua" w:cs="Arial"/>
        </w:rPr>
        <w:t xml:space="preserve"> Tribunal</w:t>
      </w:r>
      <w:r w:rsidR="006A59D2" w:rsidRPr="00C5197F">
        <w:rPr>
          <w:rFonts w:ascii="Book Antiqua" w:hAnsi="Book Antiqua" w:cs="Arial"/>
        </w:rPr>
        <w:t xml:space="preserve"> found </w:t>
      </w:r>
      <w:r w:rsidR="007F7EE6" w:rsidRPr="00C5197F">
        <w:rPr>
          <w:rFonts w:ascii="Book Antiqua" w:hAnsi="Book Antiqua" w:cs="Arial"/>
        </w:rPr>
        <w:t xml:space="preserve">there </w:t>
      </w:r>
      <w:r w:rsidR="006A59D2" w:rsidRPr="00C5197F">
        <w:rPr>
          <w:rFonts w:ascii="Book Antiqua" w:hAnsi="Book Antiqua" w:cs="Arial"/>
        </w:rPr>
        <w:t xml:space="preserve">to be no issues in relation to the first and second </w:t>
      </w:r>
      <w:proofErr w:type="spellStart"/>
      <w:r w:rsidRPr="00C5197F">
        <w:rPr>
          <w:rFonts w:ascii="Book Antiqua" w:hAnsi="Book Antiqua" w:cs="Arial"/>
          <w:u w:val="single"/>
        </w:rPr>
        <w:t>Kiarie</w:t>
      </w:r>
      <w:proofErr w:type="spellEnd"/>
      <w:r w:rsidRPr="00C5197F">
        <w:rPr>
          <w:rFonts w:ascii="Book Antiqua" w:hAnsi="Book Antiqua" w:cs="Arial"/>
          <w:u w:val="single"/>
        </w:rPr>
        <w:t xml:space="preserve"> and </w:t>
      </w:r>
      <w:proofErr w:type="spellStart"/>
      <w:r w:rsidRPr="00C5197F">
        <w:rPr>
          <w:rFonts w:ascii="Book Antiqua" w:hAnsi="Book Antiqua" w:cs="Arial"/>
          <w:u w:val="single"/>
        </w:rPr>
        <w:t>Byn</w:t>
      </w:r>
      <w:r w:rsidR="00984C9C">
        <w:rPr>
          <w:rFonts w:ascii="Book Antiqua" w:hAnsi="Book Antiqua" w:cs="Arial"/>
          <w:u w:val="single"/>
        </w:rPr>
        <w:t>d</w:t>
      </w:r>
      <w:r w:rsidRPr="00C5197F">
        <w:rPr>
          <w:rFonts w:ascii="Book Antiqua" w:hAnsi="Book Antiqua" w:cs="Arial"/>
          <w:u w:val="single"/>
        </w:rPr>
        <w:t>loss</w:t>
      </w:r>
      <w:proofErr w:type="spellEnd"/>
      <w:r>
        <w:rPr>
          <w:rFonts w:ascii="Book Antiqua" w:hAnsi="Book Antiqua" w:cs="Arial"/>
        </w:rPr>
        <w:t xml:space="preserve"> </w:t>
      </w:r>
      <w:r w:rsidR="006A59D2" w:rsidRPr="00C5197F">
        <w:rPr>
          <w:rFonts w:ascii="Book Antiqua" w:hAnsi="Book Antiqua" w:cs="Arial"/>
        </w:rPr>
        <w:t>questions</w:t>
      </w:r>
      <w:r w:rsidR="007F7EE6" w:rsidRPr="00C5197F">
        <w:rPr>
          <w:rFonts w:ascii="Book Antiqua" w:hAnsi="Book Antiqua" w:cs="Arial"/>
        </w:rPr>
        <w:t>;</w:t>
      </w:r>
      <w:r w:rsidR="006A59D2" w:rsidRPr="00C5197F">
        <w:rPr>
          <w:rFonts w:ascii="Book Antiqua" w:hAnsi="Book Antiqua" w:cs="Arial"/>
        </w:rPr>
        <w:t xml:space="preserve"> however, </w:t>
      </w:r>
      <w:r>
        <w:rPr>
          <w:rFonts w:ascii="Book Antiqua" w:hAnsi="Book Antiqua" w:cs="Arial"/>
        </w:rPr>
        <w:t>of</w:t>
      </w:r>
      <w:r w:rsidR="006A59D2" w:rsidRPr="00C5197F">
        <w:rPr>
          <w:rFonts w:ascii="Book Antiqua" w:hAnsi="Book Antiqua" w:cs="Arial"/>
        </w:rPr>
        <w:t xml:space="preserve"> the third and fourth questions the Upper Tribunal</w:t>
      </w:r>
      <w:r>
        <w:rPr>
          <w:rFonts w:ascii="Book Antiqua" w:hAnsi="Book Antiqua" w:cs="Arial"/>
        </w:rPr>
        <w:t xml:space="preserve"> </w:t>
      </w:r>
      <w:r w:rsidR="006A59D2" w:rsidRPr="00C5197F">
        <w:rPr>
          <w:rFonts w:ascii="Book Antiqua" w:hAnsi="Book Antiqua" w:cs="Arial"/>
        </w:rPr>
        <w:t>said as follows:</w:t>
      </w:r>
    </w:p>
    <w:p w14:paraId="51A45A59" w14:textId="77777777" w:rsidR="007F7EE6" w:rsidRDefault="007F7EE6" w:rsidP="00173B0F">
      <w:pPr>
        <w:pStyle w:val="ListParagraph"/>
        <w:spacing w:before="120" w:after="120"/>
        <w:rPr>
          <w:rFonts w:ascii="Book Antiqua" w:hAnsi="Book Antiqua" w:cs="Arial"/>
        </w:rPr>
      </w:pPr>
    </w:p>
    <w:p w14:paraId="292AD7E8" w14:textId="77777777" w:rsidR="006451A5" w:rsidRPr="006451A5" w:rsidRDefault="006451A5" w:rsidP="00173B0F">
      <w:pPr>
        <w:pStyle w:val="ListParagraph"/>
        <w:spacing w:before="120" w:after="120"/>
        <w:ind w:left="1418" w:hanging="425"/>
        <w:jc w:val="both"/>
        <w:rPr>
          <w:rFonts w:ascii="Book Antiqua" w:hAnsi="Book Antiqua" w:cs="Arial"/>
          <w:sz w:val="22"/>
          <w:szCs w:val="22"/>
        </w:rPr>
      </w:pPr>
      <w:r>
        <w:rPr>
          <w:rFonts w:ascii="Book Antiqua" w:hAnsi="Book Antiqua" w:cs="Arial"/>
          <w:sz w:val="22"/>
          <w:szCs w:val="22"/>
        </w:rPr>
        <w:t>“</w:t>
      </w:r>
      <w:r w:rsidRPr="006451A5">
        <w:rPr>
          <w:rFonts w:ascii="Book Antiqua" w:hAnsi="Book Antiqua" w:cs="Arial"/>
          <w:sz w:val="22"/>
          <w:szCs w:val="22"/>
        </w:rPr>
        <w:t>The third and fourth questions</w:t>
      </w:r>
    </w:p>
    <w:p w14:paraId="6BA9B55F" w14:textId="77777777" w:rsidR="006451A5" w:rsidRPr="006451A5" w:rsidRDefault="006451A5" w:rsidP="00173B0F">
      <w:pPr>
        <w:pStyle w:val="ListParagraph"/>
        <w:spacing w:before="120" w:after="120"/>
        <w:ind w:left="1418" w:hanging="425"/>
        <w:jc w:val="both"/>
        <w:rPr>
          <w:rFonts w:ascii="Book Antiqua" w:hAnsi="Book Antiqua" w:cs="Arial"/>
          <w:sz w:val="22"/>
          <w:szCs w:val="22"/>
        </w:rPr>
      </w:pPr>
    </w:p>
    <w:p w14:paraId="689FF266" w14:textId="77777777" w:rsidR="006451A5" w:rsidRPr="006451A5" w:rsidRDefault="006451A5" w:rsidP="00173B0F">
      <w:pPr>
        <w:pStyle w:val="ListParagraph"/>
        <w:spacing w:before="120" w:after="120"/>
        <w:ind w:left="1418" w:hanging="425"/>
        <w:jc w:val="both"/>
        <w:rPr>
          <w:rFonts w:ascii="Book Antiqua" w:hAnsi="Book Antiqua" w:cs="Arial"/>
          <w:sz w:val="22"/>
          <w:szCs w:val="22"/>
        </w:rPr>
      </w:pPr>
      <w:r w:rsidRPr="006451A5">
        <w:rPr>
          <w:rFonts w:ascii="Book Antiqua" w:hAnsi="Book Antiqua" w:cs="Arial"/>
          <w:sz w:val="22"/>
          <w:szCs w:val="22"/>
        </w:rPr>
        <w:t>61.</w:t>
      </w:r>
      <w:r w:rsidRPr="006451A5">
        <w:rPr>
          <w:rFonts w:ascii="Book Antiqua" w:hAnsi="Book Antiqua" w:cs="Arial"/>
          <w:sz w:val="22"/>
          <w:szCs w:val="22"/>
        </w:rPr>
        <w:tab/>
        <w:t xml:space="preserve">The issue, accordingly, comes down to the third and fourth questions: whether, in the light of </w:t>
      </w:r>
      <w:proofErr w:type="spellStart"/>
      <w:r w:rsidRPr="009F21D5">
        <w:rPr>
          <w:rFonts w:ascii="Book Antiqua" w:hAnsi="Book Antiqua" w:cs="Arial"/>
          <w:sz w:val="22"/>
          <w:szCs w:val="22"/>
          <w:u w:val="single"/>
        </w:rPr>
        <w:t>Kiarie</w:t>
      </w:r>
      <w:proofErr w:type="spellEnd"/>
      <w:r w:rsidRPr="009F21D5">
        <w:rPr>
          <w:rFonts w:ascii="Book Antiqua" w:hAnsi="Book Antiqua" w:cs="Arial"/>
          <w:sz w:val="22"/>
          <w:szCs w:val="22"/>
          <w:u w:val="single"/>
        </w:rPr>
        <w:t xml:space="preserve"> and </w:t>
      </w:r>
      <w:proofErr w:type="spellStart"/>
      <w:r w:rsidRPr="009F21D5">
        <w:rPr>
          <w:rFonts w:ascii="Book Antiqua" w:hAnsi="Book Antiqua" w:cs="Arial"/>
          <w:sz w:val="22"/>
          <w:szCs w:val="22"/>
          <w:u w:val="single"/>
        </w:rPr>
        <w:t>Byndloss</w:t>
      </w:r>
      <w:proofErr w:type="spellEnd"/>
      <w:r w:rsidRPr="006451A5">
        <w:rPr>
          <w:rFonts w:ascii="Book Antiqua" w:hAnsi="Book Antiqua" w:cs="Arial"/>
          <w:sz w:val="22"/>
          <w:szCs w:val="22"/>
        </w:rPr>
        <w:t xml:space="preserve">, the judge acted fairly in proceeding with the hearing, without examining the need for the appellant to give live evidence and, if so, whether there was the possibility of the appellant being able to give such evidence by video-link from Nigeria. </w:t>
      </w:r>
    </w:p>
    <w:p w14:paraId="5B231AAE" w14:textId="77777777" w:rsidR="006451A5" w:rsidRPr="006451A5" w:rsidRDefault="006451A5" w:rsidP="00173B0F">
      <w:pPr>
        <w:pStyle w:val="ListParagraph"/>
        <w:spacing w:before="120" w:after="120"/>
        <w:ind w:left="1418" w:hanging="425"/>
        <w:jc w:val="both"/>
        <w:rPr>
          <w:rFonts w:ascii="Book Antiqua" w:hAnsi="Book Antiqua" w:cs="Arial"/>
          <w:sz w:val="22"/>
          <w:szCs w:val="22"/>
        </w:rPr>
      </w:pPr>
    </w:p>
    <w:p w14:paraId="6CC36711" w14:textId="77777777" w:rsidR="006451A5" w:rsidRPr="006451A5" w:rsidRDefault="006451A5" w:rsidP="00173B0F">
      <w:pPr>
        <w:pStyle w:val="ListParagraph"/>
        <w:spacing w:before="120" w:after="120"/>
        <w:ind w:left="1418" w:hanging="425"/>
        <w:jc w:val="both"/>
        <w:rPr>
          <w:rFonts w:ascii="Book Antiqua" w:hAnsi="Book Antiqua" w:cs="Arial"/>
          <w:sz w:val="22"/>
          <w:szCs w:val="22"/>
        </w:rPr>
      </w:pPr>
      <w:r w:rsidRPr="006451A5">
        <w:rPr>
          <w:rFonts w:ascii="Book Antiqua" w:hAnsi="Book Antiqua" w:cs="Arial"/>
          <w:sz w:val="22"/>
          <w:szCs w:val="22"/>
        </w:rPr>
        <w:t>62.</w:t>
      </w:r>
      <w:r w:rsidRPr="006451A5">
        <w:rPr>
          <w:rFonts w:ascii="Book Antiqua" w:hAnsi="Book Antiqua" w:cs="Arial"/>
          <w:sz w:val="22"/>
          <w:szCs w:val="22"/>
        </w:rPr>
        <w:tab/>
        <w:t xml:space="preserve"> It is, of course, no criticism of the judge that he was unable to address these questions by reference to the judgments in </w:t>
      </w:r>
      <w:proofErr w:type="spellStart"/>
      <w:r w:rsidRPr="009F21D5">
        <w:rPr>
          <w:rFonts w:ascii="Book Antiqua" w:hAnsi="Book Antiqua" w:cs="Arial"/>
          <w:sz w:val="22"/>
          <w:szCs w:val="22"/>
          <w:u w:val="single"/>
        </w:rPr>
        <w:t>Kiarie</w:t>
      </w:r>
      <w:proofErr w:type="spellEnd"/>
      <w:r w:rsidRPr="009F21D5">
        <w:rPr>
          <w:rFonts w:ascii="Book Antiqua" w:hAnsi="Book Antiqua" w:cs="Arial"/>
          <w:sz w:val="22"/>
          <w:szCs w:val="22"/>
          <w:u w:val="single"/>
        </w:rPr>
        <w:t xml:space="preserve"> and </w:t>
      </w:r>
      <w:proofErr w:type="spellStart"/>
      <w:r w:rsidRPr="009F21D5">
        <w:rPr>
          <w:rFonts w:ascii="Book Antiqua" w:hAnsi="Book Antiqua" w:cs="Arial"/>
          <w:sz w:val="22"/>
          <w:szCs w:val="22"/>
          <w:u w:val="single"/>
        </w:rPr>
        <w:t>Byndloss</w:t>
      </w:r>
      <w:proofErr w:type="spellEnd"/>
      <w:r w:rsidRPr="006451A5">
        <w:rPr>
          <w:rFonts w:ascii="Book Antiqua" w:hAnsi="Book Antiqua" w:cs="Arial"/>
          <w:sz w:val="22"/>
          <w:szCs w:val="22"/>
        </w:rPr>
        <w:t xml:space="preserve">, which had not been delivered.  We do, however, agree with Miss Cohen that </w:t>
      </w:r>
      <w:proofErr w:type="spellStart"/>
      <w:r w:rsidRPr="009F21D5">
        <w:rPr>
          <w:rFonts w:ascii="Book Antiqua" w:hAnsi="Book Antiqua" w:cs="Arial"/>
          <w:sz w:val="22"/>
          <w:szCs w:val="22"/>
          <w:u w:val="single"/>
        </w:rPr>
        <w:t>Kiarie</w:t>
      </w:r>
      <w:proofErr w:type="spellEnd"/>
      <w:r w:rsidRPr="009F21D5">
        <w:rPr>
          <w:rFonts w:ascii="Book Antiqua" w:hAnsi="Book Antiqua" w:cs="Arial"/>
          <w:sz w:val="22"/>
          <w:szCs w:val="22"/>
          <w:u w:val="single"/>
        </w:rPr>
        <w:t xml:space="preserve"> and </w:t>
      </w:r>
      <w:proofErr w:type="spellStart"/>
      <w:r w:rsidRPr="009F21D5">
        <w:rPr>
          <w:rFonts w:ascii="Book Antiqua" w:hAnsi="Book Antiqua" w:cs="Arial"/>
          <w:sz w:val="22"/>
          <w:szCs w:val="22"/>
          <w:u w:val="single"/>
        </w:rPr>
        <w:t>Byndloss</w:t>
      </w:r>
      <w:proofErr w:type="spellEnd"/>
      <w:r w:rsidRPr="006451A5">
        <w:rPr>
          <w:rFonts w:ascii="Book Antiqua" w:hAnsi="Book Antiqua" w:cs="Arial"/>
          <w:sz w:val="22"/>
          <w:szCs w:val="22"/>
        </w:rPr>
        <w:t xml:space="preserve">, properly interpreted, compelled the judge to address the matters we have set out above.  </w:t>
      </w:r>
    </w:p>
    <w:p w14:paraId="1F55D98F" w14:textId="77777777" w:rsidR="006451A5" w:rsidRPr="006451A5" w:rsidRDefault="006451A5" w:rsidP="00173B0F">
      <w:pPr>
        <w:pStyle w:val="ListParagraph"/>
        <w:spacing w:before="120" w:after="120"/>
        <w:ind w:left="1418" w:hanging="425"/>
        <w:jc w:val="both"/>
        <w:rPr>
          <w:rFonts w:ascii="Book Antiqua" w:hAnsi="Book Antiqua" w:cs="Arial"/>
          <w:sz w:val="22"/>
          <w:szCs w:val="22"/>
        </w:rPr>
      </w:pPr>
    </w:p>
    <w:p w14:paraId="3B880975" w14:textId="77777777" w:rsidR="006451A5" w:rsidRPr="006451A5" w:rsidRDefault="006451A5" w:rsidP="00173B0F">
      <w:pPr>
        <w:pStyle w:val="ListParagraph"/>
        <w:spacing w:before="120" w:after="120"/>
        <w:ind w:left="1418" w:hanging="425"/>
        <w:jc w:val="both"/>
        <w:rPr>
          <w:rFonts w:ascii="Book Antiqua" w:hAnsi="Book Antiqua" w:cs="Arial"/>
          <w:sz w:val="22"/>
          <w:szCs w:val="22"/>
        </w:rPr>
      </w:pPr>
      <w:r w:rsidRPr="006451A5">
        <w:rPr>
          <w:rFonts w:ascii="Book Antiqua" w:hAnsi="Book Antiqua" w:cs="Arial"/>
          <w:sz w:val="22"/>
          <w:szCs w:val="22"/>
        </w:rPr>
        <w:t>63.</w:t>
      </w:r>
      <w:r w:rsidRPr="006451A5">
        <w:rPr>
          <w:rFonts w:ascii="Book Antiqua" w:hAnsi="Book Antiqua" w:cs="Arial"/>
          <w:sz w:val="22"/>
          <w:szCs w:val="22"/>
        </w:rPr>
        <w:tab/>
        <w:t xml:space="preserve">For the reasons we have given, no material error was committed by the judge in respect of the questions relating to legal representations/instructions and obtaining supporting professional evidence. Even if he had specifically addressed the first two questions, he would not, on the facts, have acted any differently. We do, however, find that the judge erred in law in going ahead without considering the need to hear oral evidence from the appellant.  </w:t>
      </w:r>
    </w:p>
    <w:p w14:paraId="6CDFA46B" w14:textId="77777777" w:rsidR="006451A5" w:rsidRPr="006451A5" w:rsidRDefault="006451A5" w:rsidP="00173B0F">
      <w:pPr>
        <w:pStyle w:val="ListParagraph"/>
        <w:spacing w:before="120" w:after="120"/>
        <w:ind w:left="1418" w:hanging="425"/>
        <w:jc w:val="both"/>
        <w:rPr>
          <w:rFonts w:ascii="Book Antiqua" w:hAnsi="Book Antiqua" w:cs="Arial"/>
          <w:sz w:val="22"/>
          <w:szCs w:val="22"/>
        </w:rPr>
      </w:pPr>
    </w:p>
    <w:p w14:paraId="5AB391AF" w14:textId="77777777" w:rsidR="006451A5" w:rsidRPr="006451A5" w:rsidRDefault="006451A5" w:rsidP="00173B0F">
      <w:pPr>
        <w:pStyle w:val="ListParagraph"/>
        <w:spacing w:before="120" w:after="120"/>
        <w:ind w:left="1418" w:hanging="425"/>
        <w:jc w:val="both"/>
        <w:rPr>
          <w:rFonts w:ascii="Book Antiqua" w:hAnsi="Book Antiqua" w:cs="Arial"/>
          <w:sz w:val="22"/>
          <w:szCs w:val="22"/>
        </w:rPr>
      </w:pPr>
      <w:r w:rsidRPr="006451A5">
        <w:rPr>
          <w:rFonts w:ascii="Book Antiqua" w:hAnsi="Book Antiqua" w:cs="Arial"/>
          <w:sz w:val="22"/>
          <w:szCs w:val="22"/>
        </w:rPr>
        <w:t>64.</w:t>
      </w:r>
      <w:r w:rsidRPr="006451A5">
        <w:rPr>
          <w:rFonts w:ascii="Book Antiqua" w:hAnsi="Book Antiqua" w:cs="Arial"/>
          <w:sz w:val="22"/>
          <w:szCs w:val="22"/>
        </w:rPr>
        <w:tab/>
        <w:t xml:space="preserve">A key matter at issue in the case was the position of the appellant in Nigeria.  The judge heard oral evidence about this and had before him written evidence from the organisation that had been assisting the appellant.  There is no doubt that the appellant’s position in Nigeria, as disclosed by that evidence, was problematic.  The judge came to the conclusion that the evidence did not make the appellant’s circumstances “very compelling”.  If, however, the judge had been able to hear and see the appellant give evidence on this issue, his conclusion may well have been different.  </w:t>
      </w:r>
    </w:p>
    <w:p w14:paraId="35E8C74F" w14:textId="77777777" w:rsidR="006451A5" w:rsidRPr="006451A5" w:rsidRDefault="006451A5" w:rsidP="00173B0F">
      <w:pPr>
        <w:pStyle w:val="ListParagraph"/>
        <w:spacing w:before="120" w:after="120"/>
        <w:ind w:left="1418" w:hanging="425"/>
        <w:jc w:val="both"/>
        <w:rPr>
          <w:rFonts w:ascii="Book Antiqua" w:hAnsi="Book Antiqua" w:cs="Arial"/>
          <w:sz w:val="22"/>
          <w:szCs w:val="22"/>
        </w:rPr>
      </w:pPr>
    </w:p>
    <w:p w14:paraId="3E32E848" w14:textId="77777777" w:rsidR="006451A5" w:rsidRDefault="006451A5" w:rsidP="00173B0F">
      <w:pPr>
        <w:pStyle w:val="ListParagraph"/>
        <w:spacing w:before="120" w:after="120"/>
        <w:ind w:left="1418" w:hanging="425"/>
        <w:jc w:val="both"/>
        <w:rPr>
          <w:rFonts w:ascii="Book Antiqua" w:hAnsi="Book Antiqua" w:cs="Arial"/>
        </w:rPr>
      </w:pPr>
      <w:r w:rsidRPr="006451A5">
        <w:rPr>
          <w:rFonts w:ascii="Book Antiqua" w:hAnsi="Book Antiqua" w:cs="Arial"/>
          <w:sz w:val="22"/>
          <w:szCs w:val="22"/>
        </w:rPr>
        <w:t>65.</w:t>
      </w:r>
      <w:r w:rsidRPr="006451A5">
        <w:rPr>
          <w:rFonts w:ascii="Book Antiqua" w:hAnsi="Book Antiqua" w:cs="Arial"/>
          <w:sz w:val="22"/>
          <w:szCs w:val="22"/>
        </w:rPr>
        <w:tab/>
        <w:t>Accordingly, although we emphasise that the judge is not to be criticised, he materially erred in law.  As a result, the determination falls to be set aside.  In the circumstances, the only appropriate course, given the failure to accord the appellant a fair hearing, is to remit the matter to be re-decided by the First-tier Tribunal.</w:t>
      </w:r>
      <w:r w:rsidRPr="006451A5">
        <w:rPr>
          <w:rFonts w:ascii="Book Antiqua" w:hAnsi="Book Antiqua" w:cs="Arial"/>
        </w:rPr>
        <w:t xml:space="preserve"> </w:t>
      </w:r>
      <w:r>
        <w:rPr>
          <w:rFonts w:ascii="Book Antiqua" w:hAnsi="Book Antiqua" w:cs="Arial"/>
        </w:rPr>
        <w:t>“</w:t>
      </w:r>
      <w:r w:rsidRPr="006451A5">
        <w:rPr>
          <w:rFonts w:ascii="Book Antiqua" w:hAnsi="Book Antiqua" w:cs="Arial"/>
        </w:rPr>
        <w:t xml:space="preserve"> </w:t>
      </w:r>
    </w:p>
    <w:p w14:paraId="4205F00B" w14:textId="77777777" w:rsidR="006451A5" w:rsidRDefault="006451A5" w:rsidP="00173B0F">
      <w:pPr>
        <w:spacing w:before="120" w:after="120"/>
        <w:jc w:val="both"/>
        <w:rPr>
          <w:rFonts w:ascii="Book Antiqua" w:hAnsi="Book Antiqua" w:cs="Arial"/>
        </w:rPr>
      </w:pPr>
    </w:p>
    <w:p w14:paraId="78D6A052" w14:textId="77777777" w:rsidR="00065914" w:rsidRDefault="006A59D2" w:rsidP="00173B0F">
      <w:pPr>
        <w:numPr>
          <w:ilvl w:val="0"/>
          <w:numId w:val="3"/>
        </w:numPr>
        <w:spacing w:before="120" w:after="120"/>
        <w:jc w:val="both"/>
        <w:rPr>
          <w:rFonts w:ascii="Book Antiqua" w:hAnsi="Book Antiqua" w:cs="Arial"/>
        </w:rPr>
      </w:pPr>
      <w:r>
        <w:rPr>
          <w:rFonts w:ascii="Book Antiqua" w:hAnsi="Book Antiqua" w:cs="Arial"/>
        </w:rPr>
        <w:t xml:space="preserve">Returning to the instant case, </w:t>
      </w:r>
      <w:r w:rsidR="00C5197F">
        <w:rPr>
          <w:rFonts w:ascii="Book Antiqua" w:hAnsi="Book Antiqua" w:cs="Arial"/>
        </w:rPr>
        <w:t xml:space="preserve">it is not asserted that </w:t>
      </w:r>
      <w:r>
        <w:rPr>
          <w:rFonts w:ascii="Book Antiqua" w:hAnsi="Book Antiqua" w:cs="Arial"/>
        </w:rPr>
        <w:t xml:space="preserve">there </w:t>
      </w:r>
      <w:r w:rsidR="00C5197F">
        <w:rPr>
          <w:rFonts w:ascii="Book Antiqua" w:hAnsi="Book Antiqua" w:cs="Arial"/>
        </w:rPr>
        <w:t>are any</w:t>
      </w:r>
      <w:r>
        <w:rPr>
          <w:rFonts w:ascii="Book Antiqua" w:hAnsi="Book Antiqua" w:cs="Arial"/>
        </w:rPr>
        <w:t xml:space="preserve"> issues </w:t>
      </w:r>
      <w:r w:rsidR="002D545C">
        <w:rPr>
          <w:rFonts w:ascii="Book Antiqua" w:hAnsi="Book Antiqua" w:cs="Arial"/>
        </w:rPr>
        <w:t>arising</w:t>
      </w:r>
      <w:r w:rsidR="00F258CD">
        <w:rPr>
          <w:rFonts w:ascii="Book Antiqua" w:hAnsi="Book Antiqua" w:cs="Arial"/>
        </w:rPr>
        <w:t xml:space="preserve"> from</w:t>
      </w:r>
      <w:r>
        <w:rPr>
          <w:rFonts w:ascii="Book Antiqua" w:hAnsi="Book Antiqua" w:cs="Arial"/>
        </w:rPr>
        <w:t xml:space="preserve"> the first</w:t>
      </w:r>
      <w:r w:rsidR="00F227AD">
        <w:rPr>
          <w:rFonts w:ascii="Book Antiqua" w:hAnsi="Book Antiqua" w:cs="Arial"/>
        </w:rPr>
        <w:t xml:space="preserve"> two</w:t>
      </w:r>
      <w:r>
        <w:rPr>
          <w:rFonts w:ascii="Book Antiqua" w:hAnsi="Book Antiqua" w:cs="Arial"/>
        </w:rPr>
        <w:t xml:space="preserve"> </w:t>
      </w:r>
      <w:proofErr w:type="spellStart"/>
      <w:r w:rsidRPr="006A59D2">
        <w:rPr>
          <w:rFonts w:ascii="Book Antiqua" w:hAnsi="Book Antiqua" w:cs="Arial"/>
          <w:u w:val="single"/>
        </w:rPr>
        <w:t>Kiarie</w:t>
      </w:r>
      <w:proofErr w:type="spellEnd"/>
      <w:r w:rsidR="00C5197F">
        <w:rPr>
          <w:rFonts w:ascii="Book Antiqua" w:hAnsi="Book Antiqua" w:cs="Arial"/>
          <w:u w:val="single"/>
        </w:rPr>
        <w:t xml:space="preserve"> and </w:t>
      </w:r>
      <w:proofErr w:type="spellStart"/>
      <w:r w:rsidR="00C5197F">
        <w:rPr>
          <w:rFonts w:ascii="Book Antiqua" w:hAnsi="Book Antiqua" w:cs="Arial"/>
          <w:u w:val="single"/>
        </w:rPr>
        <w:t>Byndloss</w:t>
      </w:r>
      <w:proofErr w:type="spellEnd"/>
      <w:r>
        <w:rPr>
          <w:rFonts w:ascii="Book Antiqua" w:hAnsi="Book Antiqua" w:cs="Arial"/>
        </w:rPr>
        <w:t xml:space="preserve"> questions. </w:t>
      </w:r>
      <w:r w:rsidR="00F258CD">
        <w:rPr>
          <w:rFonts w:ascii="Book Antiqua" w:hAnsi="Book Antiqua" w:cs="Arial"/>
        </w:rPr>
        <w:t xml:space="preserve">I </w:t>
      </w:r>
      <w:r w:rsidR="0013297E">
        <w:rPr>
          <w:rFonts w:ascii="Book Antiqua" w:hAnsi="Book Antiqua" w:cs="Arial"/>
        </w:rPr>
        <w:t xml:space="preserve">must </w:t>
      </w:r>
      <w:r w:rsidR="00F258CD">
        <w:rPr>
          <w:rFonts w:ascii="Book Antiqua" w:hAnsi="Book Antiqua" w:cs="Arial"/>
        </w:rPr>
        <w:t xml:space="preserve">turn then to </w:t>
      </w:r>
      <w:r w:rsidR="00F04D74">
        <w:rPr>
          <w:rFonts w:ascii="Book Antiqua" w:hAnsi="Book Antiqua" w:cs="Arial"/>
        </w:rPr>
        <w:t>consider the</w:t>
      </w:r>
      <w:r>
        <w:rPr>
          <w:rFonts w:ascii="Book Antiqua" w:hAnsi="Book Antiqua" w:cs="Arial"/>
        </w:rPr>
        <w:t xml:space="preserve"> third and fourth questions.  </w:t>
      </w:r>
    </w:p>
    <w:p w14:paraId="5CD1712F" w14:textId="77777777" w:rsidR="00D94A04" w:rsidRDefault="004A1C49" w:rsidP="00173B0F">
      <w:pPr>
        <w:numPr>
          <w:ilvl w:val="0"/>
          <w:numId w:val="3"/>
        </w:numPr>
        <w:spacing w:before="120" w:after="120"/>
        <w:jc w:val="both"/>
        <w:rPr>
          <w:rFonts w:ascii="Book Antiqua" w:hAnsi="Book Antiqua" w:cs="Arial"/>
        </w:rPr>
      </w:pPr>
      <w:r>
        <w:rPr>
          <w:rFonts w:ascii="Book Antiqua" w:hAnsi="Book Antiqua" w:cs="Arial"/>
        </w:rPr>
        <w:t>T</w:t>
      </w:r>
      <w:r w:rsidR="006A59D2">
        <w:rPr>
          <w:rFonts w:ascii="Book Antiqua" w:hAnsi="Book Antiqua" w:cs="Arial"/>
        </w:rPr>
        <w:t xml:space="preserve">he </w:t>
      </w:r>
      <w:proofErr w:type="spellStart"/>
      <w:r w:rsidR="006A59D2">
        <w:rPr>
          <w:rFonts w:ascii="Book Antiqua" w:hAnsi="Book Antiqua" w:cs="Arial"/>
        </w:rPr>
        <w:t>FtT</w:t>
      </w:r>
      <w:proofErr w:type="spellEnd"/>
      <w:r w:rsidR="006A59D2">
        <w:rPr>
          <w:rFonts w:ascii="Book Antiqua" w:hAnsi="Book Antiqua" w:cs="Arial"/>
        </w:rPr>
        <w:t xml:space="preserve"> </w:t>
      </w:r>
      <w:r>
        <w:rPr>
          <w:rFonts w:ascii="Book Antiqua" w:hAnsi="Book Antiqua" w:cs="Arial"/>
        </w:rPr>
        <w:t xml:space="preserve">did not </w:t>
      </w:r>
      <w:r w:rsidR="00F665BC">
        <w:rPr>
          <w:rFonts w:ascii="Book Antiqua" w:hAnsi="Book Antiqua" w:cs="Arial"/>
        </w:rPr>
        <w:t>consider</w:t>
      </w:r>
      <w:r w:rsidR="006A59D2">
        <w:rPr>
          <w:rFonts w:ascii="Book Antiqua" w:hAnsi="Book Antiqua" w:cs="Arial"/>
        </w:rPr>
        <w:t xml:space="preserve"> the </w:t>
      </w:r>
      <w:r w:rsidR="003829C4">
        <w:rPr>
          <w:rFonts w:ascii="Book Antiqua" w:hAnsi="Book Antiqua" w:cs="Arial"/>
        </w:rPr>
        <w:t xml:space="preserve">issue </w:t>
      </w:r>
      <w:r>
        <w:rPr>
          <w:rFonts w:ascii="Book Antiqua" w:hAnsi="Book Antiqua" w:cs="Arial"/>
        </w:rPr>
        <w:t>of</w:t>
      </w:r>
      <w:r w:rsidR="006A59D2">
        <w:rPr>
          <w:rFonts w:ascii="Book Antiqua" w:hAnsi="Book Antiqua" w:cs="Arial"/>
        </w:rPr>
        <w:t xml:space="preserve"> whether </w:t>
      </w:r>
      <w:r w:rsidR="00D94A04">
        <w:rPr>
          <w:rFonts w:ascii="Book Antiqua" w:hAnsi="Book Antiqua" w:cs="Arial"/>
        </w:rPr>
        <w:t>the</w:t>
      </w:r>
      <w:r w:rsidR="006A59D2">
        <w:rPr>
          <w:rFonts w:ascii="Book Antiqua" w:hAnsi="Book Antiqua" w:cs="Arial"/>
        </w:rPr>
        <w:t xml:space="preserve"> appellant </w:t>
      </w:r>
      <w:r w:rsidR="00D94A04">
        <w:rPr>
          <w:rFonts w:ascii="Book Antiqua" w:hAnsi="Book Antiqua" w:cs="Arial"/>
        </w:rPr>
        <w:t xml:space="preserve">could </w:t>
      </w:r>
      <w:r>
        <w:rPr>
          <w:rFonts w:ascii="Book Antiqua" w:hAnsi="Book Antiqua" w:cs="Arial"/>
        </w:rPr>
        <w:t>giv</w:t>
      </w:r>
      <w:r w:rsidR="00D94A04">
        <w:rPr>
          <w:rFonts w:ascii="Book Antiqua" w:hAnsi="Book Antiqua" w:cs="Arial"/>
        </w:rPr>
        <w:t>e</w:t>
      </w:r>
      <w:r w:rsidR="00F227AD">
        <w:rPr>
          <w:rFonts w:ascii="Book Antiqua" w:hAnsi="Book Antiqua" w:cs="Arial"/>
        </w:rPr>
        <w:t xml:space="preserve"> </w:t>
      </w:r>
      <w:r>
        <w:rPr>
          <w:rFonts w:ascii="Book Antiqua" w:hAnsi="Book Antiqua" w:cs="Arial"/>
        </w:rPr>
        <w:t>oral</w:t>
      </w:r>
      <w:r w:rsidR="006A59D2">
        <w:rPr>
          <w:rFonts w:ascii="Book Antiqua" w:hAnsi="Book Antiqua" w:cs="Arial"/>
        </w:rPr>
        <w:t xml:space="preserve"> evidence </w:t>
      </w:r>
      <w:r>
        <w:rPr>
          <w:rFonts w:ascii="Book Antiqua" w:hAnsi="Book Antiqua" w:cs="Arial"/>
        </w:rPr>
        <w:t>via</w:t>
      </w:r>
      <w:r w:rsidR="006A59D2">
        <w:rPr>
          <w:rFonts w:ascii="Book Antiqua" w:hAnsi="Book Antiqua" w:cs="Arial"/>
        </w:rPr>
        <w:t xml:space="preserve"> video link from Grenada.  As in </w:t>
      </w:r>
      <w:r w:rsidR="006A59D2" w:rsidRPr="004A1C49">
        <w:rPr>
          <w:rFonts w:ascii="Book Antiqua" w:hAnsi="Book Antiqua" w:cs="Arial"/>
          <w:u w:val="single"/>
        </w:rPr>
        <w:t>AJ</w:t>
      </w:r>
      <w:r w:rsidR="006A59D2">
        <w:rPr>
          <w:rFonts w:ascii="Book Antiqua" w:hAnsi="Book Antiqua" w:cs="Arial"/>
        </w:rPr>
        <w:t xml:space="preserve"> there can be no criticism of the </w:t>
      </w:r>
      <w:proofErr w:type="spellStart"/>
      <w:r w:rsidR="00D94A04">
        <w:rPr>
          <w:rFonts w:ascii="Book Antiqua" w:hAnsi="Book Antiqua" w:cs="Arial"/>
        </w:rPr>
        <w:t>FtT</w:t>
      </w:r>
      <w:proofErr w:type="spellEnd"/>
      <w:r w:rsidR="003829C4">
        <w:rPr>
          <w:rFonts w:ascii="Book Antiqua" w:hAnsi="Book Antiqua" w:cs="Arial"/>
        </w:rPr>
        <w:t xml:space="preserve"> in this regard</w:t>
      </w:r>
      <w:r w:rsidR="00D94A04">
        <w:rPr>
          <w:rFonts w:ascii="Book Antiqua" w:hAnsi="Book Antiqua" w:cs="Arial"/>
        </w:rPr>
        <w:t>, given (</w:t>
      </w:r>
      <w:proofErr w:type="spellStart"/>
      <w:r w:rsidR="00D94A04">
        <w:rPr>
          <w:rFonts w:ascii="Book Antiqua" w:hAnsi="Book Antiqua" w:cs="Arial"/>
        </w:rPr>
        <w:t>i</w:t>
      </w:r>
      <w:proofErr w:type="spellEnd"/>
      <w:r w:rsidR="00D94A04">
        <w:rPr>
          <w:rFonts w:ascii="Book Antiqua" w:hAnsi="Book Antiqua" w:cs="Arial"/>
        </w:rPr>
        <w:t xml:space="preserve">) </w:t>
      </w:r>
      <w:r w:rsidR="003829C4">
        <w:rPr>
          <w:rFonts w:ascii="Book Antiqua" w:hAnsi="Book Antiqua" w:cs="Arial"/>
        </w:rPr>
        <w:t xml:space="preserve">that </w:t>
      </w:r>
      <w:r w:rsidR="00D94A04">
        <w:rPr>
          <w:rFonts w:ascii="Book Antiqua" w:hAnsi="Book Antiqua" w:cs="Arial"/>
        </w:rPr>
        <w:t xml:space="preserve">the hearing before the </w:t>
      </w:r>
      <w:proofErr w:type="spellStart"/>
      <w:r w:rsidR="00D94A04">
        <w:rPr>
          <w:rFonts w:ascii="Book Antiqua" w:hAnsi="Book Antiqua" w:cs="Arial"/>
        </w:rPr>
        <w:t>FtT</w:t>
      </w:r>
      <w:proofErr w:type="spellEnd"/>
      <w:r w:rsidR="00D94A04">
        <w:rPr>
          <w:rFonts w:ascii="Book Antiqua" w:hAnsi="Book Antiqua" w:cs="Arial"/>
        </w:rPr>
        <w:t xml:space="preserve"> pre-dated the Supreme Court’s judgment </w:t>
      </w:r>
      <w:r w:rsidR="006A59D2">
        <w:rPr>
          <w:rFonts w:ascii="Book Antiqua" w:hAnsi="Book Antiqua" w:cs="Arial"/>
        </w:rPr>
        <w:t xml:space="preserve">in </w:t>
      </w:r>
      <w:proofErr w:type="spellStart"/>
      <w:r w:rsidR="006A59D2" w:rsidRPr="006A59D2">
        <w:rPr>
          <w:rFonts w:ascii="Book Antiqua" w:hAnsi="Book Antiqua" w:cs="Arial"/>
          <w:u w:val="single"/>
        </w:rPr>
        <w:t>Kiarie</w:t>
      </w:r>
      <w:proofErr w:type="spellEnd"/>
      <w:r w:rsidR="006A59D2" w:rsidRPr="006A59D2">
        <w:rPr>
          <w:rFonts w:ascii="Book Antiqua" w:hAnsi="Book Antiqua" w:cs="Arial"/>
          <w:u w:val="single"/>
        </w:rPr>
        <w:t xml:space="preserve"> &amp; </w:t>
      </w:r>
      <w:proofErr w:type="spellStart"/>
      <w:r w:rsidR="006A59D2" w:rsidRPr="006A59D2">
        <w:rPr>
          <w:rFonts w:ascii="Book Antiqua" w:hAnsi="Book Antiqua" w:cs="Arial"/>
          <w:u w:val="single"/>
        </w:rPr>
        <w:t>Byndloss</w:t>
      </w:r>
      <w:proofErr w:type="spellEnd"/>
      <w:r w:rsidR="00D94A04">
        <w:rPr>
          <w:rFonts w:ascii="Book Antiqua" w:hAnsi="Book Antiqua" w:cs="Arial"/>
        </w:rPr>
        <w:t xml:space="preserve"> (ii) the terms of then binding judgment of the Court of Appeal in </w:t>
      </w:r>
      <w:r w:rsidR="00D94A04">
        <w:rPr>
          <w:rFonts w:ascii="Book Antiqua" w:hAnsi="Book Antiqua" w:cs="Arial"/>
        </w:rPr>
        <w:lastRenderedPageBreak/>
        <w:t>that case and (iii) th</w:t>
      </w:r>
      <w:r w:rsidR="003829C4">
        <w:rPr>
          <w:rFonts w:ascii="Book Antiqua" w:hAnsi="Book Antiqua" w:cs="Arial"/>
        </w:rPr>
        <w:t xml:space="preserve">at the legally represented appellant </w:t>
      </w:r>
      <w:r w:rsidR="00D94A04">
        <w:rPr>
          <w:rFonts w:ascii="Book Antiqua" w:hAnsi="Book Antiqua" w:cs="Arial"/>
        </w:rPr>
        <w:t xml:space="preserve">did not make an application for such evidence to be provided. Despite this, it not in dispute </w:t>
      </w:r>
      <w:r w:rsidR="006A59D2">
        <w:rPr>
          <w:rFonts w:ascii="Book Antiqua" w:hAnsi="Book Antiqua" w:cs="Arial"/>
        </w:rPr>
        <w:t xml:space="preserve">that </w:t>
      </w:r>
      <w:r w:rsidR="00D94A04">
        <w:rPr>
          <w:rFonts w:ascii="Book Antiqua" w:hAnsi="Book Antiqua" w:cs="Arial"/>
        </w:rPr>
        <w:t xml:space="preserve">the </w:t>
      </w:r>
      <w:proofErr w:type="spellStart"/>
      <w:r w:rsidR="00D94A04">
        <w:rPr>
          <w:rFonts w:ascii="Book Antiqua" w:hAnsi="Book Antiqua" w:cs="Arial"/>
        </w:rPr>
        <w:t>FtT</w:t>
      </w:r>
      <w:proofErr w:type="spellEnd"/>
      <w:r w:rsidR="006A59D2">
        <w:rPr>
          <w:rFonts w:ascii="Book Antiqua" w:hAnsi="Book Antiqua" w:cs="Arial"/>
        </w:rPr>
        <w:t xml:space="preserve"> </w:t>
      </w:r>
      <w:r w:rsidR="00D94A04">
        <w:rPr>
          <w:rFonts w:ascii="Book Antiqua" w:hAnsi="Book Antiqua" w:cs="Arial"/>
        </w:rPr>
        <w:t>were required to</w:t>
      </w:r>
      <w:r w:rsidR="006A59D2">
        <w:rPr>
          <w:rFonts w:ascii="Book Antiqua" w:hAnsi="Book Antiqua" w:cs="Arial"/>
        </w:rPr>
        <w:t xml:space="preserve"> </w:t>
      </w:r>
      <w:r w:rsidR="00D94A04">
        <w:rPr>
          <w:rFonts w:ascii="Book Antiqua" w:hAnsi="Book Antiqua" w:cs="Arial"/>
        </w:rPr>
        <w:t>consider such issue</w:t>
      </w:r>
      <w:r w:rsidR="003829C4">
        <w:rPr>
          <w:rFonts w:ascii="Book Antiqua" w:hAnsi="Book Antiqua" w:cs="Arial"/>
        </w:rPr>
        <w:t xml:space="preserve"> and erred in failing to do so</w:t>
      </w:r>
      <w:r w:rsidR="00D94A04">
        <w:rPr>
          <w:rFonts w:ascii="Book Antiqua" w:hAnsi="Book Antiqua" w:cs="Arial"/>
        </w:rPr>
        <w:t xml:space="preserve">. </w:t>
      </w:r>
    </w:p>
    <w:p w14:paraId="69EFFA9A" w14:textId="77777777" w:rsidR="00CA04CE" w:rsidRDefault="003D23D7" w:rsidP="00173B0F">
      <w:pPr>
        <w:numPr>
          <w:ilvl w:val="0"/>
          <w:numId w:val="3"/>
        </w:numPr>
        <w:spacing w:before="120" w:after="120"/>
        <w:jc w:val="both"/>
        <w:rPr>
          <w:rFonts w:ascii="Book Antiqua" w:hAnsi="Book Antiqua" w:cs="Arial"/>
        </w:rPr>
      </w:pPr>
      <w:r>
        <w:rPr>
          <w:rFonts w:ascii="Book Antiqua" w:hAnsi="Book Antiqua" w:cs="Arial"/>
        </w:rPr>
        <w:t xml:space="preserve">The disagreement between the parties before me revolves around whether the </w:t>
      </w:r>
      <w:proofErr w:type="spellStart"/>
      <w:r>
        <w:rPr>
          <w:rFonts w:ascii="Book Antiqua" w:hAnsi="Book Antiqua" w:cs="Arial"/>
        </w:rPr>
        <w:t>FtT’s</w:t>
      </w:r>
      <w:proofErr w:type="spellEnd"/>
      <w:r>
        <w:rPr>
          <w:rFonts w:ascii="Book Antiqua" w:hAnsi="Book Antiqua" w:cs="Arial"/>
        </w:rPr>
        <w:t xml:space="preserve"> failure was one capable of affecting the outcome of the appeal. </w:t>
      </w:r>
      <w:r w:rsidR="00CA04CE">
        <w:rPr>
          <w:rFonts w:ascii="Book Antiqua" w:hAnsi="Book Antiqua" w:cs="Arial"/>
        </w:rPr>
        <w:t xml:space="preserve">Mr Haywood submits that the failure of the </w:t>
      </w:r>
      <w:proofErr w:type="spellStart"/>
      <w:r w:rsidR="00CA04CE">
        <w:rPr>
          <w:rFonts w:ascii="Book Antiqua" w:hAnsi="Book Antiqua" w:cs="Arial"/>
        </w:rPr>
        <w:t>FtT</w:t>
      </w:r>
      <w:proofErr w:type="spellEnd"/>
      <w:r w:rsidR="00CA04CE">
        <w:rPr>
          <w:rFonts w:ascii="Book Antiqua" w:hAnsi="Book Antiqua" w:cs="Arial"/>
        </w:rPr>
        <w:t xml:space="preserve"> to consider whether the appellant should give oral</w:t>
      </w:r>
      <w:r>
        <w:rPr>
          <w:rFonts w:ascii="Book Antiqua" w:hAnsi="Book Antiqua" w:cs="Arial"/>
        </w:rPr>
        <w:t xml:space="preserve"> evidence is,</w:t>
      </w:r>
      <w:r w:rsidR="00CA04CE">
        <w:rPr>
          <w:rFonts w:ascii="Book Antiqua" w:hAnsi="Book Antiqua" w:cs="Arial"/>
        </w:rPr>
        <w:t xml:space="preserve"> </w:t>
      </w:r>
      <w:r>
        <w:rPr>
          <w:rFonts w:ascii="Book Antiqua" w:hAnsi="Book Antiqua" w:cs="Arial"/>
          <w:i/>
        </w:rPr>
        <w:t>p</w:t>
      </w:r>
      <w:r w:rsidR="00CA04CE">
        <w:rPr>
          <w:rFonts w:ascii="Book Antiqua" w:hAnsi="Book Antiqua" w:cs="Arial"/>
          <w:i/>
        </w:rPr>
        <w:t xml:space="preserve">er </w:t>
      </w:r>
      <w:r w:rsidR="00CA04CE" w:rsidRPr="00CA04CE">
        <w:rPr>
          <w:rFonts w:ascii="Book Antiqua" w:hAnsi="Book Antiqua" w:cs="Arial"/>
        </w:rPr>
        <w:t>se</w:t>
      </w:r>
      <w:r w:rsidR="00CA04CE">
        <w:rPr>
          <w:rFonts w:ascii="Book Antiqua" w:hAnsi="Book Antiqua" w:cs="Arial"/>
        </w:rPr>
        <w:t xml:space="preserve">, </w:t>
      </w:r>
      <w:r w:rsidR="00CA04CE" w:rsidRPr="00CA04CE">
        <w:rPr>
          <w:rFonts w:ascii="Book Antiqua" w:hAnsi="Book Antiqua" w:cs="Arial"/>
        </w:rPr>
        <w:t>sufficient</w:t>
      </w:r>
      <w:r w:rsidR="00CA04CE">
        <w:rPr>
          <w:rFonts w:ascii="Book Antiqua" w:hAnsi="Book Antiqua" w:cs="Arial"/>
        </w:rPr>
        <w:t xml:space="preserve"> to render its decision unlawful for procedural unfairness and/or a breach of Article 8.  In the alternative, he submits that the </w:t>
      </w:r>
      <w:proofErr w:type="spellStart"/>
      <w:r w:rsidR="00CA04CE">
        <w:rPr>
          <w:rFonts w:ascii="Book Antiqua" w:hAnsi="Book Antiqua" w:cs="Arial"/>
        </w:rPr>
        <w:t>FtT</w:t>
      </w:r>
      <w:proofErr w:type="spellEnd"/>
      <w:r w:rsidR="00CA04CE">
        <w:rPr>
          <w:rFonts w:ascii="Book Antiqua" w:hAnsi="Book Antiqua" w:cs="Arial"/>
        </w:rPr>
        <w:t xml:space="preserve"> was wrong in its conclusion and its reasoning in relation to the issue of integration and that such error is not rendered immaterial simply by the fact that the appellant </w:t>
      </w:r>
      <w:r w:rsidR="00984C9C">
        <w:rPr>
          <w:rFonts w:ascii="Book Antiqua" w:hAnsi="Book Antiqua" w:cs="Arial"/>
        </w:rPr>
        <w:t>must</w:t>
      </w:r>
      <w:r w:rsidR="00CA04CE">
        <w:rPr>
          <w:rFonts w:ascii="Book Antiqua" w:hAnsi="Book Antiqua" w:cs="Arial"/>
        </w:rPr>
        <w:t xml:space="preserve"> establish very compelling circumstances over and above those identified in </w:t>
      </w:r>
      <w:r>
        <w:rPr>
          <w:rFonts w:ascii="Book Antiqua" w:hAnsi="Book Antiqua" w:cs="Arial"/>
        </w:rPr>
        <w:t xml:space="preserve">the relevant provisions of </w:t>
      </w:r>
      <w:r w:rsidR="00CA04CE">
        <w:rPr>
          <w:rFonts w:ascii="Book Antiqua" w:hAnsi="Book Antiqua" w:cs="Arial"/>
        </w:rPr>
        <w:t xml:space="preserve">paragraph 399 of the Rules and section 117C of the 2002 Act. The features of these exceptions, even if not satisfied in full, play an integral part in the consideration of whether there are very compelling circumstances; thus, any error in the </w:t>
      </w:r>
      <w:r>
        <w:rPr>
          <w:rFonts w:ascii="Book Antiqua" w:hAnsi="Book Antiqua" w:cs="Arial"/>
        </w:rPr>
        <w:t xml:space="preserve">assessment </w:t>
      </w:r>
      <w:r w:rsidR="00CA04CE">
        <w:rPr>
          <w:rFonts w:ascii="Book Antiqua" w:hAnsi="Book Antiqua" w:cs="Arial"/>
        </w:rPr>
        <w:t>of whether</w:t>
      </w:r>
      <w:r>
        <w:rPr>
          <w:rFonts w:ascii="Book Antiqua" w:hAnsi="Book Antiqua" w:cs="Arial"/>
        </w:rPr>
        <w:t xml:space="preserve"> an</w:t>
      </w:r>
      <w:r w:rsidR="00CA04CE">
        <w:rPr>
          <w:rFonts w:ascii="Book Antiqua" w:hAnsi="Book Antiqua" w:cs="Arial"/>
        </w:rPr>
        <w:t xml:space="preserve"> exception is made </w:t>
      </w:r>
      <w:r>
        <w:rPr>
          <w:rFonts w:ascii="Book Antiqua" w:hAnsi="Book Antiqua" w:cs="Arial"/>
        </w:rPr>
        <w:t>out must necessarily impact on the</w:t>
      </w:r>
      <w:r w:rsidR="00CA04CE">
        <w:rPr>
          <w:rFonts w:ascii="Book Antiqua" w:hAnsi="Book Antiqua" w:cs="Arial"/>
        </w:rPr>
        <w:t xml:space="preserve"> lawful</w:t>
      </w:r>
      <w:r>
        <w:rPr>
          <w:rFonts w:ascii="Book Antiqua" w:hAnsi="Book Antiqua" w:cs="Arial"/>
        </w:rPr>
        <w:t>ness of the</w:t>
      </w:r>
      <w:r w:rsidR="00CA04CE">
        <w:rPr>
          <w:rFonts w:ascii="Book Antiqua" w:hAnsi="Book Antiqua" w:cs="Arial"/>
        </w:rPr>
        <w:t xml:space="preserve"> assessment of whether there are very compelling circumst</w:t>
      </w:r>
      <w:r>
        <w:rPr>
          <w:rFonts w:ascii="Book Antiqua" w:hAnsi="Book Antiqua" w:cs="Arial"/>
        </w:rPr>
        <w:t>ances over and above those circumstances identified</w:t>
      </w:r>
      <w:r w:rsidR="00CA04CE">
        <w:rPr>
          <w:rFonts w:ascii="Book Antiqua" w:hAnsi="Book Antiqua" w:cs="Arial"/>
        </w:rPr>
        <w:t xml:space="preserve"> in the exceptions.</w:t>
      </w:r>
    </w:p>
    <w:p w14:paraId="366DE0AE" w14:textId="77777777" w:rsidR="00D43226" w:rsidRPr="003D23D7" w:rsidRDefault="003D23D7" w:rsidP="003D23D7">
      <w:pPr>
        <w:numPr>
          <w:ilvl w:val="0"/>
          <w:numId w:val="3"/>
        </w:numPr>
        <w:spacing w:before="120" w:after="120"/>
        <w:jc w:val="both"/>
        <w:rPr>
          <w:rFonts w:ascii="Book Antiqua" w:hAnsi="Book Antiqua" w:cs="Arial"/>
        </w:rPr>
      </w:pPr>
      <w:r>
        <w:rPr>
          <w:rFonts w:ascii="Book Antiqua" w:hAnsi="Book Antiqua" w:cs="Arial"/>
        </w:rPr>
        <w:t xml:space="preserve">In response, </w:t>
      </w:r>
      <w:r w:rsidR="006A59D2">
        <w:rPr>
          <w:rFonts w:ascii="Book Antiqua" w:hAnsi="Book Antiqua" w:cs="Arial"/>
        </w:rPr>
        <w:t>Mr Wilding points to the fact that seven witnesses gave evidence on the appellant’s behalf and</w:t>
      </w:r>
      <w:r w:rsidR="003829C4">
        <w:rPr>
          <w:rFonts w:ascii="Book Antiqua" w:hAnsi="Book Antiqua" w:cs="Arial"/>
        </w:rPr>
        <w:t xml:space="preserve"> that</w:t>
      </w:r>
      <w:r w:rsidR="006A59D2">
        <w:rPr>
          <w:rFonts w:ascii="Book Antiqua" w:hAnsi="Book Antiqua" w:cs="Arial"/>
        </w:rPr>
        <w:t xml:space="preserve"> the appellant produced a </w:t>
      </w:r>
      <w:r w:rsidR="00F665BC">
        <w:rPr>
          <w:rFonts w:ascii="Book Antiqua" w:hAnsi="Book Antiqua" w:cs="Arial"/>
        </w:rPr>
        <w:t xml:space="preserve">detailed </w:t>
      </w:r>
      <w:r w:rsidR="006A59D2">
        <w:rPr>
          <w:rFonts w:ascii="Book Antiqua" w:hAnsi="Book Antiqua" w:cs="Arial"/>
        </w:rPr>
        <w:t xml:space="preserve">statement </w:t>
      </w:r>
      <w:r w:rsidR="00F665BC">
        <w:rPr>
          <w:rFonts w:ascii="Book Antiqua" w:hAnsi="Book Antiqua" w:cs="Arial"/>
        </w:rPr>
        <w:t>before</w:t>
      </w:r>
      <w:r w:rsidR="006A59D2">
        <w:rPr>
          <w:rFonts w:ascii="Book Antiqua" w:hAnsi="Book Antiqua" w:cs="Arial"/>
        </w:rPr>
        <w:t xml:space="preserve"> the </w:t>
      </w:r>
      <w:proofErr w:type="spellStart"/>
      <w:r w:rsidR="006A59D2">
        <w:rPr>
          <w:rFonts w:ascii="Book Antiqua" w:hAnsi="Book Antiqua" w:cs="Arial"/>
        </w:rPr>
        <w:t>FtT</w:t>
      </w:r>
      <w:proofErr w:type="spellEnd"/>
      <w:r w:rsidR="006A59D2">
        <w:rPr>
          <w:rFonts w:ascii="Book Antiqua" w:hAnsi="Book Antiqua" w:cs="Arial"/>
        </w:rPr>
        <w:t xml:space="preserve"> which has not been the subject of advers</w:t>
      </w:r>
      <w:r w:rsidR="003829C4">
        <w:rPr>
          <w:rFonts w:ascii="Book Antiqua" w:hAnsi="Book Antiqua" w:cs="Arial"/>
        </w:rPr>
        <w:t>e credibility findings.  He asserts</w:t>
      </w:r>
      <w:r w:rsidR="006A59D2">
        <w:rPr>
          <w:rFonts w:ascii="Book Antiqua" w:hAnsi="Book Antiqua" w:cs="Arial"/>
        </w:rPr>
        <w:t xml:space="preserve"> that in such circumstances there is nothing the appellant could have said in evidence to persuade the </w:t>
      </w:r>
      <w:proofErr w:type="spellStart"/>
      <w:r w:rsidR="006A59D2">
        <w:rPr>
          <w:rFonts w:ascii="Book Antiqua" w:hAnsi="Book Antiqua" w:cs="Arial"/>
        </w:rPr>
        <w:t>FtT</w:t>
      </w:r>
      <w:proofErr w:type="spellEnd"/>
      <w:r w:rsidR="006A59D2">
        <w:rPr>
          <w:rFonts w:ascii="Book Antiqua" w:hAnsi="Book Antiqua" w:cs="Arial"/>
        </w:rPr>
        <w:t xml:space="preserve"> to come to a different decision than it did. </w:t>
      </w:r>
      <w:r w:rsidR="00F665BC">
        <w:rPr>
          <w:rFonts w:ascii="Book Antiqua" w:hAnsi="Book Antiqua" w:cs="Arial"/>
        </w:rPr>
        <w:t xml:space="preserve">The </w:t>
      </w:r>
      <w:proofErr w:type="spellStart"/>
      <w:r w:rsidR="00F665BC">
        <w:rPr>
          <w:rFonts w:ascii="Book Antiqua" w:hAnsi="Book Antiqua" w:cs="Arial"/>
        </w:rPr>
        <w:t>FtT</w:t>
      </w:r>
      <w:proofErr w:type="spellEnd"/>
      <w:r w:rsidR="006A59D2">
        <w:rPr>
          <w:rFonts w:ascii="Book Antiqua" w:hAnsi="Book Antiqua" w:cs="Arial"/>
        </w:rPr>
        <w:t xml:space="preserve"> took the appellant’s evidence at its zenith and</w:t>
      </w:r>
      <w:r w:rsidR="00F665BC">
        <w:rPr>
          <w:rFonts w:ascii="Book Antiqua" w:hAnsi="Book Antiqua" w:cs="Arial"/>
        </w:rPr>
        <w:t>,</w:t>
      </w:r>
      <w:r w:rsidR="006A59D2">
        <w:rPr>
          <w:rFonts w:ascii="Book Antiqua" w:hAnsi="Book Antiqua" w:cs="Arial"/>
        </w:rPr>
        <w:t xml:space="preserve"> nevertheless</w:t>
      </w:r>
      <w:r w:rsidR="00F665BC">
        <w:rPr>
          <w:rFonts w:ascii="Book Antiqua" w:hAnsi="Book Antiqua" w:cs="Arial"/>
        </w:rPr>
        <w:t>,</w:t>
      </w:r>
      <w:r w:rsidR="006A59D2">
        <w:rPr>
          <w:rFonts w:ascii="Book Antiqua" w:hAnsi="Book Antiqua" w:cs="Arial"/>
        </w:rPr>
        <w:t xml:space="preserve"> concluded that</w:t>
      </w:r>
      <w:r w:rsidR="003829C4">
        <w:rPr>
          <w:rFonts w:ascii="Book Antiqua" w:hAnsi="Book Antiqua" w:cs="Arial"/>
        </w:rPr>
        <w:t xml:space="preserve"> the appeal could not succeed. </w:t>
      </w:r>
      <w:r w:rsidR="006A59D2">
        <w:rPr>
          <w:rFonts w:ascii="Book Antiqua" w:hAnsi="Book Antiqua" w:cs="Arial"/>
        </w:rPr>
        <w:t xml:space="preserve">Mr Wilding </w:t>
      </w:r>
      <w:r w:rsidR="00F665BC">
        <w:rPr>
          <w:rFonts w:ascii="Book Antiqua" w:hAnsi="Book Antiqua" w:cs="Arial"/>
        </w:rPr>
        <w:t xml:space="preserve">further </w:t>
      </w:r>
      <w:r w:rsidR="003829C4">
        <w:rPr>
          <w:rFonts w:ascii="Book Antiqua" w:hAnsi="Book Antiqua" w:cs="Arial"/>
        </w:rPr>
        <w:t xml:space="preserve">submits in the </w:t>
      </w:r>
      <w:r w:rsidR="00F665BC">
        <w:rPr>
          <w:rFonts w:ascii="Book Antiqua" w:hAnsi="Book Antiqua" w:cs="Arial"/>
        </w:rPr>
        <w:t>alternative that</w:t>
      </w:r>
      <w:r w:rsidR="003829C4">
        <w:rPr>
          <w:rFonts w:ascii="Book Antiqua" w:hAnsi="Book Antiqua" w:cs="Arial"/>
        </w:rPr>
        <w:t xml:space="preserve"> this is not an appeal which can</w:t>
      </w:r>
      <w:r w:rsidR="006A59D2">
        <w:rPr>
          <w:rFonts w:ascii="Book Antiqua" w:hAnsi="Book Antiqua" w:cs="Arial"/>
        </w:rPr>
        <w:t xml:space="preserve"> </w:t>
      </w:r>
      <w:r w:rsidR="003829C4">
        <w:rPr>
          <w:rFonts w:ascii="Book Antiqua" w:hAnsi="Book Antiqua" w:cs="Arial"/>
        </w:rPr>
        <w:t xml:space="preserve">ever be </w:t>
      </w:r>
      <w:r w:rsidR="006A59D2">
        <w:rPr>
          <w:rFonts w:ascii="Book Antiqua" w:hAnsi="Book Antiqua" w:cs="Arial"/>
        </w:rPr>
        <w:t>capable of succeeding</w:t>
      </w:r>
      <w:r w:rsidR="00F665BC">
        <w:rPr>
          <w:rFonts w:ascii="Book Antiqua" w:hAnsi="Book Antiqua" w:cs="Arial"/>
        </w:rPr>
        <w:t>,</w:t>
      </w:r>
      <w:r w:rsidR="006A59D2">
        <w:rPr>
          <w:rFonts w:ascii="Book Antiqua" w:hAnsi="Book Antiqua" w:cs="Arial"/>
        </w:rPr>
        <w:t xml:space="preserve"> given the weight to be attached to the public interest </w:t>
      </w:r>
      <w:r w:rsidR="003829C4">
        <w:rPr>
          <w:rFonts w:ascii="Book Antiqua" w:hAnsi="Book Antiqua" w:cs="Arial"/>
        </w:rPr>
        <w:t xml:space="preserve">as a consequence </w:t>
      </w:r>
      <w:r w:rsidR="00F665BC">
        <w:rPr>
          <w:rFonts w:ascii="Book Antiqua" w:hAnsi="Book Antiqua" w:cs="Arial"/>
        </w:rPr>
        <w:t xml:space="preserve">the </w:t>
      </w:r>
      <w:r w:rsidR="003829C4">
        <w:rPr>
          <w:rFonts w:ascii="Book Antiqua" w:hAnsi="Book Antiqua" w:cs="Arial"/>
        </w:rPr>
        <w:t>five-</w:t>
      </w:r>
      <w:r w:rsidR="006A59D2">
        <w:rPr>
          <w:rFonts w:ascii="Book Antiqua" w:hAnsi="Book Antiqua" w:cs="Arial"/>
        </w:rPr>
        <w:t>year prison</w:t>
      </w:r>
      <w:r w:rsidR="00F665BC">
        <w:rPr>
          <w:rFonts w:ascii="Book Antiqua" w:hAnsi="Book Antiqua" w:cs="Arial"/>
        </w:rPr>
        <w:t xml:space="preserve"> sentence</w:t>
      </w:r>
      <w:r w:rsidR="006A59D2">
        <w:rPr>
          <w:rFonts w:ascii="Book Antiqua" w:hAnsi="Book Antiqua" w:cs="Arial"/>
        </w:rPr>
        <w:t xml:space="preserve">.  He </w:t>
      </w:r>
      <w:r w:rsidR="00F665BC">
        <w:rPr>
          <w:rFonts w:ascii="Book Antiqua" w:hAnsi="Book Antiqua" w:cs="Arial"/>
        </w:rPr>
        <w:t>also</w:t>
      </w:r>
      <w:r w:rsidR="006A59D2">
        <w:rPr>
          <w:rFonts w:ascii="Book Antiqua" w:hAnsi="Book Antiqua" w:cs="Arial"/>
        </w:rPr>
        <w:t xml:space="preserve"> points to the fact that the issue of integration</w:t>
      </w:r>
      <w:r w:rsidR="00F665BC">
        <w:rPr>
          <w:rFonts w:ascii="Book Antiqua" w:hAnsi="Book Antiqua" w:cs="Arial"/>
        </w:rPr>
        <w:t xml:space="preserve"> – which crosses over into the second ground -  </w:t>
      </w:r>
      <w:r w:rsidR="006A59D2">
        <w:rPr>
          <w:rFonts w:ascii="Book Antiqua" w:hAnsi="Book Antiqua" w:cs="Arial"/>
        </w:rPr>
        <w:t xml:space="preserve">relates </w:t>
      </w:r>
      <w:r w:rsidR="003829C4">
        <w:rPr>
          <w:rFonts w:ascii="Book Antiqua" w:hAnsi="Book Antiqua" w:cs="Arial"/>
        </w:rPr>
        <w:t xml:space="preserve">to </w:t>
      </w:r>
      <w:r w:rsidR="00F665BC">
        <w:rPr>
          <w:rFonts w:ascii="Book Antiqua" w:hAnsi="Book Antiqua" w:cs="Arial"/>
        </w:rPr>
        <w:t>one of</w:t>
      </w:r>
      <w:r w:rsidR="006A59D2">
        <w:rPr>
          <w:rFonts w:ascii="Book Antiqua" w:hAnsi="Book Antiqua" w:cs="Arial"/>
        </w:rPr>
        <w:t xml:space="preserve"> the exceptions under paragraph 39</w:t>
      </w:r>
      <w:r w:rsidR="00D93C94">
        <w:rPr>
          <w:rFonts w:ascii="Book Antiqua" w:hAnsi="Book Antiqua" w:cs="Arial"/>
        </w:rPr>
        <w:t>9 of the Immigration Rules and s</w:t>
      </w:r>
      <w:r w:rsidR="006A59D2">
        <w:rPr>
          <w:rFonts w:ascii="Book Antiqua" w:hAnsi="Book Antiqua" w:cs="Arial"/>
        </w:rPr>
        <w:t>ection 117C of the 2002 Act</w:t>
      </w:r>
      <w:r w:rsidR="00CA04CE">
        <w:rPr>
          <w:rFonts w:ascii="Book Antiqua" w:hAnsi="Book Antiqua" w:cs="Arial"/>
        </w:rPr>
        <w:t xml:space="preserve"> and submits</w:t>
      </w:r>
      <w:r w:rsidR="00B7726E">
        <w:rPr>
          <w:rFonts w:ascii="Book Antiqua" w:hAnsi="Book Antiqua" w:cs="Arial"/>
        </w:rPr>
        <w:t xml:space="preserve"> that</w:t>
      </w:r>
      <w:r w:rsidR="00F665BC">
        <w:rPr>
          <w:rFonts w:ascii="Book Antiqua" w:hAnsi="Book Antiqua" w:cs="Arial"/>
        </w:rPr>
        <w:t xml:space="preserve"> </w:t>
      </w:r>
      <w:r w:rsidR="00B7726E">
        <w:rPr>
          <w:rFonts w:ascii="Book Antiqua" w:hAnsi="Book Antiqua" w:cs="Arial"/>
        </w:rPr>
        <w:t>e</w:t>
      </w:r>
      <w:r w:rsidR="006A59D2">
        <w:rPr>
          <w:rFonts w:ascii="Book Antiqua" w:hAnsi="Book Antiqua" w:cs="Arial"/>
        </w:rPr>
        <w:t xml:space="preserve">ven if the appellant were to </w:t>
      </w:r>
      <w:r w:rsidR="00CA04CE">
        <w:rPr>
          <w:rFonts w:ascii="Book Antiqua" w:hAnsi="Book Antiqua" w:cs="Arial"/>
        </w:rPr>
        <w:t xml:space="preserve">make out </w:t>
      </w:r>
      <w:r w:rsidR="006A59D2">
        <w:rPr>
          <w:rFonts w:ascii="Book Antiqua" w:hAnsi="Book Antiqua" w:cs="Arial"/>
        </w:rPr>
        <w:t>th</w:t>
      </w:r>
      <w:r w:rsidR="00F665BC">
        <w:rPr>
          <w:rFonts w:ascii="Book Antiqua" w:hAnsi="Book Antiqua" w:cs="Arial"/>
        </w:rPr>
        <w:t>is</w:t>
      </w:r>
      <w:r w:rsidR="006A59D2">
        <w:rPr>
          <w:rFonts w:ascii="Book Antiqua" w:hAnsi="Book Antiqua" w:cs="Arial"/>
        </w:rPr>
        <w:t xml:space="preserve"> exception he c</w:t>
      </w:r>
      <w:r w:rsidR="00F227AD">
        <w:rPr>
          <w:rFonts w:ascii="Book Antiqua" w:hAnsi="Book Antiqua" w:cs="Arial"/>
        </w:rPr>
        <w:t>ould still not succeed</w:t>
      </w:r>
      <w:r w:rsidR="00F665BC">
        <w:rPr>
          <w:rFonts w:ascii="Book Antiqua" w:hAnsi="Book Antiqua" w:cs="Arial"/>
        </w:rPr>
        <w:t xml:space="preserve"> in his appeal</w:t>
      </w:r>
      <w:r w:rsidR="00F227AD">
        <w:rPr>
          <w:rFonts w:ascii="Book Antiqua" w:hAnsi="Book Antiqua" w:cs="Arial"/>
        </w:rPr>
        <w:t xml:space="preserve"> unless </w:t>
      </w:r>
      <w:r w:rsidR="006A59D2">
        <w:rPr>
          <w:rFonts w:ascii="Book Antiqua" w:hAnsi="Book Antiqua" w:cs="Arial"/>
        </w:rPr>
        <w:t>he</w:t>
      </w:r>
      <w:r w:rsidR="00CA04CE">
        <w:rPr>
          <w:rFonts w:ascii="Book Antiqua" w:hAnsi="Book Antiqua" w:cs="Arial"/>
        </w:rPr>
        <w:t xml:space="preserve"> is able to show</w:t>
      </w:r>
      <w:r w:rsidR="006A59D2">
        <w:rPr>
          <w:rFonts w:ascii="Book Antiqua" w:hAnsi="Book Antiqua" w:cs="Arial"/>
        </w:rPr>
        <w:t xml:space="preserve"> </w:t>
      </w:r>
      <w:r w:rsidR="00F227AD">
        <w:rPr>
          <w:rFonts w:ascii="Book Antiqua" w:hAnsi="Book Antiqua" w:cs="Arial"/>
        </w:rPr>
        <w:t xml:space="preserve">that </w:t>
      </w:r>
      <w:r w:rsidR="006A59D2">
        <w:rPr>
          <w:rFonts w:ascii="Book Antiqua" w:hAnsi="Book Antiqua" w:cs="Arial"/>
        </w:rPr>
        <w:t xml:space="preserve">there are very compelling circumstances, over and above those described in </w:t>
      </w:r>
      <w:r w:rsidR="00641084">
        <w:rPr>
          <w:rFonts w:ascii="Book Antiqua" w:hAnsi="Book Antiqua" w:cs="Arial"/>
        </w:rPr>
        <w:t xml:space="preserve">the exception. </w:t>
      </w:r>
      <w:r w:rsidR="00CA04CE">
        <w:rPr>
          <w:rFonts w:ascii="Book Antiqua" w:hAnsi="Book Antiqua" w:cs="Arial"/>
        </w:rPr>
        <w:t>He cannot do so even on his case taken at its absolute highest.</w:t>
      </w:r>
    </w:p>
    <w:p w14:paraId="30513AEB" w14:textId="77777777" w:rsidR="006D75C5" w:rsidRDefault="00641084" w:rsidP="006D75C5">
      <w:pPr>
        <w:numPr>
          <w:ilvl w:val="0"/>
          <w:numId w:val="3"/>
        </w:numPr>
        <w:spacing w:before="120" w:after="120"/>
        <w:jc w:val="both"/>
        <w:rPr>
          <w:rFonts w:ascii="Book Antiqua" w:hAnsi="Book Antiqua" w:cs="Arial"/>
        </w:rPr>
      </w:pPr>
      <w:r>
        <w:rPr>
          <w:rFonts w:ascii="Book Antiqua" w:hAnsi="Book Antiqua" w:cs="Arial"/>
        </w:rPr>
        <w:t xml:space="preserve">I do not accept </w:t>
      </w:r>
      <w:r w:rsidR="00161B19">
        <w:rPr>
          <w:rFonts w:ascii="Book Antiqua" w:hAnsi="Book Antiqua" w:cs="Arial"/>
        </w:rPr>
        <w:t>Mr Haywood’s submission that</w:t>
      </w:r>
      <w:r w:rsidR="00097C70">
        <w:rPr>
          <w:rFonts w:ascii="Book Antiqua" w:hAnsi="Book Antiqua" w:cs="Arial"/>
        </w:rPr>
        <w:t xml:space="preserve"> </w:t>
      </w:r>
      <w:r w:rsidR="00161B19">
        <w:rPr>
          <w:rFonts w:ascii="Book Antiqua" w:hAnsi="Book Antiqua" w:cs="Arial"/>
        </w:rPr>
        <w:t xml:space="preserve">the </w:t>
      </w:r>
      <w:proofErr w:type="spellStart"/>
      <w:r w:rsidR="00161B19">
        <w:rPr>
          <w:rFonts w:ascii="Book Antiqua" w:hAnsi="Book Antiqua" w:cs="Arial"/>
        </w:rPr>
        <w:t>FtT</w:t>
      </w:r>
      <w:r w:rsidR="00B7726E">
        <w:rPr>
          <w:rFonts w:ascii="Book Antiqua" w:hAnsi="Book Antiqua" w:cs="Arial"/>
        </w:rPr>
        <w:t>’s</w:t>
      </w:r>
      <w:proofErr w:type="spellEnd"/>
      <w:r w:rsidR="00161B19">
        <w:rPr>
          <w:rFonts w:ascii="Book Antiqua" w:hAnsi="Book Antiqua" w:cs="Arial"/>
        </w:rPr>
        <w:t xml:space="preserve"> failure to consider whether the appellant should give oral evidence </w:t>
      </w:r>
      <w:r w:rsidR="00097C70">
        <w:rPr>
          <w:rFonts w:ascii="Book Antiqua" w:hAnsi="Book Antiqua" w:cs="Arial"/>
        </w:rPr>
        <w:t xml:space="preserve">leads inexorably to the conclusion that its decision should be set aside. There needs to be some analysis of the potential impact of such failure on the </w:t>
      </w:r>
      <w:proofErr w:type="spellStart"/>
      <w:r w:rsidR="00097C70">
        <w:rPr>
          <w:rFonts w:ascii="Book Antiqua" w:hAnsi="Book Antiqua" w:cs="Arial"/>
        </w:rPr>
        <w:t>FtT’s</w:t>
      </w:r>
      <w:proofErr w:type="spellEnd"/>
      <w:r w:rsidR="00097C70">
        <w:rPr>
          <w:rFonts w:ascii="Book Antiqua" w:hAnsi="Book Antiqua" w:cs="Arial"/>
        </w:rPr>
        <w:t xml:space="preserve"> decision. In this case Mr Wilding is correct to identify that </w:t>
      </w:r>
      <w:r w:rsidR="003D23D7">
        <w:rPr>
          <w:rFonts w:ascii="Book Antiqua" w:hAnsi="Book Antiqua" w:cs="Arial"/>
        </w:rPr>
        <w:t>a significant amount of oral and written</w:t>
      </w:r>
      <w:r w:rsidR="00097C70">
        <w:rPr>
          <w:rFonts w:ascii="Book Antiqua" w:hAnsi="Book Antiqua" w:cs="Arial"/>
        </w:rPr>
        <w:t xml:space="preserve"> evidence was given</w:t>
      </w:r>
      <w:r w:rsidR="003D23D7">
        <w:rPr>
          <w:rFonts w:ascii="Book Antiqua" w:hAnsi="Book Antiqua" w:cs="Arial"/>
        </w:rPr>
        <w:t xml:space="preserve"> before the </w:t>
      </w:r>
      <w:proofErr w:type="spellStart"/>
      <w:r w:rsidR="003D23D7">
        <w:rPr>
          <w:rFonts w:ascii="Book Antiqua" w:hAnsi="Book Antiqua" w:cs="Arial"/>
        </w:rPr>
        <w:t>FtT</w:t>
      </w:r>
      <w:proofErr w:type="spellEnd"/>
      <w:r w:rsidR="003D23D7">
        <w:rPr>
          <w:rFonts w:ascii="Book Antiqua" w:hAnsi="Book Antiqua" w:cs="Arial"/>
        </w:rPr>
        <w:t>, albeit the</w:t>
      </w:r>
      <w:r w:rsidR="00097C70">
        <w:rPr>
          <w:rFonts w:ascii="Book Antiqua" w:hAnsi="Book Antiqua" w:cs="Arial"/>
        </w:rPr>
        <w:t xml:space="preserve"> appellant</w:t>
      </w:r>
      <w:r w:rsidR="00971758">
        <w:rPr>
          <w:rFonts w:ascii="Book Antiqua" w:hAnsi="Book Antiqua" w:cs="Arial"/>
        </w:rPr>
        <w:t xml:space="preserve"> only provided written evidence.</w:t>
      </w:r>
      <w:r w:rsidR="00097C70">
        <w:rPr>
          <w:rFonts w:ascii="Book Antiqua" w:hAnsi="Book Antiqua" w:cs="Arial"/>
        </w:rPr>
        <w:t xml:space="preserve"> </w:t>
      </w:r>
      <w:r w:rsidR="00971758">
        <w:rPr>
          <w:rFonts w:ascii="Book Antiqua" w:hAnsi="Book Antiqua" w:cs="Arial"/>
        </w:rPr>
        <w:t>I also accept that t</w:t>
      </w:r>
      <w:r w:rsidR="00097C70">
        <w:rPr>
          <w:rFonts w:ascii="Book Antiqua" w:hAnsi="Book Antiqua" w:cs="Arial"/>
        </w:rPr>
        <w:t>here was little if any dispute over the</w:t>
      </w:r>
      <w:r w:rsidR="00971758">
        <w:rPr>
          <w:rFonts w:ascii="Book Antiqua" w:hAnsi="Book Antiqua" w:cs="Arial"/>
        </w:rPr>
        <w:t xml:space="preserve"> truth of the</w:t>
      </w:r>
      <w:r w:rsidR="00097C70">
        <w:rPr>
          <w:rFonts w:ascii="Book Antiqua" w:hAnsi="Book Antiqua" w:cs="Arial"/>
        </w:rPr>
        <w:t xml:space="preserve"> appellant’s written evidence. Nevertheless, as it turned out one of the central issues i</w:t>
      </w:r>
      <w:r w:rsidR="00971758">
        <w:rPr>
          <w:rFonts w:ascii="Book Antiqua" w:hAnsi="Book Antiqua" w:cs="Arial"/>
        </w:rPr>
        <w:t>n the appeal was whether</w:t>
      </w:r>
      <w:r w:rsidR="00097C70">
        <w:rPr>
          <w:rFonts w:ascii="Book Antiqua" w:hAnsi="Book Antiqua" w:cs="Arial"/>
        </w:rPr>
        <w:t xml:space="preserve"> the appellant </w:t>
      </w:r>
      <w:r w:rsidR="00971758">
        <w:rPr>
          <w:rFonts w:ascii="Book Antiqua" w:hAnsi="Book Antiqua" w:cs="Arial"/>
        </w:rPr>
        <w:t>could demonstrate that</w:t>
      </w:r>
      <w:r w:rsidR="00097C70">
        <w:rPr>
          <w:rFonts w:ascii="Book Antiqua" w:hAnsi="Book Antiqua" w:cs="Arial"/>
        </w:rPr>
        <w:t xml:space="preserve"> there were</w:t>
      </w:r>
      <w:r w:rsidR="00971758">
        <w:rPr>
          <w:rFonts w:ascii="Book Antiqua" w:hAnsi="Book Antiqua" w:cs="Arial"/>
        </w:rPr>
        <w:t xml:space="preserve"> very</w:t>
      </w:r>
      <w:r w:rsidR="00097C70">
        <w:rPr>
          <w:rFonts w:ascii="Book Antiqua" w:hAnsi="Book Antiqua" w:cs="Arial"/>
        </w:rPr>
        <w:t xml:space="preserve"> significant obstacl</w:t>
      </w:r>
      <w:r w:rsidR="00971758">
        <w:rPr>
          <w:rFonts w:ascii="Book Antiqua" w:hAnsi="Book Antiqua" w:cs="Arial"/>
        </w:rPr>
        <w:t>es to his integration into life in Grenada</w:t>
      </w:r>
      <w:r w:rsidR="00097C70">
        <w:rPr>
          <w:rFonts w:ascii="Book Antiqua" w:hAnsi="Book Antiqua" w:cs="Arial"/>
        </w:rPr>
        <w:t xml:space="preserve">. </w:t>
      </w:r>
      <w:r w:rsidR="00971758">
        <w:rPr>
          <w:rFonts w:ascii="Book Antiqua" w:hAnsi="Book Antiqua" w:cs="Arial"/>
        </w:rPr>
        <w:t xml:space="preserve">This was an issue that the appellant only devoted </w:t>
      </w:r>
      <w:r w:rsidR="00B7726E">
        <w:rPr>
          <w:rFonts w:ascii="Book Antiqua" w:hAnsi="Book Antiqua" w:cs="Arial"/>
        </w:rPr>
        <w:t xml:space="preserve">one paragraph </w:t>
      </w:r>
      <w:r w:rsidR="00971758">
        <w:rPr>
          <w:rFonts w:ascii="Book Antiqua" w:hAnsi="Book Antiqua" w:cs="Arial"/>
        </w:rPr>
        <w:t>of his</w:t>
      </w:r>
      <w:r w:rsidR="00B7726E">
        <w:rPr>
          <w:rFonts w:ascii="Book Antiqua" w:hAnsi="Book Antiqua" w:cs="Arial"/>
        </w:rPr>
        <w:t xml:space="preserve"> written evidence</w:t>
      </w:r>
      <w:r w:rsidR="00971758">
        <w:rPr>
          <w:rFonts w:ascii="Book Antiqua" w:hAnsi="Book Antiqua" w:cs="Arial"/>
        </w:rPr>
        <w:t xml:space="preserve"> to</w:t>
      </w:r>
      <w:r w:rsidR="00B7726E">
        <w:rPr>
          <w:rFonts w:ascii="Book Antiqua" w:hAnsi="Book Antiqua" w:cs="Arial"/>
        </w:rPr>
        <w:t xml:space="preserve">. Had the </w:t>
      </w:r>
      <w:proofErr w:type="spellStart"/>
      <w:r w:rsidR="00B7726E">
        <w:rPr>
          <w:rFonts w:ascii="Book Antiqua" w:hAnsi="Book Antiqua" w:cs="Arial"/>
        </w:rPr>
        <w:t>FtT</w:t>
      </w:r>
      <w:proofErr w:type="spellEnd"/>
      <w:r w:rsidR="00B7726E">
        <w:rPr>
          <w:rFonts w:ascii="Book Antiqua" w:hAnsi="Book Antiqua" w:cs="Arial"/>
        </w:rPr>
        <w:t xml:space="preserve"> been able to see and hear the appellant give evidence on this issue, in particular if the appellant had been given the opportunity to developed orally some of the strands of evidence which appear in an embryonic stage </w:t>
      </w:r>
      <w:r w:rsidR="00B7726E">
        <w:rPr>
          <w:rFonts w:ascii="Book Antiqua" w:hAnsi="Book Antiqua" w:cs="Arial"/>
        </w:rPr>
        <w:lastRenderedPageBreak/>
        <w:t xml:space="preserve">in the statement, the </w:t>
      </w:r>
      <w:proofErr w:type="spellStart"/>
      <w:r w:rsidR="00B7726E">
        <w:rPr>
          <w:rFonts w:ascii="Book Antiqua" w:hAnsi="Book Antiqua" w:cs="Arial"/>
        </w:rPr>
        <w:t>FtT’s</w:t>
      </w:r>
      <w:proofErr w:type="spellEnd"/>
      <w:r w:rsidR="00B7726E">
        <w:rPr>
          <w:rFonts w:ascii="Book Antiqua" w:hAnsi="Book Antiqua" w:cs="Arial"/>
        </w:rPr>
        <w:t xml:space="preserve"> conclusion as to whether there were very serious obstacles to </w:t>
      </w:r>
      <w:r w:rsidR="00D93C94">
        <w:rPr>
          <w:rFonts w:ascii="Book Antiqua" w:hAnsi="Book Antiqua" w:cs="Arial"/>
        </w:rPr>
        <w:t xml:space="preserve">the appellant’s </w:t>
      </w:r>
      <w:r w:rsidR="00B7726E">
        <w:rPr>
          <w:rFonts w:ascii="Book Antiqua" w:hAnsi="Book Antiqua" w:cs="Arial"/>
        </w:rPr>
        <w:t>integration in</w:t>
      </w:r>
      <w:r w:rsidR="00D93C94">
        <w:rPr>
          <w:rFonts w:ascii="Book Antiqua" w:hAnsi="Book Antiqua" w:cs="Arial"/>
        </w:rPr>
        <w:t>to life in</w:t>
      </w:r>
      <w:r w:rsidR="00B7726E">
        <w:rPr>
          <w:rFonts w:ascii="Book Antiqua" w:hAnsi="Book Antiqua" w:cs="Arial"/>
        </w:rPr>
        <w:t xml:space="preserve"> Grenada may well have been different.  </w:t>
      </w:r>
    </w:p>
    <w:p w14:paraId="374E1CB1" w14:textId="77777777" w:rsidR="00641084" w:rsidRPr="006D75C5" w:rsidRDefault="00B7726E" w:rsidP="006D75C5">
      <w:pPr>
        <w:numPr>
          <w:ilvl w:val="0"/>
          <w:numId w:val="3"/>
        </w:numPr>
        <w:spacing w:before="120" w:after="120"/>
        <w:jc w:val="both"/>
        <w:rPr>
          <w:rFonts w:ascii="Book Antiqua" w:hAnsi="Book Antiqua" w:cs="Arial"/>
        </w:rPr>
      </w:pPr>
      <w:r w:rsidRPr="006D75C5">
        <w:rPr>
          <w:rFonts w:ascii="Book Antiqua" w:hAnsi="Book Antiqua" w:cs="Arial"/>
        </w:rPr>
        <w:t>Whilst the length of the appellant’s sentence means that a find</w:t>
      </w:r>
      <w:r w:rsidR="00D93C94" w:rsidRPr="006D75C5">
        <w:rPr>
          <w:rFonts w:ascii="Book Antiqua" w:hAnsi="Book Antiqua" w:cs="Arial"/>
        </w:rPr>
        <w:t>ing in the appellant’s favour on</w:t>
      </w:r>
      <w:r w:rsidRPr="006D75C5">
        <w:rPr>
          <w:rFonts w:ascii="Book Antiqua" w:hAnsi="Book Antiqua" w:cs="Arial"/>
        </w:rPr>
        <w:t xml:space="preserve"> this issue would not have been determinative of the appeal in his favour, I accept Mr Haywood’s submission that such a finding would increase the appellant’s prospects of demonstrating the exis</w:t>
      </w:r>
      <w:r w:rsidR="00D93C94" w:rsidRPr="006D75C5">
        <w:rPr>
          <w:rFonts w:ascii="Book Antiqua" w:hAnsi="Book Antiqua" w:cs="Arial"/>
        </w:rPr>
        <w:t>tence of very compelling circumstances,</w:t>
      </w:r>
      <w:r w:rsidRPr="006D75C5">
        <w:rPr>
          <w:rFonts w:ascii="Book Antiqua" w:hAnsi="Book Antiqua" w:cs="Arial"/>
        </w:rPr>
        <w:t xml:space="preserve"> required by paragraph 398 of the Rules and section 117C(6) of the 2002 Act.  I further accept that although the length of the appellant’s sentence </w:t>
      </w:r>
      <w:r w:rsidR="004C2DF5" w:rsidRPr="006D75C5">
        <w:rPr>
          <w:rFonts w:ascii="Book Antiqua" w:hAnsi="Book Antiqua" w:cs="Arial"/>
        </w:rPr>
        <w:t>means that weight of the public interest in favour of his deportation is</w:t>
      </w:r>
      <w:r w:rsidR="000D41B4">
        <w:rPr>
          <w:rFonts w:ascii="Book Antiqua" w:hAnsi="Book Antiqua" w:cs="Arial"/>
        </w:rPr>
        <w:t xml:space="preserve"> significant</w:t>
      </w:r>
      <w:r w:rsidR="004C2DF5" w:rsidRPr="006D75C5">
        <w:rPr>
          <w:rFonts w:ascii="Book Antiqua" w:hAnsi="Book Antiqua" w:cs="Arial"/>
        </w:rPr>
        <w:t xml:space="preserve"> </w:t>
      </w:r>
      <w:r w:rsidR="00D93C94" w:rsidRPr="006D75C5">
        <w:rPr>
          <w:rFonts w:ascii="Book Antiqua" w:hAnsi="Book Antiqua" w:cs="Arial"/>
        </w:rPr>
        <w:t xml:space="preserve">and that the prospects of him succeeding on appeal are </w:t>
      </w:r>
      <w:r w:rsidR="00A85407" w:rsidRPr="006D75C5">
        <w:rPr>
          <w:rFonts w:ascii="Book Antiqua" w:hAnsi="Book Antiqua" w:cs="Arial"/>
        </w:rPr>
        <w:t xml:space="preserve">relatively </w:t>
      </w:r>
      <w:r w:rsidR="00D93C94" w:rsidRPr="006D75C5">
        <w:rPr>
          <w:rFonts w:ascii="Book Antiqua" w:hAnsi="Book Antiqua" w:cs="Arial"/>
        </w:rPr>
        <w:t>slender</w:t>
      </w:r>
      <w:r w:rsidR="000D41B4">
        <w:rPr>
          <w:rFonts w:ascii="Book Antiqua" w:hAnsi="Book Antiqua" w:cs="Arial"/>
        </w:rPr>
        <w:t>,</w:t>
      </w:r>
      <w:r w:rsidR="00D93C94" w:rsidRPr="006D75C5">
        <w:rPr>
          <w:rFonts w:ascii="Book Antiqua" w:hAnsi="Book Antiqua" w:cs="Arial"/>
        </w:rPr>
        <w:t xml:space="preserve"> </w:t>
      </w:r>
      <w:r w:rsidR="00A85407" w:rsidRPr="006D75C5">
        <w:rPr>
          <w:rFonts w:ascii="Book Antiqua" w:hAnsi="Book Antiqua" w:cs="Arial"/>
        </w:rPr>
        <w:t>it</w:t>
      </w:r>
      <w:r w:rsidR="004C2DF5" w:rsidRPr="006D75C5">
        <w:rPr>
          <w:rFonts w:ascii="Book Antiqua" w:hAnsi="Book Antiqua" w:cs="Arial"/>
        </w:rPr>
        <w:t xml:space="preserve"> cannot be said that there is only one possible out</w:t>
      </w:r>
      <w:r w:rsidR="000D41B4">
        <w:rPr>
          <w:rFonts w:ascii="Book Antiqua" w:hAnsi="Book Antiqua" w:cs="Arial"/>
        </w:rPr>
        <w:t>come to</w:t>
      </w:r>
      <w:r w:rsidR="004C2DF5" w:rsidRPr="006D75C5">
        <w:rPr>
          <w:rFonts w:ascii="Book Antiqua" w:hAnsi="Book Antiqua" w:cs="Arial"/>
        </w:rPr>
        <w:t xml:space="preserve"> this appeal i.e. that it must be dismiss</w:t>
      </w:r>
      <w:r w:rsidR="00A85407" w:rsidRPr="006D75C5">
        <w:rPr>
          <w:rFonts w:ascii="Book Antiqua" w:hAnsi="Book Antiqua" w:cs="Arial"/>
        </w:rPr>
        <w:t>ed.</w:t>
      </w:r>
      <w:r w:rsidR="000D41B4">
        <w:rPr>
          <w:rFonts w:ascii="Book Antiqua" w:hAnsi="Book Antiqua" w:cs="Arial"/>
        </w:rPr>
        <w:t xml:space="preserve"> </w:t>
      </w:r>
    </w:p>
    <w:p w14:paraId="4AAF8B8A" w14:textId="77777777" w:rsidR="0049486C" w:rsidRPr="008F0A15" w:rsidRDefault="004C2DF5" w:rsidP="0049486C">
      <w:pPr>
        <w:numPr>
          <w:ilvl w:val="0"/>
          <w:numId w:val="3"/>
        </w:numPr>
        <w:spacing w:before="120" w:after="120"/>
        <w:jc w:val="both"/>
        <w:rPr>
          <w:rFonts w:ascii="Book Antiqua" w:hAnsi="Book Antiqua" w:cs="Arial"/>
        </w:rPr>
      </w:pPr>
      <w:r>
        <w:rPr>
          <w:rFonts w:ascii="Book Antiqua" w:hAnsi="Book Antiqua" w:cs="Arial"/>
        </w:rPr>
        <w:t xml:space="preserve">For these reasons, I conclude that the decision of the First-tier Tribunal contains an error of law capable of affecting the outcome of the appeal and </w:t>
      </w:r>
      <w:r w:rsidR="000241AC">
        <w:rPr>
          <w:rFonts w:ascii="Book Antiqua" w:hAnsi="Book Antiqua" w:cs="Arial"/>
        </w:rPr>
        <w:t>I</w:t>
      </w:r>
      <w:r>
        <w:rPr>
          <w:rFonts w:ascii="Book Antiqua" w:hAnsi="Book Antiqua" w:cs="Arial"/>
        </w:rPr>
        <w:t xml:space="preserve"> set</w:t>
      </w:r>
      <w:r w:rsidR="000241AC">
        <w:rPr>
          <w:rFonts w:ascii="Book Antiqua" w:hAnsi="Book Antiqua" w:cs="Arial"/>
        </w:rPr>
        <w:t xml:space="preserve"> it</w:t>
      </w:r>
      <w:r>
        <w:rPr>
          <w:rFonts w:ascii="Book Antiqua" w:hAnsi="Book Antiqua" w:cs="Arial"/>
        </w:rPr>
        <w:t xml:space="preserve"> aside. </w:t>
      </w:r>
      <w:r w:rsidR="0049486C">
        <w:rPr>
          <w:rFonts w:ascii="Book Antiqua" w:hAnsi="Book Antiqua" w:cs="Arial"/>
        </w:rPr>
        <w:t>Given this conclusion</w:t>
      </w:r>
      <w:r w:rsidR="000D41B4">
        <w:rPr>
          <w:rFonts w:ascii="Book Antiqua" w:hAnsi="Book Antiqua" w:cs="Arial"/>
        </w:rPr>
        <w:t>,</w:t>
      </w:r>
      <w:r w:rsidR="0049486C">
        <w:rPr>
          <w:rFonts w:ascii="Book Antiqua" w:hAnsi="Book Antiqua" w:cs="Arial"/>
        </w:rPr>
        <w:t xml:space="preserve"> I need make</w:t>
      </w:r>
      <w:r w:rsidR="000D41B4">
        <w:rPr>
          <w:rFonts w:ascii="Book Antiqua" w:hAnsi="Book Antiqua" w:cs="Arial"/>
        </w:rPr>
        <w:t xml:space="preserve"> no findings as to the merits of</w:t>
      </w:r>
      <w:r w:rsidR="0049486C">
        <w:rPr>
          <w:rFonts w:ascii="Book Antiqua" w:hAnsi="Book Antiqua" w:cs="Arial"/>
        </w:rPr>
        <w:t xml:space="preserve"> the second and third grounds. </w:t>
      </w:r>
    </w:p>
    <w:p w14:paraId="4B8913C9" w14:textId="77777777" w:rsidR="00342DD4" w:rsidRDefault="00A85407" w:rsidP="008F0A15">
      <w:pPr>
        <w:numPr>
          <w:ilvl w:val="0"/>
          <w:numId w:val="3"/>
        </w:numPr>
        <w:spacing w:before="120" w:after="120"/>
        <w:jc w:val="both"/>
        <w:rPr>
          <w:rFonts w:ascii="Book Antiqua" w:hAnsi="Book Antiqua" w:cs="Arial"/>
        </w:rPr>
      </w:pPr>
      <w:r>
        <w:rPr>
          <w:rFonts w:ascii="Book Antiqua" w:hAnsi="Book Antiqua" w:cs="Arial"/>
        </w:rPr>
        <w:t xml:space="preserve">The general rule is that if an appellant has not had a fair hearing before the </w:t>
      </w:r>
      <w:proofErr w:type="spellStart"/>
      <w:r>
        <w:rPr>
          <w:rFonts w:ascii="Book Antiqua" w:hAnsi="Book Antiqua" w:cs="Arial"/>
        </w:rPr>
        <w:t>FtT</w:t>
      </w:r>
      <w:proofErr w:type="spellEnd"/>
      <w:r>
        <w:rPr>
          <w:rFonts w:ascii="Book Antiqua" w:hAnsi="Book Antiqua" w:cs="Arial"/>
        </w:rPr>
        <w:t xml:space="preserve"> then the matter should be remitted to the </w:t>
      </w:r>
      <w:proofErr w:type="spellStart"/>
      <w:r>
        <w:rPr>
          <w:rFonts w:ascii="Book Antiqua" w:hAnsi="Book Antiqua" w:cs="Arial"/>
        </w:rPr>
        <w:t>FtT</w:t>
      </w:r>
      <w:proofErr w:type="spellEnd"/>
      <w:r>
        <w:rPr>
          <w:rFonts w:ascii="Book Antiqua" w:hAnsi="Book Antiqua" w:cs="Arial"/>
        </w:rPr>
        <w:t xml:space="preserve"> to be heard again</w:t>
      </w:r>
      <w:r w:rsidR="000241AC">
        <w:rPr>
          <w:rFonts w:ascii="Book Antiqua" w:hAnsi="Book Antiqua" w:cs="Arial"/>
        </w:rPr>
        <w:t xml:space="preserve"> </w:t>
      </w:r>
      <w:r w:rsidR="000241AC" w:rsidRPr="000241AC">
        <w:rPr>
          <w:rFonts w:ascii="Book Antiqua" w:hAnsi="Book Antiqua" w:cs="Arial"/>
          <w:i/>
        </w:rPr>
        <w:t>de novo</w:t>
      </w:r>
      <w:r>
        <w:rPr>
          <w:rFonts w:ascii="Book Antiqua" w:hAnsi="Book Antiqua" w:cs="Arial"/>
        </w:rPr>
        <w:t xml:space="preserve">. Neither party </w:t>
      </w:r>
      <w:r w:rsidR="000241AC">
        <w:rPr>
          <w:rFonts w:ascii="Book Antiqua" w:hAnsi="Book Antiqua" w:cs="Arial"/>
        </w:rPr>
        <w:t>has suggested</w:t>
      </w:r>
      <w:r>
        <w:rPr>
          <w:rFonts w:ascii="Book Antiqua" w:hAnsi="Book Antiqua" w:cs="Arial"/>
        </w:rPr>
        <w:t xml:space="preserve"> that this case is an exception to that general rule.</w:t>
      </w:r>
      <w:r w:rsidR="004C2DF5">
        <w:rPr>
          <w:rFonts w:ascii="Book Antiqua" w:hAnsi="Book Antiqua" w:cs="Arial"/>
        </w:rPr>
        <w:t xml:space="preserve"> </w:t>
      </w:r>
      <w:r w:rsidR="000241AC">
        <w:rPr>
          <w:rFonts w:ascii="Book Antiqua" w:hAnsi="Book Antiqua" w:cs="Arial"/>
        </w:rPr>
        <w:t xml:space="preserve">In all the circumstances I remit the appeal to heard afresh by the </w:t>
      </w:r>
      <w:proofErr w:type="spellStart"/>
      <w:r w:rsidR="000241AC">
        <w:rPr>
          <w:rFonts w:ascii="Book Antiqua" w:hAnsi="Book Antiqua" w:cs="Arial"/>
        </w:rPr>
        <w:t>FtT</w:t>
      </w:r>
      <w:proofErr w:type="spellEnd"/>
      <w:r w:rsidR="000241AC">
        <w:rPr>
          <w:rFonts w:ascii="Book Antiqua" w:hAnsi="Book Antiqua" w:cs="Arial"/>
        </w:rPr>
        <w:t xml:space="preserve">, with the </w:t>
      </w:r>
      <w:proofErr w:type="spellStart"/>
      <w:r w:rsidR="000241AC">
        <w:rPr>
          <w:rFonts w:ascii="Book Antiqua" w:hAnsi="Book Antiqua" w:cs="Arial"/>
        </w:rPr>
        <w:t>FtT</w:t>
      </w:r>
      <w:proofErr w:type="spellEnd"/>
      <w:r w:rsidR="000241AC">
        <w:rPr>
          <w:rFonts w:ascii="Book Antiqua" w:hAnsi="Book Antiqua" w:cs="Arial"/>
        </w:rPr>
        <w:t xml:space="preserve"> </w:t>
      </w:r>
      <w:r w:rsidR="006D75C5">
        <w:rPr>
          <w:rFonts w:ascii="Book Antiqua" w:hAnsi="Book Antiqua" w:cs="Arial"/>
        </w:rPr>
        <w:t>being required to follow</w:t>
      </w:r>
      <w:r w:rsidR="000241AC">
        <w:rPr>
          <w:rFonts w:ascii="Book Antiqua" w:hAnsi="Book Antiqua" w:cs="Arial"/>
        </w:rPr>
        <w:t xml:space="preserve"> the guidance given in </w:t>
      </w:r>
      <w:r w:rsidR="000241AC" w:rsidRPr="000241AC">
        <w:rPr>
          <w:rFonts w:ascii="Book Antiqua" w:hAnsi="Book Antiqua" w:cs="Arial"/>
          <w:u w:val="single"/>
        </w:rPr>
        <w:t>AJ</w:t>
      </w:r>
      <w:r w:rsidR="0049486C">
        <w:rPr>
          <w:rFonts w:ascii="Book Antiqua" w:hAnsi="Book Antiqua" w:cs="Arial"/>
        </w:rPr>
        <w:t xml:space="preserve"> </w:t>
      </w:r>
      <w:r w:rsidR="000241AC">
        <w:rPr>
          <w:rFonts w:ascii="Book Antiqua" w:hAnsi="Book Antiqua" w:cs="Arial"/>
        </w:rPr>
        <w:t xml:space="preserve">to ensure </w:t>
      </w:r>
      <w:r w:rsidR="0049486C">
        <w:rPr>
          <w:rFonts w:ascii="Book Antiqua" w:hAnsi="Book Antiqua" w:cs="Arial"/>
        </w:rPr>
        <w:t xml:space="preserve">that </w:t>
      </w:r>
      <w:r w:rsidR="000241AC">
        <w:rPr>
          <w:rFonts w:ascii="Book Antiqua" w:hAnsi="Book Antiqua" w:cs="Arial"/>
        </w:rPr>
        <w:t xml:space="preserve">the procedural rights </w:t>
      </w:r>
      <w:r w:rsidR="0049486C">
        <w:rPr>
          <w:rFonts w:ascii="Book Antiqua" w:hAnsi="Book Antiqua" w:cs="Arial"/>
        </w:rPr>
        <w:t xml:space="preserve">the appellant is </w:t>
      </w:r>
      <w:r w:rsidR="000241AC">
        <w:rPr>
          <w:rFonts w:ascii="Book Antiqua" w:hAnsi="Book Antiqua" w:cs="Arial"/>
        </w:rPr>
        <w:t xml:space="preserve">afforded </w:t>
      </w:r>
      <w:r w:rsidR="0018537D">
        <w:rPr>
          <w:rFonts w:ascii="Book Antiqua" w:hAnsi="Book Antiqua" w:cs="Arial"/>
        </w:rPr>
        <w:t xml:space="preserve">by Article 8 </w:t>
      </w:r>
      <w:r w:rsidR="006D75C5">
        <w:rPr>
          <w:rFonts w:ascii="Book Antiqua" w:hAnsi="Book Antiqua" w:cs="Arial"/>
        </w:rPr>
        <w:t xml:space="preserve">ECHR </w:t>
      </w:r>
      <w:r w:rsidR="0018537D">
        <w:rPr>
          <w:rFonts w:ascii="Book Antiqua" w:hAnsi="Book Antiqua" w:cs="Arial"/>
        </w:rPr>
        <w:t>are not infringed.</w:t>
      </w:r>
    </w:p>
    <w:p w14:paraId="64C8DA03" w14:textId="77777777" w:rsidR="00612089" w:rsidRDefault="00612089" w:rsidP="00173B0F">
      <w:pPr>
        <w:spacing w:before="120" w:after="120"/>
        <w:jc w:val="both"/>
        <w:rPr>
          <w:rFonts w:ascii="Book Antiqua" w:hAnsi="Book Antiqua" w:cs="Arial"/>
          <w:b/>
          <w:u w:val="single"/>
        </w:rPr>
      </w:pPr>
      <w:r>
        <w:rPr>
          <w:rFonts w:ascii="Book Antiqua" w:hAnsi="Book Antiqua" w:cs="Arial"/>
          <w:b/>
          <w:u w:val="single"/>
        </w:rPr>
        <w:t>Notice of Decision</w:t>
      </w:r>
    </w:p>
    <w:p w14:paraId="086096AF" w14:textId="77777777" w:rsidR="0001438F" w:rsidRDefault="0001438F" w:rsidP="00173B0F">
      <w:pPr>
        <w:spacing w:before="120" w:after="120"/>
        <w:jc w:val="both"/>
        <w:rPr>
          <w:rFonts w:ascii="Book Antiqua" w:hAnsi="Book Antiqua" w:cs="Arial"/>
        </w:rPr>
      </w:pPr>
      <w:r>
        <w:rPr>
          <w:rFonts w:ascii="Book Antiqua" w:hAnsi="Book Antiqua" w:cs="Arial"/>
        </w:rPr>
        <w:t xml:space="preserve">The decision of the First-tier Tribunal is set aside. </w:t>
      </w:r>
    </w:p>
    <w:p w14:paraId="7C817922" w14:textId="77777777" w:rsidR="0001438F" w:rsidRDefault="0001438F" w:rsidP="00173B0F">
      <w:pPr>
        <w:spacing w:before="120" w:after="120"/>
        <w:jc w:val="both"/>
        <w:rPr>
          <w:rFonts w:ascii="Book Antiqua" w:hAnsi="Book Antiqua" w:cs="Arial"/>
        </w:rPr>
      </w:pPr>
      <w:r>
        <w:rPr>
          <w:rFonts w:ascii="Book Antiqua" w:hAnsi="Book Antiqua" w:cs="Arial"/>
        </w:rPr>
        <w:t xml:space="preserve">The appeal is remitted to the First-tier Tribunal to be heard afresh. </w:t>
      </w:r>
    </w:p>
    <w:p w14:paraId="0E110B16" w14:textId="77777777" w:rsidR="0001438F" w:rsidRDefault="0001438F" w:rsidP="00173B0F">
      <w:pPr>
        <w:spacing w:before="120" w:after="120"/>
        <w:jc w:val="both"/>
        <w:rPr>
          <w:rFonts w:ascii="Book Antiqua" w:hAnsi="Book Antiqua" w:cs="Arial"/>
        </w:rPr>
      </w:pPr>
    </w:p>
    <w:p w14:paraId="3EE2F6AD" w14:textId="77777777" w:rsidR="0001438F" w:rsidRDefault="00612089" w:rsidP="00173B0F">
      <w:pPr>
        <w:tabs>
          <w:tab w:val="left" w:pos="2520"/>
        </w:tabs>
        <w:spacing w:before="120" w:after="120"/>
        <w:jc w:val="both"/>
        <w:rPr>
          <w:rFonts w:ascii="Book Antiqua" w:hAnsi="Book Antiqua" w:cs="Arial"/>
        </w:rPr>
      </w:pPr>
      <w:r>
        <w:rPr>
          <w:rFonts w:ascii="Book Antiqua" w:hAnsi="Book Antiqua" w:cs="Arial"/>
        </w:rPr>
        <w:t>Signed</w:t>
      </w:r>
      <w:r w:rsidR="0001438F">
        <w:rPr>
          <w:rFonts w:ascii="Book Antiqua" w:hAnsi="Book Antiqua" w:cs="Arial"/>
        </w:rPr>
        <w:t>:</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DC5F69">
        <w:rPr>
          <w:rFonts w:ascii="Book Antiqua" w:hAnsi="Book Antiqua" w:cs="Arial"/>
        </w:rPr>
        <w:t xml:space="preserve">                           Date: 16 July 2018</w:t>
      </w:r>
    </w:p>
    <w:p w14:paraId="241E20B8" w14:textId="77777777" w:rsidR="0001438F" w:rsidRPr="0001438F" w:rsidRDefault="0001438F" w:rsidP="00173B0F">
      <w:pPr>
        <w:tabs>
          <w:tab w:val="left" w:pos="2520"/>
        </w:tabs>
        <w:spacing w:before="120" w:after="120"/>
        <w:jc w:val="both"/>
        <w:rPr>
          <w:rFonts w:ascii="Blackadder ITC" w:hAnsi="Blackadder ITC" w:cs="Arial"/>
        </w:rPr>
      </w:pPr>
      <w:r>
        <w:rPr>
          <w:rFonts w:ascii="Blackadder ITC" w:hAnsi="Blackadder ITC" w:cs="Arial"/>
        </w:rPr>
        <w:t>Mark O’Connor</w:t>
      </w:r>
    </w:p>
    <w:p w14:paraId="32D9EC77" w14:textId="77777777" w:rsidR="00612089" w:rsidRDefault="00612089" w:rsidP="00173B0F">
      <w:pPr>
        <w:tabs>
          <w:tab w:val="left" w:pos="2520"/>
        </w:tabs>
        <w:spacing w:before="120" w:after="120"/>
        <w:jc w:val="both"/>
        <w:rPr>
          <w:rFonts w:ascii="Book Antiqua" w:hAnsi="Book Antiqua" w:cs="Arial"/>
        </w:rPr>
      </w:pPr>
      <w:r>
        <w:rPr>
          <w:rFonts w:ascii="Book Antiqua" w:hAnsi="Book Antiqua" w:cs="Arial"/>
        </w:rPr>
        <w:t xml:space="preserve">Upper Tribunal Judge O’Connor </w:t>
      </w:r>
    </w:p>
    <w:p w14:paraId="6D515EDB" w14:textId="77777777" w:rsidR="00612089" w:rsidRDefault="00612089" w:rsidP="00173B0F">
      <w:pPr>
        <w:tabs>
          <w:tab w:val="left" w:pos="2520"/>
        </w:tabs>
        <w:spacing w:before="120" w:after="120"/>
        <w:jc w:val="both"/>
        <w:rPr>
          <w:rFonts w:ascii="Book Antiqua" w:hAnsi="Book Antiqua" w:cs="Arial"/>
        </w:rPr>
        <w:sectPr w:rsidR="00612089">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65B0D84A" w14:textId="77777777" w:rsidR="00612089" w:rsidRDefault="00612089" w:rsidP="00DC5F69">
      <w:pPr>
        <w:spacing w:before="120" w:after="120"/>
        <w:rPr>
          <w:rFonts w:ascii="Book Antiqua" w:hAnsi="Book Antiqua" w:cs="Arial"/>
        </w:rPr>
      </w:pPr>
    </w:p>
    <w:sectPr w:rsidR="00612089" w:rsidSect="00DC5F69">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C041C" w14:textId="77777777" w:rsidR="00A34128" w:rsidRDefault="00A34128">
      <w:r>
        <w:separator/>
      </w:r>
    </w:p>
  </w:endnote>
  <w:endnote w:type="continuationSeparator" w:id="0">
    <w:p w14:paraId="39155F34" w14:textId="77777777" w:rsidR="00A34128" w:rsidRDefault="00A3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ine Print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9E8E8" w14:textId="08CFF27F" w:rsidR="004C0AF4" w:rsidRDefault="004C0AF4">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AA2F59">
      <w:rPr>
        <w:rStyle w:val="PageNumber"/>
        <w:rFonts w:ascii="Book Antiqua" w:hAnsi="Book Antiqua" w:cs="Arial"/>
        <w:noProof/>
        <w:sz w:val="16"/>
        <w:szCs w:val="16"/>
      </w:rPr>
      <w:t>8</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7791A" w14:textId="77777777" w:rsidR="004C0AF4" w:rsidRDefault="004C0AF4">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47B51" w14:textId="77777777" w:rsidR="00A34128" w:rsidRDefault="00A34128">
      <w:r>
        <w:separator/>
      </w:r>
    </w:p>
  </w:footnote>
  <w:footnote w:type="continuationSeparator" w:id="0">
    <w:p w14:paraId="086A14D0" w14:textId="77777777" w:rsidR="00A34128" w:rsidRDefault="00A34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A8C60" w14:textId="77777777" w:rsidR="004C0AF4" w:rsidRDefault="004C0AF4">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w:t>
    </w:r>
    <w:r w:rsidR="00D3470C">
      <w:rPr>
        <w:rFonts w:ascii="Book Antiqua" w:hAnsi="Book Antiqua" w:cs="Arial"/>
        <w:sz w:val="16"/>
        <w:szCs w:val="16"/>
      </w:rPr>
      <w:t xml:space="preserve"> HU/04846/2016</w:t>
    </w:r>
    <w:r>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87A46" w14:textId="77777777" w:rsidR="004C0AF4" w:rsidRDefault="004C0AF4">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F40E11"/>
    <w:multiLevelType w:val="multilevel"/>
    <w:tmpl w:val="8DA46AC4"/>
    <w:lvl w:ilvl="0">
      <w:start w:val="1"/>
      <w:numFmt w:val="bullet"/>
      <w:lvlText w:val=""/>
      <w:lvlJc w:val="left"/>
      <w:pPr>
        <w:tabs>
          <w:tab w:val="num" w:pos="567"/>
        </w:tabs>
        <w:ind w:left="567" w:hanging="567"/>
      </w:pPr>
      <w:rPr>
        <w:rFonts w:ascii="Symbol" w:hAnsi="Symbol"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AAA2258"/>
    <w:multiLevelType w:val="multilevel"/>
    <w:tmpl w:val="8E6A0E4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D4F72D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1C66F7A"/>
    <w:multiLevelType w:val="hybridMultilevel"/>
    <w:tmpl w:val="C41E4674"/>
    <w:lvl w:ilvl="0" w:tplc="3162EF06">
      <w:start w:val="1"/>
      <w:numFmt w:val="decimal"/>
      <w:lvlText w:val="%1."/>
      <w:lvlJc w:val="left"/>
      <w:pPr>
        <w:tabs>
          <w:tab w:val="num" w:pos="709"/>
        </w:tabs>
        <w:ind w:left="709" w:hanging="709"/>
      </w:pPr>
      <w:rPr>
        <w:rFonts w:ascii="Book Antiqua" w:eastAsia="Times New Roman" w:hAnsi="Book Antiqua" w:cs="Times New Roman"/>
        <w:b w:val="0"/>
      </w:rPr>
    </w:lvl>
    <w:lvl w:ilvl="1" w:tplc="C2D63860">
      <w:start w:val="1"/>
      <w:numFmt w:val="lowerLetter"/>
      <w:lvlText w:val="(%2)"/>
      <w:lvlJc w:val="left"/>
      <w:pPr>
        <w:tabs>
          <w:tab w:val="num" w:pos="1080"/>
        </w:tabs>
        <w:ind w:left="1080" w:firstLine="0"/>
      </w:pPr>
      <w:rPr>
        <w:rFonts w:cs="Line Printer"/>
        <w:b w:val="0"/>
        <w:strike w:val="0"/>
        <w:dstrike w:val="0"/>
        <w:color w:val="auto"/>
        <w:u w:val="none"/>
        <w:effect w:val="none"/>
      </w:rPr>
    </w:lvl>
    <w:lvl w:ilvl="2" w:tplc="3538EED4">
      <w:start w:val="1"/>
      <w:numFmt w:val="lowerRoman"/>
      <w:lvlText w:val="(%3)"/>
      <w:lvlJc w:val="left"/>
      <w:pPr>
        <w:tabs>
          <w:tab w:val="num" w:pos="2547"/>
        </w:tabs>
        <w:ind w:left="3114" w:hanging="1134"/>
      </w:pPr>
      <w:rPr>
        <w:rFonts w:cs="Line Printer"/>
        <w:b w:val="0"/>
        <w:strike w:val="0"/>
        <w:dstrike w:val="0"/>
        <w:color w:val="auto"/>
        <w:u w:val="none"/>
        <w:effect w:val="none"/>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3"/>
  </w:num>
  <w:num w:numId="4">
    <w:abstractNumId w:val="13"/>
  </w:num>
  <w:num w:numId="5">
    <w:abstractNumId w:val="21"/>
  </w:num>
  <w:num w:numId="6">
    <w:abstractNumId w:val="14"/>
  </w:num>
  <w:num w:numId="7">
    <w:abstractNumId w:val="20"/>
  </w:num>
  <w:num w:numId="8">
    <w:abstractNumId w:val="10"/>
  </w:num>
  <w:num w:numId="9">
    <w:abstractNumId w:val="8"/>
  </w:num>
  <w:num w:numId="10">
    <w:abstractNumId w:val="19"/>
  </w:num>
  <w:num w:numId="11">
    <w:abstractNumId w:val="18"/>
  </w:num>
  <w:num w:numId="12">
    <w:abstractNumId w:val="1"/>
  </w:num>
  <w:num w:numId="13">
    <w:abstractNumId w:val="17"/>
  </w:num>
  <w:num w:numId="14">
    <w:abstractNumId w:val="0"/>
  </w:num>
  <w:num w:numId="15">
    <w:abstractNumId w:val="5"/>
  </w:num>
  <w:num w:numId="16">
    <w:abstractNumId w:val="7"/>
  </w:num>
  <w:num w:numId="17">
    <w:abstractNumId w:val="15"/>
  </w:num>
  <w:num w:numId="18">
    <w:abstractNumId w:val="11"/>
  </w:num>
  <w:num w:numId="19">
    <w:abstractNumId w:val="9"/>
  </w:num>
  <w:num w:numId="20">
    <w:abstractNumId w:val="4"/>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4C"/>
    <w:rsid w:val="0001438F"/>
    <w:rsid w:val="000241AC"/>
    <w:rsid w:val="00057A04"/>
    <w:rsid w:val="00065914"/>
    <w:rsid w:val="00097C70"/>
    <w:rsid w:val="000D41B4"/>
    <w:rsid w:val="00115838"/>
    <w:rsid w:val="0013297E"/>
    <w:rsid w:val="00161B19"/>
    <w:rsid w:val="00173B0F"/>
    <w:rsid w:val="0018537D"/>
    <w:rsid w:val="0029212B"/>
    <w:rsid w:val="002B6A4A"/>
    <w:rsid w:val="002D545C"/>
    <w:rsid w:val="00342DD4"/>
    <w:rsid w:val="003710F4"/>
    <w:rsid w:val="0037406E"/>
    <w:rsid w:val="003829C4"/>
    <w:rsid w:val="003D23D7"/>
    <w:rsid w:val="003D2F15"/>
    <w:rsid w:val="0046135E"/>
    <w:rsid w:val="00471327"/>
    <w:rsid w:val="0049486C"/>
    <w:rsid w:val="004A1C49"/>
    <w:rsid w:val="004C0AF4"/>
    <w:rsid w:val="004C2DF5"/>
    <w:rsid w:val="004F3946"/>
    <w:rsid w:val="0053410A"/>
    <w:rsid w:val="00536EF4"/>
    <w:rsid w:val="0057500F"/>
    <w:rsid w:val="00587BAE"/>
    <w:rsid w:val="005F3044"/>
    <w:rsid w:val="00612089"/>
    <w:rsid w:val="00636B01"/>
    <w:rsid w:val="00641084"/>
    <w:rsid w:val="006451A5"/>
    <w:rsid w:val="00647418"/>
    <w:rsid w:val="006A59D2"/>
    <w:rsid w:val="006D75C5"/>
    <w:rsid w:val="007F7EE6"/>
    <w:rsid w:val="008D4BDE"/>
    <w:rsid w:val="008F0A15"/>
    <w:rsid w:val="00907885"/>
    <w:rsid w:val="00971758"/>
    <w:rsid w:val="00984C9C"/>
    <w:rsid w:val="009918CA"/>
    <w:rsid w:val="009F21D5"/>
    <w:rsid w:val="009F7041"/>
    <w:rsid w:val="00A34128"/>
    <w:rsid w:val="00A85407"/>
    <w:rsid w:val="00AA17CF"/>
    <w:rsid w:val="00AA2F59"/>
    <w:rsid w:val="00AE2BB2"/>
    <w:rsid w:val="00B10711"/>
    <w:rsid w:val="00B14715"/>
    <w:rsid w:val="00B335F9"/>
    <w:rsid w:val="00B343EA"/>
    <w:rsid w:val="00B4294E"/>
    <w:rsid w:val="00B7726E"/>
    <w:rsid w:val="00BC316E"/>
    <w:rsid w:val="00C171D2"/>
    <w:rsid w:val="00C5197F"/>
    <w:rsid w:val="00C700F5"/>
    <w:rsid w:val="00C7695B"/>
    <w:rsid w:val="00C92DCA"/>
    <w:rsid w:val="00CA04CE"/>
    <w:rsid w:val="00CC4AE7"/>
    <w:rsid w:val="00CD3FBA"/>
    <w:rsid w:val="00CF23BF"/>
    <w:rsid w:val="00D0164C"/>
    <w:rsid w:val="00D16047"/>
    <w:rsid w:val="00D3470C"/>
    <w:rsid w:val="00D43226"/>
    <w:rsid w:val="00D93C94"/>
    <w:rsid w:val="00D94A04"/>
    <w:rsid w:val="00DB01FC"/>
    <w:rsid w:val="00DC3487"/>
    <w:rsid w:val="00DC5F69"/>
    <w:rsid w:val="00E315DC"/>
    <w:rsid w:val="00E6302F"/>
    <w:rsid w:val="00ED1B9B"/>
    <w:rsid w:val="00F04D74"/>
    <w:rsid w:val="00F227AD"/>
    <w:rsid w:val="00F258CD"/>
    <w:rsid w:val="00F665BC"/>
    <w:rsid w:val="00FA642D"/>
    <w:rsid w:val="00FB22CC"/>
    <w:rsid w:val="00FF0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35FBA4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ListParagraph">
    <w:name w:val="List Paragraph"/>
    <w:basedOn w:val="Normal"/>
    <w:qFormat/>
    <w:rsid w:val="00FB22CC"/>
    <w:pPr>
      <w:widowControl w:val="0"/>
      <w:ind w:left="720"/>
      <w:contextualSpacing/>
    </w:pPr>
    <w:rPr>
      <w:rFonts w:ascii="Arial" w:hAnsi="Arial"/>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35367">
      <w:bodyDiv w:val="1"/>
      <w:marLeft w:val="0"/>
      <w:marRight w:val="0"/>
      <w:marTop w:val="0"/>
      <w:marBottom w:val="0"/>
      <w:divBdr>
        <w:top w:val="none" w:sz="0" w:space="0" w:color="auto"/>
        <w:left w:val="none" w:sz="0" w:space="0" w:color="auto"/>
        <w:bottom w:val="none" w:sz="0" w:space="0" w:color="auto"/>
        <w:right w:val="none" w:sz="0" w:space="0" w:color="auto"/>
      </w:divBdr>
    </w:div>
    <w:div w:id="509028387">
      <w:bodyDiv w:val="1"/>
      <w:marLeft w:val="0"/>
      <w:marRight w:val="0"/>
      <w:marTop w:val="0"/>
      <w:marBottom w:val="0"/>
      <w:divBdr>
        <w:top w:val="none" w:sz="0" w:space="0" w:color="auto"/>
        <w:left w:val="none" w:sz="0" w:space="0" w:color="auto"/>
        <w:bottom w:val="none" w:sz="0" w:space="0" w:color="auto"/>
        <w:right w:val="none" w:sz="0" w:space="0" w:color="auto"/>
      </w:divBdr>
    </w:div>
    <w:div w:id="123451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3677</Words>
  <Characters>18355</Characters>
  <Application>Microsoft Office Word</Application>
  <DocSecurity>0</DocSecurity>
  <Lines>152</Lines>
  <Paragraphs>43</Paragraphs>
  <ScaleCrop>false</ScaleCrop>
  <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2018-08-01T13:27:00Z</dcterms:created>
  <dcterms:modified xsi:type="dcterms:W3CDTF">2018-08-01T13:27:00Z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