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7B9B" w:rsidRDefault="00027B9B" w:rsidP="003B0AE9">
      <w:pPr>
        <w:jc w:val="center"/>
        <w:rPr>
          <w:rFonts w:ascii="Book Antiqua" w:hAnsi="Book Antiqua" w:cs="Arial"/>
          <w:sz w:val="16"/>
          <w:szCs w:val="16"/>
        </w:rPr>
      </w:pPr>
    </w:p>
    <w:p w:rsidR="00D94AFC" w:rsidRPr="005C480B" w:rsidRDefault="00523A6F" w:rsidP="003B0AE9">
      <w:pPr>
        <w:jc w:val="center"/>
        <w:rPr>
          <w:rFonts w:ascii="Book Antiqua" w:hAnsi="Book Antiqua" w:cs="Arial"/>
          <w:sz w:val="16"/>
          <w:szCs w:val="16"/>
        </w:rPr>
      </w:pPr>
      <w:r w:rsidRPr="005C480B">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C321B5" w:rsidRPr="005C480B" w:rsidRDefault="001A1E2C" w:rsidP="00B626FA">
      <w:pPr>
        <w:tabs>
          <w:tab w:val="right" w:pos="9639"/>
        </w:tabs>
        <w:rPr>
          <w:rFonts w:ascii="Book Antiqua" w:hAnsi="Book Antiqua" w:cs="Arial"/>
          <w:b/>
        </w:rPr>
      </w:pPr>
      <w:r w:rsidRPr="005C480B">
        <w:rPr>
          <w:rFonts w:ascii="Book Antiqua" w:hAnsi="Book Antiqua" w:cs="Arial"/>
          <w:b/>
        </w:rPr>
        <w:t xml:space="preserve">Upper </w:t>
      </w:r>
      <w:r w:rsidR="00C321B5" w:rsidRPr="005C480B">
        <w:rPr>
          <w:rFonts w:ascii="Book Antiqua" w:hAnsi="Book Antiqua" w:cs="Arial"/>
          <w:b/>
        </w:rPr>
        <w:t xml:space="preserve">Tribunal </w:t>
      </w:r>
    </w:p>
    <w:p w:rsidR="007B0824" w:rsidRPr="005C480B" w:rsidRDefault="00C321B5" w:rsidP="00B626FA">
      <w:pPr>
        <w:tabs>
          <w:tab w:val="right" w:pos="9639"/>
        </w:tabs>
        <w:rPr>
          <w:rFonts w:ascii="Book Antiqua" w:hAnsi="Book Antiqua" w:cs="Arial"/>
          <w:caps/>
        </w:rPr>
      </w:pPr>
      <w:r w:rsidRPr="005C480B">
        <w:rPr>
          <w:rFonts w:ascii="Book Antiqua" w:hAnsi="Book Antiqua" w:cs="Arial"/>
          <w:b/>
        </w:rPr>
        <w:t xml:space="preserve">(Immigration and Asylum </w:t>
      </w:r>
      <w:proofErr w:type="gramStart"/>
      <w:r w:rsidRPr="005C480B">
        <w:rPr>
          <w:rFonts w:ascii="Book Antiqua" w:hAnsi="Book Antiqua" w:cs="Arial"/>
          <w:b/>
        </w:rPr>
        <w:t>Chamber)</w:t>
      </w:r>
      <w:r w:rsidR="00027B9B">
        <w:rPr>
          <w:rFonts w:ascii="Book Antiqua" w:hAnsi="Book Antiqua" w:cs="Arial"/>
          <w:b/>
        </w:rPr>
        <w:t xml:space="preserve">   </w:t>
      </w:r>
      <w:proofErr w:type="gramEnd"/>
      <w:r w:rsidR="00027B9B">
        <w:rPr>
          <w:rFonts w:ascii="Book Antiqua" w:hAnsi="Book Antiqua" w:cs="Arial"/>
          <w:b/>
        </w:rPr>
        <w:t xml:space="preserve">                   </w:t>
      </w:r>
      <w:r w:rsidR="00B3524D" w:rsidRPr="00027B9B">
        <w:rPr>
          <w:rFonts w:ascii="Book Antiqua" w:hAnsi="Book Antiqua" w:cs="Arial"/>
          <w:b/>
        </w:rPr>
        <w:t>Appeal Number</w:t>
      </w:r>
      <w:r w:rsidR="00D53769" w:rsidRPr="00027B9B">
        <w:rPr>
          <w:rFonts w:ascii="Book Antiqua" w:hAnsi="Book Antiqua" w:cs="Arial"/>
          <w:b/>
        </w:rPr>
        <w:t>:</w:t>
      </w:r>
      <w:r w:rsidR="003B0AE9" w:rsidRPr="00027B9B">
        <w:rPr>
          <w:rFonts w:ascii="Book Antiqua" w:hAnsi="Book Antiqua" w:cs="Arial"/>
          <w:b/>
        </w:rPr>
        <w:t xml:space="preserve"> HU/04780/2016</w:t>
      </w:r>
      <w:r w:rsidR="00AF0EED" w:rsidRPr="005C480B">
        <w:rPr>
          <w:rFonts w:ascii="Book Antiqua" w:hAnsi="Book Antiqua" w:cs="Arial"/>
          <w:caps/>
        </w:rPr>
        <w:t xml:space="preserve"> </w:t>
      </w:r>
    </w:p>
    <w:p w:rsidR="00C345E1" w:rsidRPr="005C480B" w:rsidRDefault="00C345E1" w:rsidP="00C345E1">
      <w:pPr>
        <w:jc w:val="center"/>
        <w:rPr>
          <w:rFonts w:ascii="Book Antiqua" w:hAnsi="Book Antiqua" w:cs="Arial"/>
        </w:rPr>
      </w:pPr>
    </w:p>
    <w:p w:rsidR="00C345E1" w:rsidRPr="005C480B" w:rsidRDefault="00C345E1" w:rsidP="00C345E1">
      <w:pPr>
        <w:jc w:val="center"/>
        <w:rPr>
          <w:rFonts w:ascii="Book Antiqua" w:hAnsi="Book Antiqua" w:cs="Arial"/>
          <w:b/>
          <w:u w:val="single"/>
        </w:rPr>
      </w:pPr>
      <w:r w:rsidRPr="005C480B">
        <w:rPr>
          <w:rFonts w:ascii="Book Antiqua" w:hAnsi="Book Antiqua" w:cs="Arial"/>
          <w:b/>
          <w:u w:val="single"/>
        </w:rPr>
        <w:t>THE IMMIGRATION ACTS</w:t>
      </w:r>
    </w:p>
    <w:p w:rsidR="00C345E1" w:rsidRPr="005C480B"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245"/>
        <w:gridCol w:w="4763"/>
      </w:tblGrid>
      <w:tr w:rsidR="00D22636" w:rsidRPr="00436F15" w:rsidTr="00027B9B">
        <w:tc>
          <w:tcPr>
            <w:tcW w:w="5245" w:type="dxa"/>
            <w:shd w:val="clear" w:color="auto" w:fill="auto"/>
          </w:tcPr>
          <w:p w:rsidR="00D22636" w:rsidRPr="00436F15" w:rsidRDefault="00D22636" w:rsidP="00436F15">
            <w:pPr>
              <w:jc w:val="both"/>
              <w:rPr>
                <w:rFonts w:ascii="Book Antiqua" w:hAnsi="Book Antiqua" w:cs="Arial"/>
                <w:b/>
              </w:rPr>
            </w:pPr>
            <w:r w:rsidRPr="00436F15">
              <w:rPr>
                <w:rFonts w:ascii="Book Antiqua" w:hAnsi="Book Antiqua" w:cs="Arial"/>
                <w:b/>
              </w:rPr>
              <w:t xml:space="preserve">Heard at </w:t>
            </w:r>
            <w:r w:rsidR="008C470C">
              <w:rPr>
                <w:rFonts w:ascii="Book Antiqua" w:hAnsi="Book Antiqua" w:cs="Arial"/>
                <w:b/>
              </w:rPr>
              <w:t>Field House</w:t>
            </w:r>
          </w:p>
        </w:tc>
        <w:tc>
          <w:tcPr>
            <w:tcW w:w="4763" w:type="dxa"/>
            <w:shd w:val="clear" w:color="auto" w:fill="auto"/>
          </w:tcPr>
          <w:p w:rsidR="00D22636" w:rsidRPr="00436F15" w:rsidRDefault="00E03927" w:rsidP="00436F15">
            <w:pPr>
              <w:jc w:val="both"/>
              <w:rPr>
                <w:rFonts w:ascii="Book Antiqua" w:hAnsi="Book Antiqua" w:cs="Arial"/>
                <w:b/>
              </w:rPr>
            </w:pPr>
            <w:r w:rsidRPr="00436F15">
              <w:rPr>
                <w:rFonts w:ascii="Book Antiqua" w:hAnsi="Book Antiqua" w:cs="Arial"/>
                <w:b/>
              </w:rPr>
              <w:t>Decision &amp; Reasons</w:t>
            </w:r>
            <w:r w:rsidR="00283659" w:rsidRPr="00436F15">
              <w:rPr>
                <w:rFonts w:ascii="Book Antiqua" w:hAnsi="Book Antiqua" w:cs="Arial"/>
                <w:b/>
              </w:rPr>
              <w:t xml:space="preserve"> Promulgated</w:t>
            </w:r>
          </w:p>
        </w:tc>
      </w:tr>
      <w:tr w:rsidR="00D22636" w:rsidRPr="00436F15" w:rsidTr="00027B9B">
        <w:tc>
          <w:tcPr>
            <w:tcW w:w="5245" w:type="dxa"/>
            <w:shd w:val="clear" w:color="auto" w:fill="auto"/>
          </w:tcPr>
          <w:p w:rsidR="00D22636" w:rsidRPr="00436F15" w:rsidRDefault="00D22636" w:rsidP="00436F15">
            <w:pPr>
              <w:jc w:val="both"/>
              <w:rPr>
                <w:rFonts w:ascii="Book Antiqua" w:hAnsi="Book Antiqua" w:cs="Arial"/>
                <w:b/>
              </w:rPr>
            </w:pPr>
            <w:r w:rsidRPr="00436F15">
              <w:rPr>
                <w:rFonts w:ascii="Book Antiqua" w:hAnsi="Book Antiqua" w:cs="Arial"/>
                <w:b/>
              </w:rPr>
              <w:t xml:space="preserve">On </w:t>
            </w:r>
            <w:r w:rsidR="008C470C">
              <w:rPr>
                <w:rFonts w:ascii="Book Antiqua" w:hAnsi="Book Antiqua" w:cs="Arial"/>
                <w:b/>
              </w:rPr>
              <w:t>9 July 2018</w:t>
            </w:r>
            <w:r w:rsidR="00AF0EED" w:rsidRPr="00436F15">
              <w:rPr>
                <w:rFonts w:ascii="Book Antiqua" w:hAnsi="Book Antiqua" w:cs="Arial"/>
                <w:b/>
              </w:rPr>
              <w:t xml:space="preserve">  </w:t>
            </w:r>
          </w:p>
        </w:tc>
        <w:tc>
          <w:tcPr>
            <w:tcW w:w="4763" w:type="dxa"/>
            <w:shd w:val="clear" w:color="auto" w:fill="auto"/>
          </w:tcPr>
          <w:p w:rsidR="00D22636" w:rsidRPr="00436F15" w:rsidRDefault="007447C6" w:rsidP="00436F15">
            <w:pPr>
              <w:jc w:val="both"/>
              <w:rPr>
                <w:rFonts w:ascii="Book Antiqua" w:hAnsi="Book Antiqua" w:cs="Arial"/>
                <w:b/>
              </w:rPr>
            </w:pPr>
            <w:r>
              <w:rPr>
                <w:rFonts w:ascii="Book Antiqua" w:hAnsi="Book Antiqua" w:cs="Arial"/>
                <w:b/>
              </w:rPr>
              <w:t>On 12 July 2018</w:t>
            </w:r>
          </w:p>
        </w:tc>
      </w:tr>
      <w:tr w:rsidR="00D22636" w:rsidRPr="00436F15" w:rsidTr="00027B9B">
        <w:tc>
          <w:tcPr>
            <w:tcW w:w="5245" w:type="dxa"/>
            <w:shd w:val="clear" w:color="auto" w:fill="auto"/>
          </w:tcPr>
          <w:p w:rsidR="00D22636" w:rsidRPr="00436F15" w:rsidRDefault="00D22636" w:rsidP="00436F15">
            <w:pPr>
              <w:jc w:val="both"/>
              <w:rPr>
                <w:rFonts w:ascii="Book Antiqua" w:hAnsi="Book Antiqua" w:cs="Arial"/>
                <w:b/>
              </w:rPr>
            </w:pPr>
          </w:p>
        </w:tc>
        <w:tc>
          <w:tcPr>
            <w:tcW w:w="4763" w:type="dxa"/>
            <w:shd w:val="clear" w:color="auto" w:fill="auto"/>
          </w:tcPr>
          <w:p w:rsidR="00D22636" w:rsidRPr="00436F15" w:rsidRDefault="00D22636" w:rsidP="00436F15">
            <w:pPr>
              <w:jc w:val="both"/>
              <w:rPr>
                <w:rFonts w:ascii="Book Antiqua" w:hAnsi="Book Antiqua" w:cs="Arial"/>
                <w:b/>
              </w:rPr>
            </w:pPr>
          </w:p>
        </w:tc>
      </w:tr>
    </w:tbl>
    <w:p w:rsidR="00A15234" w:rsidRPr="005C480B" w:rsidRDefault="00A15234" w:rsidP="00A15234">
      <w:pPr>
        <w:jc w:val="center"/>
        <w:rPr>
          <w:rFonts w:ascii="Book Antiqua" w:hAnsi="Book Antiqua" w:cs="Arial"/>
        </w:rPr>
      </w:pPr>
    </w:p>
    <w:p w:rsidR="00A15234" w:rsidRPr="005C480B" w:rsidRDefault="00207617" w:rsidP="00A15234">
      <w:pPr>
        <w:jc w:val="center"/>
        <w:rPr>
          <w:rFonts w:ascii="Book Antiqua" w:hAnsi="Book Antiqua" w:cs="Arial"/>
          <w:b/>
        </w:rPr>
      </w:pPr>
      <w:bookmarkStart w:id="0" w:name="_GoBack"/>
      <w:bookmarkEnd w:id="0"/>
      <w:r w:rsidRPr="005C480B">
        <w:rPr>
          <w:rFonts w:ascii="Book Antiqua" w:hAnsi="Book Antiqua" w:cs="Arial"/>
          <w:b/>
        </w:rPr>
        <w:t>Befo</w:t>
      </w:r>
      <w:r w:rsidR="00A15234" w:rsidRPr="005C480B">
        <w:rPr>
          <w:rFonts w:ascii="Book Antiqua" w:hAnsi="Book Antiqua" w:cs="Arial"/>
          <w:b/>
        </w:rPr>
        <w:t>re</w:t>
      </w:r>
    </w:p>
    <w:p w:rsidR="00A15234" w:rsidRPr="005C480B" w:rsidRDefault="00A15234" w:rsidP="00A15234">
      <w:pPr>
        <w:jc w:val="center"/>
        <w:rPr>
          <w:rFonts w:ascii="Book Antiqua" w:hAnsi="Book Antiqua" w:cs="Arial"/>
          <w:b/>
        </w:rPr>
      </w:pPr>
    </w:p>
    <w:p w:rsidR="001A1E2C" w:rsidRPr="005C480B" w:rsidRDefault="008A7CAE" w:rsidP="00A15234">
      <w:pPr>
        <w:jc w:val="center"/>
        <w:rPr>
          <w:rFonts w:ascii="Book Antiqua" w:hAnsi="Book Antiqua" w:cs="Arial"/>
          <w:b/>
        </w:rPr>
      </w:pPr>
      <w:smartTag w:uri="urn:schemas-microsoft-com:office:smarttags" w:element="PersonName">
        <w:r w:rsidRPr="005C480B">
          <w:rPr>
            <w:rFonts w:ascii="Book Antiqua" w:hAnsi="Book Antiqua" w:cs="Arial"/>
            <w:b/>
          </w:rPr>
          <w:t>DEPUTY UPPER TRIBUNAL</w:t>
        </w:r>
        <w:r w:rsidR="00B16F58" w:rsidRPr="005C480B">
          <w:rPr>
            <w:rFonts w:ascii="Book Antiqua" w:hAnsi="Book Antiqua" w:cs="Arial"/>
            <w:b/>
          </w:rPr>
          <w:t xml:space="preserve"> JUDGE </w:t>
        </w:r>
        <w:smartTag w:uri="urn:schemas:contacts" w:element="Sn">
          <w:r w:rsidR="00D30B7C" w:rsidRPr="005C480B">
            <w:rPr>
              <w:rFonts w:ascii="Book Antiqua" w:hAnsi="Book Antiqua" w:cs="Arial"/>
              <w:b/>
            </w:rPr>
            <w:t>MONSON</w:t>
          </w:r>
        </w:smartTag>
      </w:smartTag>
    </w:p>
    <w:p w:rsidR="00B16F58" w:rsidRPr="005C480B" w:rsidRDefault="00B16F58" w:rsidP="00A15234">
      <w:pPr>
        <w:jc w:val="center"/>
        <w:rPr>
          <w:rFonts w:ascii="Book Antiqua" w:hAnsi="Book Antiqua" w:cs="Arial"/>
          <w:b/>
        </w:rPr>
      </w:pPr>
    </w:p>
    <w:p w:rsidR="00A845DC" w:rsidRPr="005C480B" w:rsidRDefault="00A845DC" w:rsidP="00A15234">
      <w:pPr>
        <w:jc w:val="center"/>
        <w:rPr>
          <w:rFonts w:ascii="Book Antiqua" w:hAnsi="Book Antiqua" w:cs="Arial"/>
          <w:b/>
        </w:rPr>
      </w:pPr>
      <w:r w:rsidRPr="005C480B">
        <w:rPr>
          <w:rFonts w:ascii="Book Antiqua" w:hAnsi="Book Antiqua" w:cs="Arial"/>
          <w:b/>
        </w:rPr>
        <w:t>Between</w:t>
      </w:r>
    </w:p>
    <w:p w:rsidR="00A845DC" w:rsidRPr="005C480B" w:rsidRDefault="00A845DC" w:rsidP="00A15234">
      <w:pPr>
        <w:jc w:val="center"/>
        <w:rPr>
          <w:rFonts w:ascii="Book Antiqua" w:hAnsi="Book Antiqua" w:cs="Arial"/>
          <w:b/>
        </w:rPr>
      </w:pPr>
    </w:p>
    <w:p w:rsidR="003D5CA0" w:rsidRPr="005C480B" w:rsidRDefault="00AF0EED" w:rsidP="003D5CA0">
      <w:pPr>
        <w:jc w:val="center"/>
        <w:rPr>
          <w:rFonts w:ascii="Book Antiqua" w:hAnsi="Book Antiqua" w:cs="Arial"/>
          <w:b/>
          <w:caps/>
        </w:rPr>
      </w:pPr>
      <w:r w:rsidRPr="005C480B">
        <w:rPr>
          <w:rFonts w:ascii="Book Antiqua" w:hAnsi="Book Antiqua" w:cs="Arial"/>
          <w:b/>
          <w:caps/>
          <w:noProof/>
        </w:rPr>
        <w:t>THE SECRETARY OF STATE FOR THE HOME DEPARTMENT</w:t>
      </w:r>
    </w:p>
    <w:p w:rsidR="00704B61" w:rsidRPr="005C480B" w:rsidRDefault="00704B61" w:rsidP="00704B61">
      <w:pPr>
        <w:jc w:val="right"/>
        <w:rPr>
          <w:rFonts w:ascii="Book Antiqua" w:hAnsi="Book Antiqua" w:cs="Arial"/>
          <w:u w:val="single"/>
        </w:rPr>
      </w:pPr>
      <w:r w:rsidRPr="005C480B">
        <w:rPr>
          <w:rFonts w:ascii="Book Antiqua" w:hAnsi="Book Antiqua" w:cs="Arial"/>
          <w:u w:val="single"/>
        </w:rPr>
        <w:t>Appellant</w:t>
      </w:r>
    </w:p>
    <w:p w:rsidR="006D1DFA" w:rsidRPr="005C480B" w:rsidRDefault="006D1DFA" w:rsidP="00704B61">
      <w:pPr>
        <w:jc w:val="center"/>
        <w:rPr>
          <w:rFonts w:ascii="Book Antiqua" w:hAnsi="Book Antiqua" w:cs="Arial"/>
          <w:b/>
        </w:rPr>
      </w:pPr>
    </w:p>
    <w:p w:rsidR="00704B61" w:rsidRPr="005C480B" w:rsidRDefault="00DD5071" w:rsidP="00704B61">
      <w:pPr>
        <w:jc w:val="center"/>
        <w:rPr>
          <w:rFonts w:ascii="Book Antiqua" w:hAnsi="Book Antiqua" w:cs="Arial"/>
          <w:b/>
        </w:rPr>
      </w:pPr>
      <w:r w:rsidRPr="005C480B">
        <w:rPr>
          <w:rFonts w:ascii="Book Antiqua" w:hAnsi="Book Antiqua" w:cs="Arial"/>
          <w:b/>
        </w:rPr>
        <w:t>and</w:t>
      </w:r>
    </w:p>
    <w:p w:rsidR="00DD5071" w:rsidRPr="005C480B" w:rsidRDefault="00DD5071" w:rsidP="00704B61">
      <w:pPr>
        <w:jc w:val="center"/>
        <w:rPr>
          <w:rFonts w:ascii="Book Antiqua" w:hAnsi="Book Antiqua" w:cs="Arial"/>
          <w:b/>
        </w:rPr>
      </w:pPr>
    </w:p>
    <w:p w:rsidR="00DD5071" w:rsidRPr="005C480B" w:rsidRDefault="008C470C" w:rsidP="00E34610">
      <w:pPr>
        <w:jc w:val="center"/>
        <w:rPr>
          <w:rFonts w:ascii="Book Antiqua" w:hAnsi="Book Antiqua" w:cs="Arial"/>
          <w:b/>
          <w:caps/>
        </w:rPr>
      </w:pPr>
      <w:r>
        <w:rPr>
          <w:rFonts w:ascii="Book Antiqua" w:hAnsi="Book Antiqua" w:cs="Arial"/>
          <w:b/>
          <w:caps/>
        </w:rPr>
        <w:t>farhan ullah siddiqui</w:t>
      </w:r>
      <w:r w:rsidR="00DE4B68" w:rsidRPr="005C480B">
        <w:rPr>
          <w:rFonts w:ascii="Book Antiqua" w:hAnsi="Book Antiqua" w:cs="Arial"/>
          <w:b/>
          <w:caps/>
        </w:rPr>
        <w:t xml:space="preserve"> </w:t>
      </w:r>
    </w:p>
    <w:p w:rsidR="00966FF9" w:rsidRPr="00027B9B" w:rsidRDefault="00966FF9" w:rsidP="00E34610">
      <w:pPr>
        <w:jc w:val="center"/>
        <w:rPr>
          <w:rFonts w:ascii="Book Antiqua" w:hAnsi="Book Antiqua" w:cs="Arial"/>
          <w:caps/>
        </w:rPr>
      </w:pPr>
      <w:r w:rsidRPr="00027B9B">
        <w:rPr>
          <w:rFonts w:ascii="Book Antiqua" w:hAnsi="Book Antiqua" w:cs="Arial"/>
          <w:caps/>
        </w:rPr>
        <w:t xml:space="preserve">(ANONYMITY DIRECTION </w:t>
      </w:r>
      <w:r w:rsidRPr="00027B9B">
        <w:rPr>
          <w:rFonts w:ascii="Book Antiqua" w:hAnsi="Book Antiqua" w:cs="Arial"/>
          <w:caps/>
          <w:noProof/>
        </w:rPr>
        <w:t>NOT MADE</w:t>
      </w:r>
      <w:r w:rsidRPr="00027B9B">
        <w:rPr>
          <w:rFonts w:ascii="Book Antiqua" w:hAnsi="Book Antiqua" w:cs="Arial"/>
          <w:caps/>
        </w:rPr>
        <w:t xml:space="preserve">)  </w:t>
      </w:r>
    </w:p>
    <w:p w:rsidR="00DD5071" w:rsidRPr="005C480B" w:rsidRDefault="00DE4B68" w:rsidP="00DD5071">
      <w:pPr>
        <w:jc w:val="right"/>
        <w:rPr>
          <w:rFonts w:ascii="Book Antiqua" w:hAnsi="Book Antiqua" w:cs="Arial"/>
          <w:u w:val="single"/>
        </w:rPr>
      </w:pPr>
      <w:r w:rsidRPr="005C480B">
        <w:rPr>
          <w:rFonts w:ascii="Book Antiqua" w:hAnsi="Book Antiqua" w:cs="Arial"/>
          <w:u w:val="single"/>
        </w:rPr>
        <w:t xml:space="preserve">Respondent/Claimant  </w:t>
      </w:r>
    </w:p>
    <w:p w:rsidR="00DD5071" w:rsidRPr="005C480B" w:rsidRDefault="00DD5071" w:rsidP="00DD5071">
      <w:pPr>
        <w:rPr>
          <w:rFonts w:ascii="Book Antiqua" w:hAnsi="Book Antiqua" w:cs="Arial"/>
          <w:u w:val="single"/>
        </w:rPr>
      </w:pPr>
    </w:p>
    <w:p w:rsidR="00FF63D4" w:rsidRPr="005C480B" w:rsidRDefault="00FF63D4" w:rsidP="00DD5071">
      <w:pPr>
        <w:rPr>
          <w:rFonts w:ascii="Book Antiqua" w:hAnsi="Book Antiqua" w:cs="Arial"/>
          <w:u w:val="single"/>
        </w:rPr>
      </w:pPr>
    </w:p>
    <w:p w:rsidR="00DD5071" w:rsidRPr="005C480B" w:rsidRDefault="00DE7DB7" w:rsidP="00DD5071">
      <w:pPr>
        <w:rPr>
          <w:rFonts w:ascii="Book Antiqua" w:hAnsi="Book Antiqua" w:cs="Arial"/>
        </w:rPr>
      </w:pPr>
      <w:r w:rsidRPr="005C480B">
        <w:rPr>
          <w:rFonts w:ascii="Book Antiqua" w:hAnsi="Book Antiqua" w:cs="Arial"/>
          <w:b/>
          <w:u w:val="single"/>
        </w:rPr>
        <w:t>Representation</w:t>
      </w:r>
      <w:r w:rsidRPr="005C480B">
        <w:rPr>
          <w:rFonts w:ascii="Book Antiqua" w:hAnsi="Book Antiqua" w:cs="Arial"/>
          <w:b/>
        </w:rPr>
        <w:t>:</w:t>
      </w:r>
    </w:p>
    <w:p w:rsidR="00DE7DB7" w:rsidRPr="005C480B" w:rsidRDefault="00DE7DB7" w:rsidP="00DD5071">
      <w:pPr>
        <w:rPr>
          <w:rFonts w:ascii="Book Antiqua" w:hAnsi="Book Antiqua" w:cs="Arial"/>
        </w:rPr>
      </w:pPr>
    </w:p>
    <w:p w:rsidR="00DE7DB7" w:rsidRPr="005C480B" w:rsidRDefault="00DE7DB7" w:rsidP="00CB13A6">
      <w:pPr>
        <w:tabs>
          <w:tab w:val="left" w:pos="2520"/>
        </w:tabs>
        <w:ind w:left="3402" w:hanging="3402"/>
        <w:rPr>
          <w:rFonts w:ascii="Book Antiqua" w:hAnsi="Book Antiqua" w:cs="Arial"/>
        </w:rPr>
      </w:pPr>
      <w:r w:rsidRPr="005C480B">
        <w:rPr>
          <w:rFonts w:ascii="Book Antiqua" w:hAnsi="Book Antiqua" w:cs="Arial"/>
        </w:rPr>
        <w:t>For the Appellant:</w:t>
      </w:r>
      <w:r w:rsidRPr="005C480B">
        <w:rPr>
          <w:rFonts w:ascii="Book Antiqua" w:hAnsi="Book Antiqua" w:cs="Arial"/>
        </w:rPr>
        <w:tab/>
      </w:r>
      <w:r w:rsidR="00CB13A6" w:rsidRPr="005C480B">
        <w:rPr>
          <w:rFonts w:ascii="Book Antiqua" w:hAnsi="Book Antiqua" w:cs="Arial"/>
        </w:rPr>
        <w:tab/>
      </w:r>
      <w:r w:rsidR="00CB13A6" w:rsidRPr="005C480B">
        <w:rPr>
          <w:rFonts w:ascii="Book Antiqua" w:hAnsi="Book Antiqua" w:cs="Arial"/>
        </w:rPr>
        <w:tab/>
      </w:r>
      <w:r w:rsidR="008C470C">
        <w:rPr>
          <w:rFonts w:ascii="Book Antiqua" w:hAnsi="Book Antiqua" w:cs="Arial"/>
        </w:rPr>
        <w:t>Ms A. Everett</w:t>
      </w:r>
      <w:r w:rsidR="00966FF9" w:rsidRPr="005C480B">
        <w:rPr>
          <w:rFonts w:ascii="Book Antiqua" w:hAnsi="Book Antiqua" w:cs="Arial"/>
        </w:rPr>
        <w:t xml:space="preserve">, Senior Home Office Presenting Officer   </w:t>
      </w:r>
    </w:p>
    <w:p w:rsidR="00DE7DB7" w:rsidRPr="005C480B" w:rsidRDefault="00DE7DB7" w:rsidP="00CB13A6">
      <w:pPr>
        <w:tabs>
          <w:tab w:val="left" w:pos="2520"/>
        </w:tabs>
        <w:ind w:left="3402" w:hanging="3402"/>
        <w:rPr>
          <w:rFonts w:ascii="Book Antiqua" w:hAnsi="Book Antiqua" w:cs="Arial"/>
        </w:rPr>
      </w:pPr>
      <w:r w:rsidRPr="005C480B">
        <w:rPr>
          <w:rFonts w:ascii="Book Antiqua" w:hAnsi="Book Antiqua" w:cs="Arial"/>
        </w:rPr>
        <w:t xml:space="preserve">For the </w:t>
      </w:r>
      <w:r w:rsidR="00CB13A6" w:rsidRPr="005C480B">
        <w:rPr>
          <w:rFonts w:ascii="Book Antiqua" w:hAnsi="Book Antiqua" w:cs="Arial"/>
        </w:rPr>
        <w:t>Respondent/Claimant</w:t>
      </w:r>
      <w:r w:rsidRPr="005C480B">
        <w:rPr>
          <w:rFonts w:ascii="Book Antiqua" w:hAnsi="Book Antiqua" w:cs="Arial"/>
        </w:rPr>
        <w:t>:</w:t>
      </w:r>
      <w:r w:rsidRPr="005C480B">
        <w:rPr>
          <w:rFonts w:ascii="Book Antiqua" w:hAnsi="Book Antiqua" w:cs="Arial"/>
        </w:rPr>
        <w:tab/>
      </w:r>
      <w:r w:rsidR="008C470C">
        <w:rPr>
          <w:rFonts w:ascii="Book Antiqua" w:hAnsi="Book Antiqua" w:cs="Arial"/>
        </w:rPr>
        <w:t xml:space="preserve">Mr S. </w:t>
      </w:r>
      <w:proofErr w:type="spellStart"/>
      <w:r w:rsidR="008C470C">
        <w:rPr>
          <w:rFonts w:ascii="Book Antiqua" w:hAnsi="Book Antiqua" w:cs="Arial"/>
        </w:rPr>
        <w:t>Bellara</w:t>
      </w:r>
      <w:proofErr w:type="spellEnd"/>
      <w:r w:rsidR="001A274A" w:rsidRPr="005C480B">
        <w:rPr>
          <w:rFonts w:ascii="Book Antiqua" w:hAnsi="Book Antiqua" w:cs="Arial"/>
        </w:rPr>
        <w:t xml:space="preserve">, Counsel, instructed by </w:t>
      </w:r>
      <w:r w:rsidR="008C470C">
        <w:rPr>
          <w:rFonts w:ascii="Book Antiqua" w:hAnsi="Book Antiqua" w:cs="Arial"/>
        </w:rPr>
        <w:t xml:space="preserve">Legend </w:t>
      </w:r>
      <w:r w:rsidR="001A274A" w:rsidRPr="005C480B">
        <w:rPr>
          <w:rFonts w:ascii="Book Antiqua" w:hAnsi="Book Antiqua" w:cs="Arial"/>
        </w:rPr>
        <w:t xml:space="preserve">Solicitors  </w:t>
      </w:r>
    </w:p>
    <w:p w:rsidR="00DE7DB7" w:rsidRPr="005C480B" w:rsidRDefault="00DE7DB7" w:rsidP="00402B9E">
      <w:pPr>
        <w:tabs>
          <w:tab w:val="left" w:pos="2520"/>
        </w:tabs>
        <w:jc w:val="center"/>
        <w:rPr>
          <w:rFonts w:ascii="Book Antiqua" w:hAnsi="Book Antiqua" w:cs="Arial"/>
        </w:rPr>
      </w:pPr>
    </w:p>
    <w:p w:rsidR="00DE7DB7" w:rsidRPr="005C480B" w:rsidRDefault="00DE7DB7" w:rsidP="00402B9E">
      <w:pPr>
        <w:tabs>
          <w:tab w:val="left" w:pos="2520"/>
        </w:tabs>
        <w:jc w:val="center"/>
        <w:rPr>
          <w:rFonts w:ascii="Book Antiqua" w:hAnsi="Book Antiqua" w:cs="Arial"/>
        </w:rPr>
      </w:pPr>
    </w:p>
    <w:p w:rsidR="00DE7DB7" w:rsidRPr="005C480B" w:rsidRDefault="00E03927" w:rsidP="00402B9E">
      <w:pPr>
        <w:tabs>
          <w:tab w:val="left" w:pos="2520"/>
        </w:tabs>
        <w:jc w:val="center"/>
        <w:rPr>
          <w:rFonts w:ascii="Book Antiqua" w:hAnsi="Book Antiqua" w:cs="Arial"/>
        </w:rPr>
      </w:pPr>
      <w:r w:rsidRPr="005C480B">
        <w:rPr>
          <w:rFonts w:ascii="Book Antiqua" w:hAnsi="Book Antiqua" w:cs="Arial"/>
          <w:b/>
          <w:u w:val="single"/>
        </w:rPr>
        <w:t xml:space="preserve">DECISION </w:t>
      </w:r>
      <w:r w:rsidR="00402B9E" w:rsidRPr="005C480B">
        <w:rPr>
          <w:rFonts w:ascii="Book Antiqua" w:hAnsi="Book Antiqua" w:cs="Arial"/>
          <w:b/>
          <w:u w:val="single"/>
        </w:rPr>
        <w:t>AND REASONS</w:t>
      </w:r>
    </w:p>
    <w:p w:rsidR="00B626FA" w:rsidRPr="005C480B" w:rsidRDefault="00B626FA" w:rsidP="00402B9E">
      <w:pPr>
        <w:tabs>
          <w:tab w:val="left" w:pos="2520"/>
        </w:tabs>
        <w:jc w:val="both"/>
        <w:rPr>
          <w:rFonts w:ascii="Book Antiqua" w:hAnsi="Book Antiqua" w:cs="Arial"/>
        </w:rPr>
      </w:pPr>
    </w:p>
    <w:p w:rsidR="00B1751E" w:rsidRDefault="00CB13A6" w:rsidP="00F10429">
      <w:pPr>
        <w:numPr>
          <w:ilvl w:val="0"/>
          <w:numId w:val="3"/>
        </w:numPr>
        <w:spacing w:before="240"/>
        <w:jc w:val="both"/>
        <w:rPr>
          <w:rFonts w:ascii="Book Antiqua" w:hAnsi="Book Antiqua" w:cs="Arial"/>
        </w:rPr>
      </w:pPr>
      <w:r w:rsidRPr="005C480B">
        <w:rPr>
          <w:rFonts w:ascii="Book Antiqua" w:hAnsi="Book Antiqua" w:cs="Arial"/>
        </w:rPr>
        <w:t xml:space="preserve">The Secretary of State appeals to the Upper Tribunal </w:t>
      </w:r>
      <w:r w:rsidR="009D4377">
        <w:rPr>
          <w:rFonts w:ascii="Book Antiqua" w:hAnsi="Book Antiqua" w:cs="Arial"/>
        </w:rPr>
        <w:t xml:space="preserve">from </w:t>
      </w:r>
      <w:r w:rsidRPr="005C480B">
        <w:rPr>
          <w:rFonts w:ascii="Book Antiqua" w:hAnsi="Book Antiqua" w:cs="Arial"/>
        </w:rPr>
        <w:t>the decision of the First-tier Tribunal</w:t>
      </w:r>
      <w:r w:rsidR="008C470C">
        <w:rPr>
          <w:rFonts w:ascii="Book Antiqua" w:hAnsi="Book Antiqua" w:cs="Arial"/>
        </w:rPr>
        <w:t xml:space="preserve"> (Judge Mailer</w:t>
      </w:r>
      <w:r w:rsidR="00DB7E70" w:rsidRPr="005C480B">
        <w:rPr>
          <w:rFonts w:ascii="Book Antiqua" w:hAnsi="Book Antiqua" w:cs="Arial"/>
        </w:rPr>
        <w:t xml:space="preserve"> sitting at </w:t>
      </w:r>
      <w:r w:rsidR="008C470C">
        <w:rPr>
          <w:rFonts w:ascii="Book Antiqua" w:hAnsi="Book Antiqua" w:cs="Arial"/>
        </w:rPr>
        <w:t>Hatton Cross</w:t>
      </w:r>
      <w:r w:rsidR="00FA6FE0">
        <w:rPr>
          <w:rFonts w:ascii="Book Antiqua" w:hAnsi="Book Antiqua" w:cs="Arial"/>
        </w:rPr>
        <w:t xml:space="preserve"> on 6 December 2017</w:t>
      </w:r>
      <w:r w:rsidR="00DB7E70" w:rsidRPr="005C480B">
        <w:rPr>
          <w:rFonts w:ascii="Book Antiqua" w:hAnsi="Book Antiqua" w:cs="Arial"/>
        </w:rPr>
        <w:t>)</w:t>
      </w:r>
      <w:r w:rsidR="00942F68" w:rsidRPr="005C480B">
        <w:rPr>
          <w:rFonts w:ascii="Book Antiqua" w:hAnsi="Book Antiqua" w:cs="Arial"/>
        </w:rPr>
        <w:t xml:space="preserve"> allowing the claimant’s appeal against the decision </w:t>
      </w:r>
      <w:r w:rsidR="008C470C">
        <w:rPr>
          <w:rFonts w:ascii="Book Antiqua" w:hAnsi="Book Antiqua" w:cs="Arial"/>
        </w:rPr>
        <w:t xml:space="preserve">made on 4 December 2016 </w:t>
      </w:r>
      <w:r w:rsidR="00942F68" w:rsidRPr="005C480B">
        <w:rPr>
          <w:rFonts w:ascii="Book Antiqua" w:hAnsi="Book Antiqua" w:cs="Arial"/>
        </w:rPr>
        <w:t xml:space="preserve">to refuse to grant him leave to remain </w:t>
      </w:r>
      <w:r w:rsidR="008C470C">
        <w:rPr>
          <w:rFonts w:ascii="Book Antiqua" w:hAnsi="Book Antiqua" w:cs="Arial"/>
        </w:rPr>
        <w:t xml:space="preserve">as the partner of a settled person. The ground of refusal was that his presence in the UK was not conducive to the public good because he had obtained an ETS English language certificate by deception, and had relied on it in an application made in March 2012.  At the hearing of the appeal, the Presenting Officer conceded that the </w:t>
      </w:r>
      <w:r w:rsidR="008C470C" w:rsidRPr="008C470C">
        <w:rPr>
          <w:rFonts w:ascii="Book Antiqua" w:hAnsi="Book Antiqua" w:cs="Arial"/>
          <w:i/>
        </w:rPr>
        <w:t>“evidential burden at the initial stage was not met”</w:t>
      </w:r>
      <w:r w:rsidR="00B1751E">
        <w:rPr>
          <w:rFonts w:ascii="Book Antiqua" w:hAnsi="Book Antiqua" w:cs="Arial"/>
        </w:rPr>
        <w:t xml:space="preserve">. In his subsequent decision, the </w:t>
      </w:r>
      <w:r w:rsidR="00B1751E">
        <w:rPr>
          <w:rFonts w:ascii="Book Antiqua" w:hAnsi="Book Antiqua" w:cs="Arial"/>
        </w:rPr>
        <w:lastRenderedPageBreak/>
        <w:t>Judge declared that the concession was properly made; that the appellant met the suitability requirements under the Rules; and that the refusal decision was unlawful under the Human Rights Act 1998.</w:t>
      </w:r>
    </w:p>
    <w:p w:rsidR="00966FF9" w:rsidRPr="005C480B" w:rsidRDefault="008351C0" w:rsidP="00F10429">
      <w:pPr>
        <w:numPr>
          <w:ilvl w:val="0"/>
          <w:numId w:val="3"/>
        </w:numPr>
        <w:spacing w:before="240"/>
        <w:jc w:val="both"/>
        <w:rPr>
          <w:rFonts w:ascii="Book Antiqua" w:hAnsi="Book Antiqua" w:cs="Arial"/>
        </w:rPr>
      </w:pPr>
      <w:r w:rsidRPr="005C480B">
        <w:rPr>
          <w:rFonts w:ascii="Book Antiqua" w:hAnsi="Book Antiqua" w:cs="Arial"/>
        </w:rPr>
        <w:t>The First-tier Tribunal did not make an anonymity direction, and I do not consider that the claimant requires anonymity for these proceedings in the Upper Tribunal</w:t>
      </w:r>
      <w:r w:rsidR="00416B5C" w:rsidRPr="005C480B">
        <w:rPr>
          <w:rFonts w:ascii="Book Antiqua" w:hAnsi="Book Antiqua" w:cs="Arial"/>
        </w:rPr>
        <w:t xml:space="preserve">.  </w:t>
      </w:r>
    </w:p>
    <w:p w:rsidR="002A5DAC" w:rsidRPr="005C480B" w:rsidRDefault="002A5DAC" w:rsidP="00ED6DFE">
      <w:pPr>
        <w:spacing w:before="240"/>
        <w:jc w:val="both"/>
        <w:rPr>
          <w:rFonts w:ascii="Book Antiqua" w:hAnsi="Book Antiqua" w:cs="Arial"/>
          <w:b/>
          <w:u w:val="single"/>
        </w:rPr>
      </w:pPr>
      <w:r w:rsidRPr="005C480B">
        <w:rPr>
          <w:rFonts w:ascii="Book Antiqua" w:hAnsi="Book Antiqua" w:cs="Arial"/>
          <w:b/>
          <w:u w:val="single"/>
        </w:rPr>
        <w:t>The Reasons</w:t>
      </w:r>
      <w:r w:rsidR="00ED6DFE" w:rsidRPr="005C480B">
        <w:rPr>
          <w:rFonts w:ascii="Book Antiqua" w:hAnsi="Book Antiqua" w:cs="Arial"/>
          <w:b/>
          <w:u w:val="single"/>
        </w:rPr>
        <w:t xml:space="preserve"> for the </w:t>
      </w:r>
      <w:smartTag w:uri="urn:schemas:contacts" w:element="GivenName">
        <w:r w:rsidR="00ED6DFE" w:rsidRPr="005C480B">
          <w:rPr>
            <w:rFonts w:ascii="Book Antiqua" w:hAnsi="Book Antiqua" w:cs="Arial"/>
            <w:b/>
            <w:u w:val="single"/>
          </w:rPr>
          <w:t>Grant</w:t>
        </w:r>
      </w:smartTag>
      <w:r w:rsidR="00ED6DFE" w:rsidRPr="005C480B">
        <w:rPr>
          <w:rFonts w:ascii="Book Antiqua" w:hAnsi="Book Antiqua" w:cs="Arial"/>
          <w:b/>
          <w:u w:val="single"/>
        </w:rPr>
        <w:t xml:space="preserve"> of Permission to Appeal  </w:t>
      </w:r>
    </w:p>
    <w:p w:rsidR="00232C06" w:rsidRPr="005C480B" w:rsidRDefault="00ED6DFE" w:rsidP="00F10429">
      <w:pPr>
        <w:numPr>
          <w:ilvl w:val="0"/>
          <w:numId w:val="3"/>
        </w:numPr>
        <w:spacing w:before="240"/>
        <w:jc w:val="both"/>
        <w:rPr>
          <w:rFonts w:ascii="Book Antiqua" w:hAnsi="Book Antiqua" w:cs="Arial"/>
        </w:rPr>
      </w:pPr>
      <w:r w:rsidRPr="005C480B">
        <w:rPr>
          <w:rFonts w:ascii="Book Antiqua" w:hAnsi="Book Antiqua" w:cs="Arial"/>
        </w:rPr>
        <w:t xml:space="preserve">On </w:t>
      </w:r>
      <w:r w:rsidR="00B1751E">
        <w:rPr>
          <w:rFonts w:ascii="Book Antiqua" w:hAnsi="Book Antiqua" w:cs="Arial"/>
        </w:rPr>
        <w:t>2 May 2018 First-tier Tribunal Judge Lambert</w:t>
      </w:r>
      <w:r w:rsidRPr="005C480B">
        <w:rPr>
          <w:rFonts w:ascii="Book Antiqua" w:hAnsi="Book Antiqua" w:cs="Arial"/>
        </w:rPr>
        <w:t xml:space="preserve"> </w:t>
      </w:r>
      <w:r w:rsidR="00FA0F3D" w:rsidRPr="005C480B">
        <w:rPr>
          <w:rFonts w:ascii="Book Antiqua" w:hAnsi="Book Antiqua" w:cs="Arial"/>
        </w:rPr>
        <w:t xml:space="preserve">granted the Secretary of State permission to appeal for the following </w:t>
      </w:r>
      <w:r w:rsidR="00232C06" w:rsidRPr="005C480B">
        <w:rPr>
          <w:rFonts w:ascii="Book Antiqua" w:hAnsi="Book Antiqua" w:cs="Arial"/>
        </w:rPr>
        <w:t xml:space="preserve">reasons:  </w:t>
      </w:r>
    </w:p>
    <w:p w:rsidR="00B1751E" w:rsidRDefault="00B1751E" w:rsidP="00B1751E">
      <w:pPr>
        <w:spacing w:before="240"/>
        <w:ind w:left="1134"/>
        <w:jc w:val="both"/>
        <w:rPr>
          <w:rFonts w:ascii="Book Antiqua" w:hAnsi="Book Antiqua"/>
          <w:sz w:val="20"/>
          <w:szCs w:val="20"/>
        </w:rPr>
      </w:pPr>
      <w:r>
        <w:rPr>
          <w:rFonts w:ascii="Book Antiqua" w:hAnsi="Book Antiqua"/>
          <w:sz w:val="20"/>
          <w:szCs w:val="20"/>
        </w:rPr>
        <w:t xml:space="preserve">“The grounds take issue with the judge’s finding that the primary evidential burden on the [SSHD] had not been met. They ignore the concession to this effect specifically recorded at paragraph 22 of the decision … </w:t>
      </w:r>
      <w:proofErr w:type="gramStart"/>
      <w:r>
        <w:rPr>
          <w:rFonts w:ascii="Book Antiqua" w:hAnsi="Book Antiqua"/>
          <w:sz w:val="20"/>
          <w:szCs w:val="20"/>
        </w:rPr>
        <w:t>However</w:t>
      </w:r>
      <w:proofErr w:type="gramEnd"/>
      <w:r>
        <w:rPr>
          <w:rFonts w:ascii="Book Antiqua" w:hAnsi="Book Antiqua"/>
          <w:sz w:val="20"/>
          <w:szCs w:val="20"/>
        </w:rPr>
        <w:t xml:space="preserve"> it remained incumbent on the judge to consider whether that concession on behalf of the [SSHD] had been properly made. The finding at paragraph 24 to this effect is inadequately reasoned.”</w:t>
      </w:r>
    </w:p>
    <w:p w:rsidR="00B2658C" w:rsidRPr="005C480B" w:rsidRDefault="00FF11A1" w:rsidP="00F10429">
      <w:pPr>
        <w:spacing w:before="240"/>
        <w:jc w:val="both"/>
        <w:rPr>
          <w:rFonts w:ascii="Book Antiqua" w:hAnsi="Book Antiqua" w:cs="Arial"/>
          <w:b/>
          <w:u w:val="single"/>
        </w:rPr>
      </w:pPr>
      <w:r w:rsidRPr="005C480B">
        <w:rPr>
          <w:rFonts w:ascii="Book Antiqua" w:hAnsi="Book Antiqua" w:cs="Arial"/>
          <w:b/>
          <w:u w:val="single"/>
        </w:rPr>
        <w:t xml:space="preserve">The Error of Law Hearing  </w:t>
      </w:r>
    </w:p>
    <w:p w:rsidR="009D4377" w:rsidRDefault="009D4377" w:rsidP="00F10429">
      <w:pPr>
        <w:numPr>
          <w:ilvl w:val="0"/>
          <w:numId w:val="3"/>
        </w:numPr>
        <w:spacing w:before="240"/>
        <w:jc w:val="both"/>
        <w:rPr>
          <w:rFonts w:ascii="Book Antiqua" w:hAnsi="Book Antiqua" w:cs="Arial"/>
        </w:rPr>
      </w:pPr>
      <w:r>
        <w:rPr>
          <w:rFonts w:ascii="Book Antiqua" w:hAnsi="Book Antiqua" w:cs="Arial"/>
        </w:rPr>
        <w:t>At</w:t>
      </w:r>
      <w:r w:rsidR="004E36B8" w:rsidRPr="005C480B">
        <w:rPr>
          <w:rFonts w:ascii="Book Antiqua" w:hAnsi="Book Antiqua" w:cs="Arial"/>
        </w:rPr>
        <w:t xml:space="preserve"> </w:t>
      </w:r>
      <w:r w:rsidR="00FF11A1" w:rsidRPr="005C480B">
        <w:rPr>
          <w:rFonts w:ascii="Book Antiqua" w:hAnsi="Book Antiqua" w:cs="Arial"/>
        </w:rPr>
        <w:t xml:space="preserve">the outset of the hearing before me to determine whether an error of law was made out, </w:t>
      </w:r>
      <w:r w:rsidR="00B1751E">
        <w:rPr>
          <w:rFonts w:ascii="Book Antiqua" w:hAnsi="Book Antiqua" w:cs="Arial"/>
        </w:rPr>
        <w:t xml:space="preserve">Ms Everett withdrew the error of law challenge. </w:t>
      </w:r>
      <w:r w:rsidR="00504AC9">
        <w:rPr>
          <w:rFonts w:ascii="Book Antiqua" w:hAnsi="Book Antiqua" w:cs="Arial"/>
        </w:rPr>
        <w:t>She accepted that the Judge had given adequate reasons for finding that the Secretary of State had not discharged the burden of proving that the claimant had obtained his ETs language test results by deception.</w:t>
      </w:r>
      <w:r w:rsidR="00FF11A1" w:rsidRPr="005C480B">
        <w:rPr>
          <w:rFonts w:ascii="Book Antiqua" w:hAnsi="Book Antiqua" w:cs="Arial"/>
        </w:rPr>
        <w:t xml:space="preserve">  </w:t>
      </w:r>
      <w:r w:rsidR="00504AC9">
        <w:rPr>
          <w:rFonts w:ascii="Book Antiqua" w:hAnsi="Book Antiqua" w:cs="Arial"/>
        </w:rPr>
        <w:t>After a brief discussion with both representatives, I dismissed the Secretary of State’s appeal to the UT, with written reasons to follow.</w:t>
      </w:r>
    </w:p>
    <w:p w:rsidR="00504AC9" w:rsidRPr="00504AC9" w:rsidRDefault="00504AC9" w:rsidP="00504AC9">
      <w:pPr>
        <w:spacing w:before="240"/>
        <w:jc w:val="both"/>
        <w:rPr>
          <w:rFonts w:ascii="Book Antiqua" w:hAnsi="Book Antiqua" w:cs="Arial"/>
          <w:b/>
          <w:u w:val="single"/>
        </w:rPr>
      </w:pPr>
      <w:r>
        <w:rPr>
          <w:rFonts w:ascii="Book Antiqua" w:hAnsi="Book Antiqua" w:cs="Arial"/>
          <w:b/>
          <w:u w:val="single"/>
        </w:rPr>
        <w:t>Reasons for finding no error of law</w:t>
      </w:r>
    </w:p>
    <w:p w:rsidR="00D95789" w:rsidRPr="00504AC9" w:rsidRDefault="00504AC9" w:rsidP="00504AC9">
      <w:pPr>
        <w:numPr>
          <w:ilvl w:val="0"/>
          <w:numId w:val="3"/>
        </w:numPr>
        <w:spacing w:before="240"/>
        <w:jc w:val="both"/>
        <w:rPr>
          <w:rFonts w:ascii="Book Antiqua" w:hAnsi="Book Antiqua" w:cs="Arial"/>
        </w:rPr>
      </w:pPr>
      <w:r>
        <w:rPr>
          <w:rFonts w:ascii="Book Antiqua" w:hAnsi="Book Antiqua" w:cs="Arial"/>
        </w:rPr>
        <w:t xml:space="preserve">Before Judge Mailer, Mr </w:t>
      </w:r>
      <w:proofErr w:type="spellStart"/>
      <w:r>
        <w:rPr>
          <w:rFonts w:ascii="Book Antiqua" w:hAnsi="Book Antiqua" w:cs="Arial"/>
        </w:rPr>
        <w:t>Bellara</w:t>
      </w:r>
      <w:proofErr w:type="spellEnd"/>
      <w:r>
        <w:rPr>
          <w:rFonts w:ascii="Book Antiqua" w:hAnsi="Book Antiqua" w:cs="Arial"/>
        </w:rPr>
        <w:t xml:space="preserve"> relied on</w:t>
      </w:r>
      <w:r w:rsidR="00025978" w:rsidRPr="005C480B">
        <w:rPr>
          <w:rFonts w:ascii="Book Antiqua" w:hAnsi="Book Antiqua" w:cs="Arial"/>
        </w:rPr>
        <w:t xml:space="preserve"> </w:t>
      </w:r>
      <w:r w:rsidR="00025978" w:rsidRPr="005C480B">
        <w:rPr>
          <w:rFonts w:ascii="Book Antiqua" w:hAnsi="Book Antiqua" w:cs="Arial"/>
          <w:b/>
          <w:u w:val="single"/>
        </w:rPr>
        <w:t>Secretary of State for the Home Department</w:t>
      </w:r>
      <w:r w:rsidR="006962B2" w:rsidRPr="005C480B">
        <w:rPr>
          <w:rFonts w:ascii="Book Antiqua" w:hAnsi="Book Antiqua" w:cs="Arial"/>
          <w:b/>
          <w:u w:val="single"/>
        </w:rPr>
        <w:t xml:space="preserve"> and (1) </w:t>
      </w:r>
      <w:r w:rsidR="00034B50" w:rsidRPr="005C480B">
        <w:rPr>
          <w:rFonts w:ascii="Book Antiqua" w:hAnsi="Book Antiqua" w:cs="Arial"/>
          <w:b/>
          <w:u w:val="single"/>
        </w:rPr>
        <w:t>Muhamma</w:t>
      </w:r>
      <w:r w:rsidR="006962B2" w:rsidRPr="005C480B">
        <w:rPr>
          <w:rFonts w:ascii="Book Antiqua" w:hAnsi="Book Antiqua" w:cs="Arial"/>
          <w:b/>
          <w:u w:val="single"/>
        </w:rPr>
        <w:t>d Shehzad</w:t>
      </w:r>
      <w:r w:rsidR="00DF771E" w:rsidRPr="005C480B">
        <w:rPr>
          <w:rFonts w:ascii="Book Antiqua" w:hAnsi="Book Antiqua" w:cs="Arial"/>
          <w:b/>
          <w:u w:val="single"/>
        </w:rPr>
        <w:t xml:space="preserve"> and (2) </w:t>
      </w:r>
      <w:r w:rsidR="00C64F71" w:rsidRPr="005C480B">
        <w:rPr>
          <w:rFonts w:ascii="Book Antiqua" w:hAnsi="Book Antiqua" w:cs="Arial"/>
          <w:b/>
          <w:u w:val="single"/>
        </w:rPr>
        <w:t xml:space="preserve">MD </w:t>
      </w:r>
      <w:r w:rsidR="006962B2" w:rsidRPr="005C480B">
        <w:rPr>
          <w:rFonts w:ascii="Book Antiqua" w:hAnsi="Book Antiqua" w:cs="Arial"/>
          <w:b/>
          <w:u w:val="single"/>
        </w:rPr>
        <w:t>Chowdhury</w:t>
      </w:r>
      <w:r w:rsidR="00117925" w:rsidRPr="005C480B">
        <w:rPr>
          <w:rFonts w:ascii="Book Antiqua" w:hAnsi="Book Antiqua" w:cs="Arial"/>
          <w:b/>
        </w:rPr>
        <w:t xml:space="preserve"> [2016] EWCA </w:t>
      </w:r>
      <w:proofErr w:type="spellStart"/>
      <w:r w:rsidR="00117925" w:rsidRPr="005C480B">
        <w:rPr>
          <w:rFonts w:ascii="Book Antiqua" w:hAnsi="Book Antiqua" w:cs="Arial"/>
          <w:b/>
        </w:rPr>
        <w:t>Civ</w:t>
      </w:r>
      <w:proofErr w:type="spellEnd"/>
      <w:r w:rsidR="00117925" w:rsidRPr="005C480B">
        <w:rPr>
          <w:rFonts w:ascii="Book Antiqua" w:hAnsi="Book Antiqua" w:cs="Arial"/>
          <w:b/>
        </w:rPr>
        <w:t xml:space="preserve"> 615</w:t>
      </w:r>
      <w:r>
        <w:rPr>
          <w:rFonts w:ascii="Book Antiqua" w:hAnsi="Book Antiqua" w:cs="Arial"/>
        </w:rPr>
        <w:t xml:space="preserve"> where </w:t>
      </w:r>
      <w:r w:rsidR="00F92365" w:rsidRPr="00504AC9">
        <w:rPr>
          <w:rFonts w:ascii="Book Antiqua" w:hAnsi="Book Antiqua" w:cs="Arial"/>
        </w:rPr>
        <w:t>Beats</w:t>
      </w:r>
      <w:r w:rsidR="006A7A94" w:rsidRPr="00504AC9">
        <w:rPr>
          <w:rFonts w:ascii="Book Antiqua" w:hAnsi="Book Antiqua" w:cs="Arial"/>
        </w:rPr>
        <w:t>o</w:t>
      </w:r>
      <w:r w:rsidR="00F92365" w:rsidRPr="00504AC9">
        <w:rPr>
          <w:rFonts w:ascii="Book Antiqua" w:hAnsi="Book Antiqua" w:cs="Arial"/>
        </w:rPr>
        <w:t>n LJ</w:t>
      </w:r>
      <w:r w:rsidR="000301AC" w:rsidRPr="00504AC9">
        <w:rPr>
          <w:rFonts w:ascii="Book Antiqua" w:hAnsi="Book Antiqua" w:cs="Arial"/>
        </w:rPr>
        <w:t xml:space="preserve">, giving the leading judgment </w:t>
      </w:r>
      <w:r w:rsidR="00004C2E" w:rsidRPr="00504AC9">
        <w:rPr>
          <w:rFonts w:ascii="Book Antiqua" w:hAnsi="Book Antiqua" w:cs="Arial"/>
        </w:rPr>
        <w:t xml:space="preserve">of the court, summarised the central issue which the court was addressing at paragraph </w:t>
      </w:r>
      <w:r w:rsidR="00B91C33" w:rsidRPr="00504AC9">
        <w:rPr>
          <w:rFonts w:ascii="Book Antiqua" w:hAnsi="Book Antiqua" w:cs="Arial"/>
        </w:rPr>
        <w:t>[</w:t>
      </w:r>
      <w:r w:rsidR="00004C2E" w:rsidRPr="00504AC9">
        <w:rPr>
          <w:rFonts w:ascii="Book Antiqua" w:hAnsi="Book Antiqua" w:cs="Arial"/>
        </w:rPr>
        <w:t>19</w:t>
      </w:r>
      <w:r w:rsidR="00B91C33" w:rsidRPr="00504AC9">
        <w:rPr>
          <w:rFonts w:ascii="Book Antiqua" w:hAnsi="Book Antiqua" w:cs="Arial"/>
        </w:rPr>
        <w:t>]</w:t>
      </w:r>
      <w:r w:rsidR="00004C2E" w:rsidRPr="00504AC9">
        <w:rPr>
          <w:rFonts w:ascii="Book Antiqua" w:hAnsi="Book Antiqua" w:cs="Arial"/>
        </w:rPr>
        <w:t>:</w:t>
      </w:r>
      <w:r w:rsidR="005F51A3" w:rsidRPr="00504AC9">
        <w:rPr>
          <w:rFonts w:ascii="Book Antiqua" w:hAnsi="Book Antiqua" w:cs="Arial"/>
        </w:rPr>
        <w:t xml:space="preserve"> </w:t>
      </w:r>
      <w:r w:rsidR="00D95789" w:rsidRPr="00504AC9">
        <w:rPr>
          <w:rFonts w:ascii="Book Antiqua" w:hAnsi="Book Antiqua" w:cs="Arial"/>
        </w:rPr>
        <w:t xml:space="preserve">           </w:t>
      </w:r>
    </w:p>
    <w:p w:rsidR="007B0509" w:rsidRPr="00504AC9" w:rsidRDefault="00504AC9" w:rsidP="00D95789">
      <w:pPr>
        <w:spacing w:before="240"/>
        <w:ind w:left="1134"/>
        <w:jc w:val="both"/>
        <w:rPr>
          <w:rFonts w:ascii="Book Antiqua" w:hAnsi="Book Antiqua" w:cs="Arial"/>
          <w:sz w:val="20"/>
          <w:szCs w:val="20"/>
        </w:rPr>
      </w:pPr>
      <w:r>
        <w:rPr>
          <w:rFonts w:ascii="Book Antiqua" w:hAnsi="Book Antiqua" w:cs="Arial"/>
          <w:sz w:val="20"/>
          <w:szCs w:val="20"/>
        </w:rPr>
        <w:t>“</w:t>
      </w:r>
      <w:r w:rsidR="00D95789" w:rsidRPr="00504AC9">
        <w:rPr>
          <w:rFonts w:ascii="Book Antiqua" w:hAnsi="Book Antiqua" w:cs="Arial"/>
          <w:sz w:val="20"/>
          <w:szCs w:val="20"/>
        </w:rPr>
        <w:t xml:space="preserve">These </w:t>
      </w:r>
      <w:r w:rsidR="005F51A3" w:rsidRPr="00504AC9">
        <w:rPr>
          <w:rFonts w:ascii="Book Antiqua" w:hAnsi="Book Antiqua" w:cs="Arial"/>
          <w:sz w:val="20"/>
          <w:szCs w:val="20"/>
        </w:rPr>
        <w:t xml:space="preserve">appeals are only </w:t>
      </w:r>
      <w:r w:rsidR="006F4AAF" w:rsidRPr="00504AC9">
        <w:rPr>
          <w:rFonts w:ascii="Book Antiqua" w:hAnsi="Book Antiqua" w:cs="Arial"/>
          <w:sz w:val="20"/>
          <w:szCs w:val="20"/>
        </w:rPr>
        <w:t xml:space="preserve">concerned with whether their evidence (the generic </w:t>
      </w:r>
      <w:r w:rsidR="002524F4" w:rsidRPr="00504AC9">
        <w:rPr>
          <w:rFonts w:ascii="Book Antiqua" w:hAnsi="Book Antiqua" w:cs="Arial"/>
          <w:sz w:val="20"/>
          <w:szCs w:val="20"/>
        </w:rPr>
        <w:t>evidence of Mr Millington and M</w:t>
      </w:r>
      <w:r w:rsidR="006F4AAF" w:rsidRPr="00504AC9">
        <w:rPr>
          <w:rFonts w:ascii="Book Antiqua" w:hAnsi="Book Antiqua" w:cs="Arial"/>
          <w:sz w:val="20"/>
          <w:szCs w:val="20"/>
        </w:rPr>
        <w:t xml:space="preserve">s Collings regarding ETS’s analysis of the spoken English component of the </w:t>
      </w:r>
      <w:r w:rsidR="00D83DE7" w:rsidRPr="00504AC9">
        <w:rPr>
          <w:rFonts w:ascii="Book Antiqua" w:hAnsi="Book Antiqua" w:cs="Arial"/>
          <w:sz w:val="20"/>
          <w:szCs w:val="20"/>
        </w:rPr>
        <w:t xml:space="preserve">TOEIC test), </w:t>
      </w:r>
      <w:r w:rsidR="00D83DE7" w:rsidRPr="00504AC9">
        <w:rPr>
          <w:rFonts w:ascii="Book Antiqua" w:hAnsi="Book Antiqua" w:cs="Arial"/>
          <w:i/>
          <w:sz w:val="20"/>
          <w:szCs w:val="20"/>
        </w:rPr>
        <w:t xml:space="preserve">together with evidence </w:t>
      </w:r>
      <w:r w:rsidR="00D41D37" w:rsidRPr="00504AC9">
        <w:rPr>
          <w:rFonts w:ascii="Book Antiqua" w:hAnsi="Book Antiqua" w:cs="Arial"/>
          <w:i/>
          <w:sz w:val="20"/>
          <w:szCs w:val="20"/>
        </w:rPr>
        <w:t>that the tests of the in</w:t>
      </w:r>
      <w:r w:rsidRPr="00504AC9">
        <w:rPr>
          <w:rFonts w:ascii="Book Antiqua" w:hAnsi="Book Antiqua" w:cs="Arial"/>
          <w:i/>
          <w:sz w:val="20"/>
          <w:szCs w:val="20"/>
        </w:rPr>
        <w:t>dividual under consideration have</w:t>
      </w:r>
      <w:r w:rsidR="00D41D37" w:rsidRPr="00504AC9">
        <w:rPr>
          <w:rFonts w:ascii="Book Antiqua" w:hAnsi="Book Antiqua" w:cs="Arial"/>
          <w:i/>
          <w:sz w:val="20"/>
          <w:szCs w:val="20"/>
        </w:rPr>
        <w:t xml:space="preserve"> been assessed as </w:t>
      </w:r>
      <w:r w:rsidR="00D95789" w:rsidRPr="00504AC9">
        <w:rPr>
          <w:rFonts w:ascii="Book Antiqua" w:hAnsi="Book Antiqua" w:cs="Arial"/>
          <w:i/>
          <w:sz w:val="20"/>
          <w:szCs w:val="20"/>
        </w:rPr>
        <w:t>‘</w:t>
      </w:r>
      <w:r w:rsidR="00D41D37" w:rsidRPr="00504AC9">
        <w:rPr>
          <w:rFonts w:ascii="Book Antiqua" w:hAnsi="Book Antiqua" w:cs="Arial"/>
          <w:i/>
          <w:sz w:val="20"/>
          <w:szCs w:val="20"/>
        </w:rPr>
        <w:t>invalid</w:t>
      </w:r>
      <w:r w:rsidR="00D95789" w:rsidRPr="00504AC9">
        <w:rPr>
          <w:rFonts w:ascii="Book Antiqua" w:hAnsi="Book Antiqua" w:cs="Arial"/>
          <w:i/>
          <w:sz w:val="20"/>
          <w:szCs w:val="20"/>
        </w:rPr>
        <w:t>’</w:t>
      </w:r>
      <w:r w:rsidR="00F65DC5" w:rsidRPr="00504AC9">
        <w:rPr>
          <w:rFonts w:ascii="Book Antiqua" w:hAnsi="Book Antiqua" w:cs="Arial"/>
          <w:i/>
          <w:sz w:val="20"/>
          <w:szCs w:val="20"/>
        </w:rPr>
        <w:t xml:space="preserve"> rather than as</w:t>
      </w:r>
      <w:r w:rsidR="00D95789" w:rsidRPr="00504AC9">
        <w:rPr>
          <w:rFonts w:ascii="Book Antiqua" w:hAnsi="Book Antiqua" w:cs="Arial"/>
          <w:i/>
          <w:sz w:val="20"/>
          <w:szCs w:val="20"/>
        </w:rPr>
        <w:t xml:space="preserve"> ‘</w:t>
      </w:r>
      <w:r w:rsidR="00F65DC5" w:rsidRPr="00504AC9">
        <w:rPr>
          <w:rFonts w:ascii="Book Antiqua" w:hAnsi="Book Antiqua" w:cs="Arial"/>
          <w:i/>
          <w:sz w:val="20"/>
          <w:szCs w:val="20"/>
        </w:rPr>
        <w:t>questionable</w:t>
      </w:r>
      <w:r w:rsidR="00D95789" w:rsidRPr="00504AC9">
        <w:rPr>
          <w:rFonts w:ascii="Book Antiqua" w:hAnsi="Book Antiqua" w:cs="Arial"/>
          <w:i/>
          <w:sz w:val="20"/>
          <w:szCs w:val="20"/>
        </w:rPr>
        <w:t xml:space="preserve">’ </w:t>
      </w:r>
      <w:r w:rsidR="00F65DC5" w:rsidRPr="00504AC9">
        <w:rPr>
          <w:rFonts w:ascii="Book Antiqua" w:hAnsi="Book Antiqua" w:cs="Arial"/>
          <w:i/>
          <w:sz w:val="20"/>
          <w:szCs w:val="20"/>
        </w:rPr>
        <w:t>because of problems at the test centre</w:t>
      </w:r>
      <w:r>
        <w:rPr>
          <w:rFonts w:ascii="Book Antiqua" w:hAnsi="Book Antiqua" w:cs="Arial"/>
          <w:i/>
          <w:sz w:val="20"/>
          <w:szCs w:val="20"/>
        </w:rPr>
        <w:t xml:space="preserve"> </w:t>
      </w:r>
      <w:r>
        <w:rPr>
          <w:rFonts w:ascii="Book Antiqua" w:hAnsi="Book Antiqua" w:cs="Arial"/>
          <w:sz w:val="20"/>
          <w:szCs w:val="20"/>
        </w:rPr>
        <w:t>(my emphasis)</w:t>
      </w:r>
      <w:r w:rsidR="00153C24" w:rsidRPr="00504AC9">
        <w:rPr>
          <w:rFonts w:ascii="Book Antiqua" w:hAnsi="Book Antiqua" w:cs="Arial"/>
          <w:sz w:val="20"/>
          <w:szCs w:val="20"/>
        </w:rPr>
        <w:t>, suffices</w:t>
      </w:r>
      <w:r w:rsidR="00395CE7" w:rsidRPr="00504AC9">
        <w:rPr>
          <w:rFonts w:ascii="Book Antiqua" w:hAnsi="Book Antiqua" w:cs="Arial"/>
          <w:sz w:val="20"/>
          <w:szCs w:val="20"/>
        </w:rPr>
        <w:t xml:space="preserve"> </w:t>
      </w:r>
      <w:r w:rsidR="00153C24" w:rsidRPr="00504AC9">
        <w:rPr>
          <w:rFonts w:ascii="Book Antiqua" w:hAnsi="Book Antiqua" w:cs="Arial"/>
          <w:sz w:val="20"/>
          <w:szCs w:val="20"/>
        </w:rPr>
        <w:t xml:space="preserve">to satisfy the evidential burden of showing dishonesty that lies on the Secretary of State and to impose an evidential burden on the individual to raise an innocent explanation.  The question before us is thus not the </w:t>
      </w:r>
      <w:r w:rsidR="009245D1" w:rsidRPr="00504AC9">
        <w:rPr>
          <w:rFonts w:ascii="Book Antiqua" w:hAnsi="Book Antiqua" w:cs="Arial"/>
          <w:sz w:val="20"/>
          <w:szCs w:val="20"/>
        </w:rPr>
        <w:t>ultimate reliability of the evidence</w:t>
      </w:r>
      <w:r w:rsidR="00060A6A" w:rsidRPr="00504AC9">
        <w:rPr>
          <w:rFonts w:ascii="Book Antiqua" w:hAnsi="Book Antiqua" w:cs="Arial"/>
          <w:sz w:val="20"/>
          <w:szCs w:val="20"/>
        </w:rPr>
        <w:t xml:space="preserve"> or the ultimate disposition of the appeals</w:t>
      </w:r>
      <w:r w:rsidR="00B91C33" w:rsidRPr="00504AC9">
        <w:rPr>
          <w:rFonts w:ascii="Book Antiqua" w:hAnsi="Book Antiqua" w:cs="Arial"/>
          <w:sz w:val="20"/>
          <w:szCs w:val="20"/>
        </w:rPr>
        <w:t>.</w:t>
      </w:r>
      <w:r>
        <w:rPr>
          <w:rFonts w:ascii="Book Antiqua" w:hAnsi="Book Antiqua" w:cs="Arial"/>
          <w:sz w:val="20"/>
          <w:szCs w:val="20"/>
        </w:rPr>
        <w:t>”</w:t>
      </w:r>
      <w:r w:rsidR="000D3B71" w:rsidRPr="00504AC9">
        <w:rPr>
          <w:rFonts w:ascii="Book Antiqua" w:hAnsi="Book Antiqua" w:cs="Arial"/>
          <w:sz w:val="20"/>
          <w:szCs w:val="20"/>
        </w:rPr>
        <w:t xml:space="preserve">  </w:t>
      </w:r>
    </w:p>
    <w:p w:rsidR="0053055E" w:rsidRDefault="00504AC9" w:rsidP="00F10429">
      <w:pPr>
        <w:numPr>
          <w:ilvl w:val="0"/>
          <w:numId w:val="3"/>
        </w:numPr>
        <w:spacing w:before="240"/>
        <w:jc w:val="both"/>
        <w:rPr>
          <w:rFonts w:ascii="Book Antiqua" w:hAnsi="Book Antiqua" w:cs="Arial"/>
        </w:rPr>
      </w:pPr>
      <w:r>
        <w:rPr>
          <w:rFonts w:ascii="Book Antiqua" w:hAnsi="Book Antiqua" w:cs="Arial"/>
        </w:rPr>
        <w:t xml:space="preserve">The fatal flaw in the evidence marshalled against the claimant in this appeal was that </w:t>
      </w:r>
      <w:r w:rsidR="0053055E">
        <w:rPr>
          <w:rFonts w:ascii="Book Antiqua" w:hAnsi="Book Antiqua" w:cs="Arial"/>
        </w:rPr>
        <w:t xml:space="preserve">the test results in respect of the speaking and writing test purportedly undertaken by him at the London School of Scholars on 22 February 2012 were declared </w:t>
      </w:r>
      <w:r w:rsidR="0053055E" w:rsidRPr="0045300D">
        <w:rPr>
          <w:rFonts w:ascii="Book Antiqua" w:hAnsi="Book Antiqua" w:cs="Arial"/>
          <w:i/>
        </w:rPr>
        <w:t>“questionable”</w:t>
      </w:r>
      <w:r w:rsidR="0053055E">
        <w:rPr>
          <w:rFonts w:ascii="Book Antiqua" w:hAnsi="Book Antiqua" w:cs="Arial"/>
        </w:rPr>
        <w:t xml:space="preserve"> by ETS, not </w:t>
      </w:r>
      <w:r w:rsidR="0053055E" w:rsidRPr="0045300D">
        <w:rPr>
          <w:rFonts w:ascii="Book Antiqua" w:hAnsi="Book Antiqua" w:cs="Arial"/>
          <w:i/>
        </w:rPr>
        <w:t>“invalid”:</w:t>
      </w:r>
      <w:r w:rsidR="0053055E">
        <w:rPr>
          <w:rFonts w:ascii="Book Antiqua" w:hAnsi="Book Antiqua" w:cs="Arial"/>
        </w:rPr>
        <w:t xml:space="preserve"> see paragraph [10]. This meant that ETS were not satisfied that the claimant’s speaking test result had been achieved </w:t>
      </w:r>
      <w:proofErr w:type="gramStart"/>
      <w:r w:rsidR="0053055E">
        <w:rPr>
          <w:rFonts w:ascii="Book Antiqua" w:hAnsi="Book Antiqua" w:cs="Arial"/>
        </w:rPr>
        <w:t>by the use of</w:t>
      </w:r>
      <w:proofErr w:type="gramEnd"/>
      <w:r w:rsidR="0053055E">
        <w:rPr>
          <w:rFonts w:ascii="Book Antiqua" w:hAnsi="Book Antiqua" w:cs="Arial"/>
        </w:rPr>
        <w:t xml:space="preserve"> a proxy test taker. Accordingly, the burden did not shift to the claimant to provide an innocent explanation for his test result</w:t>
      </w:r>
      <w:r w:rsidR="00FA6FE0">
        <w:rPr>
          <w:rFonts w:ascii="Book Antiqua" w:hAnsi="Book Antiqua" w:cs="Arial"/>
        </w:rPr>
        <w:t>s.</w:t>
      </w:r>
      <w:r w:rsidR="0053055E">
        <w:rPr>
          <w:rFonts w:ascii="Book Antiqua" w:hAnsi="Book Antiqua" w:cs="Arial"/>
        </w:rPr>
        <w:t xml:space="preserve"> </w:t>
      </w:r>
    </w:p>
    <w:p w:rsidR="00C15B79" w:rsidRDefault="0053055E" w:rsidP="0053055E">
      <w:pPr>
        <w:numPr>
          <w:ilvl w:val="0"/>
          <w:numId w:val="3"/>
        </w:numPr>
        <w:spacing w:before="240"/>
        <w:jc w:val="both"/>
        <w:rPr>
          <w:rFonts w:ascii="Book Antiqua" w:hAnsi="Book Antiqua" w:cs="Arial"/>
        </w:rPr>
      </w:pPr>
      <w:r>
        <w:rPr>
          <w:rFonts w:ascii="Book Antiqua" w:hAnsi="Book Antiqua" w:cs="Arial"/>
        </w:rPr>
        <w:lastRenderedPageBreak/>
        <w:t xml:space="preserve">The Judge adequately explained why the </w:t>
      </w:r>
      <w:r w:rsidR="00FA6FE0">
        <w:rPr>
          <w:rFonts w:ascii="Book Antiqua" w:hAnsi="Book Antiqua" w:cs="Arial"/>
        </w:rPr>
        <w:t xml:space="preserve">Presenting Officer’s </w:t>
      </w:r>
      <w:r>
        <w:rPr>
          <w:rFonts w:ascii="Book Antiqua" w:hAnsi="Book Antiqua" w:cs="Arial"/>
        </w:rPr>
        <w:t xml:space="preserve">concession was correct, as he rehearsed the </w:t>
      </w:r>
      <w:r>
        <w:rPr>
          <w:rFonts w:ascii="Book Antiqua" w:hAnsi="Book Antiqua" w:cs="Arial"/>
          <w:i/>
        </w:rPr>
        <w:t xml:space="preserve">ratio decidendi </w:t>
      </w:r>
      <w:r>
        <w:rPr>
          <w:rFonts w:ascii="Book Antiqua" w:hAnsi="Book Antiqua" w:cs="Arial"/>
        </w:rPr>
        <w:t xml:space="preserve">of </w:t>
      </w:r>
      <w:r w:rsidR="00FA6FE0" w:rsidRPr="00FA6FE0">
        <w:rPr>
          <w:rFonts w:ascii="Book Antiqua" w:hAnsi="Book Antiqua" w:cs="Arial"/>
          <w:b/>
          <w:u w:val="single"/>
        </w:rPr>
        <w:t>Chowdhury</w:t>
      </w:r>
      <w:r w:rsidR="00373654" w:rsidRPr="00FA6FE0">
        <w:rPr>
          <w:rFonts w:ascii="Book Antiqua" w:hAnsi="Book Antiqua" w:cs="Arial"/>
          <w:b/>
          <w:u w:val="single"/>
        </w:rPr>
        <w:t xml:space="preserve"> </w:t>
      </w:r>
      <w:r w:rsidR="00FA6FE0" w:rsidRPr="00FA6FE0">
        <w:rPr>
          <w:rFonts w:ascii="Book Antiqua" w:hAnsi="Book Antiqua" w:cs="Arial"/>
          <w:b/>
          <w:u w:val="single"/>
        </w:rPr>
        <w:t>and Shehzad</w:t>
      </w:r>
      <w:r w:rsidR="00C15B79">
        <w:rPr>
          <w:rFonts w:ascii="Book Antiqua" w:hAnsi="Book Antiqua" w:cs="Arial"/>
        </w:rPr>
        <w:t xml:space="preserve"> at paragraph [13] of his decision, citing a passage in Beatson LJ’s judgment about the consequences of a failure by the Home Office to serve evidence showing that an individual’s test </w:t>
      </w:r>
      <w:r w:rsidR="0045300D">
        <w:rPr>
          <w:rFonts w:ascii="Book Antiqua" w:hAnsi="Book Antiqua" w:cs="Arial"/>
        </w:rPr>
        <w:t xml:space="preserve">result </w:t>
      </w:r>
      <w:r w:rsidR="00C15B79">
        <w:rPr>
          <w:rFonts w:ascii="Book Antiqua" w:hAnsi="Book Antiqua" w:cs="Arial"/>
        </w:rPr>
        <w:t xml:space="preserve">has been categorised by ETS as </w:t>
      </w:r>
      <w:r w:rsidR="00C15B79" w:rsidRPr="0045300D">
        <w:rPr>
          <w:rFonts w:ascii="Book Antiqua" w:hAnsi="Book Antiqua" w:cs="Arial"/>
          <w:i/>
        </w:rPr>
        <w:t>“invalid”.</w:t>
      </w:r>
    </w:p>
    <w:p w:rsidR="00C15B79" w:rsidRDefault="00C15B79" w:rsidP="0053055E">
      <w:pPr>
        <w:numPr>
          <w:ilvl w:val="0"/>
          <w:numId w:val="3"/>
        </w:numPr>
        <w:spacing w:before="240"/>
        <w:jc w:val="both"/>
        <w:rPr>
          <w:rFonts w:ascii="Book Antiqua" w:hAnsi="Book Antiqua" w:cs="Arial"/>
        </w:rPr>
      </w:pPr>
      <w:r>
        <w:rPr>
          <w:rFonts w:ascii="Book Antiqua" w:hAnsi="Book Antiqua" w:cs="Arial"/>
        </w:rPr>
        <w:t xml:space="preserve">The Judge also identified an additional reason as to why the concession was rightly given and the burden of proof was not discharged which was that, following an interview about the ETS test in 2016, the interviewing </w:t>
      </w:r>
      <w:r w:rsidR="00FA6FE0">
        <w:rPr>
          <w:rFonts w:ascii="Book Antiqua" w:hAnsi="Book Antiqua" w:cs="Arial"/>
        </w:rPr>
        <w:t>officer assessed the claim</w:t>
      </w:r>
      <w:r>
        <w:rPr>
          <w:rFonts w:ascii="Book Antiqua" w:hAnsi="Book Antiqua" w:cs="Arial"/>
        </w:rPr>
        <w:t xml:space="preserve">ant as </w:t>
      </w:r>
      <w:r w:rsidRPr="00FA6FE0">
        <w:rPr>
          <w:rFonts w:ascii="Book Antiqua" w:hAnsi="Book Antiqua" w:cs="Arial"/>
          <w:i/>
        </w:rPr>
        <w:t>“credible”</w:t>
      </w:r>
      <w:r w:rsidRPr="00FA6FE0">
        <w:rPr>
          <w:rFonts w:ascii="Book Antiqua" w:hAnsi="Book Antiqua" w:cs="Arial"/>
        </w:rPr>
        <w:t>:</w:t>
      </w:r>
      <w:r>
        <w:rPr>
          <w:rFonts w:ascii="Book Antiqua" w:hAnsi="Book Antiqua" w:cs="Arial"/>
        </w:rPr>
        <w:t xml:space="preserve"> see paragraph [25].</w:t>
      </w:r>
    </w:p>
    <w:p w:rsidR="00C15B79" w:rsidRDefault="00C15B79" w:rsidP="0053055E">
      <w:pPr>
        <w:numPr>
          <w:ilvl w:val="0"/>
          <w:numId w:val="3"/>
        </w:numPr>
        <w:spacing w:before="240"/>
        <w:jc w:val="both"/>
        <w:rPr>
          <w:rFonts w:ascii="Book Antiqua" w:hAnsi="Book Antiqua" w:cs="Arial"/>
        </w:rPr>
      </w:pPr>
      <w:r>
        <w:rPr>
          <w:rFonts w:ascii="Book Antiqua" w:hAnsi="Book Antiqua" w:cs="Arial"/>
        </w:rPr>
        <w:t>For the above reasons, Ground 1 is not made out.</w:t>
      </w:r>
    </w:p>
    <w:p w:rsidR="00C15B79" w:rsidRDefault="00C15B79" w:rsidP="0053055E">
      <w:pPr>
        <w:numPr>
          <w:ilvl w:val="0"/>
          <w:numId w:val="3"/>
        </w:numPr>
        <w:spacing w:before="240"/>
        <w:jc w:val="both"/>
        <w:rPr>
          <w:rFonts w:ascii="Book Antiqua" w:hAnsi="Book Antiqua" w:cs="Arial"/>
        </w:rPr>
      </w:pPr>
      <w:r>
        <w:rPr>
          <w:rFonts w:ascii="Book Antiqua" w:hAnsi="Book Antiqua" w:cs="Arial"/>
        </w:rPr>
        <w:t xml:space="preserve">Ground 2 was that the Judge did not give adequate reasons for allowing the appeal outside the Rules. </w:t>
      </w:r>
      <w:r w:rsidR="00FA6FE0">
        <w:rPr>
          <w:rFonts w:ascii="Book Antiqua" w:hAnsi="Book Antiqua" w:cs="Arial"/>
        </w:rPr>
        <w:t xml:space="preserve">But this ground has no merit as the Judge did not purport to allow it outside the Rules. The appeal proceeded on the basis that the only issue under the Rules was whether the claimant met the suitability requirements. The Judge held at paragraph [35] that the relevant suitability and eligibility requirements under the Rules were met, and there </w:t>
      </w:r>
      <w:r w:rsidR="0045300D">
        <w:rPr>
          <w:rFonts w:ascii="Book Antiqua" w:hAnsi="Book Antiqua" w:cs="Arial"/>
        </w:rPr>
        <w:t>is no challenge to this finding of fact beyond that contained in Ground 1.</w:t>
      </w:r>
      <w:r w:rsidR="00FA6FE0">
        <w:rPr>
          <w:rFonts w:ascii="Book Antiqua" w:hAnsi="Book Antiqua" w:cs="Arial"/>
        </w:rPr>
        <w:t xml:space="preserve"> </w:t>
      </w:r>
    </w:p>
    <w:p w:rsidR="00E03927" w:rsidRPr="005C480B" w:rsidRDefault="00E03927" w:rsidP="006B7242">
      <w:pPr>
        <w:spacing w:before="240"/>
        <w:jc w:val="both"/>
        <w:rPr>
          <w:rFonts w:ascii="Book Antiqua" w:hAnsi="Book Antiqua" w:cs="Arial"/>
          <w:b/>
          <w:u w:val="single"/>
        </w:rPr>
      </w:pPr>
      <w:r w:rsidRPr="005C480B">
        <w:rPr>
          <w:rFonts w:ascii="Book Antiqua" w:hAnsi="Book Antiqua" w:cs="Arial"/>
          <w:b/>
          <w:u w:val="single"/>
        </w:rPr>
        <w:t xml:space="preserve">Notice of </w:t>
      </w:r>
      <w:r w:rsidR="006B7242" w:rsidRPr="005C480B">
        <w:rPr>
          <w:rFonts w:ascii="Book Antiqua" w:hAnsi="Book Antiqua" w:cs="Arial"/>
          <w:b/>
          <w:u w:val="single"/>
        </w:rPr>
        <w:t xml:space="preserve">Decision       </w:t>
      </w:r>
    </w:p>
    <w:p w:rsidR="00E03927" w:rsidRPr="005C480B" w:rsidRDefault="006B7242" w:rsidP="006B7242">
      <w:pPr>
        <w:numPr>
          <w:ilvl w:val="0"/>
          <w:numId w:val="3"/>
        </w:numPr>
        <w:spacing w:before="240"/>
        <w:jc w:val="both"/>
        <w:rPr>
          <w:rFonts w:ascii="Book Antiqua" w:hAnsi="Book Antiqua" w:cs="Arial"/>
        </w:rPr>
      </w:pPr>
      <w:r w:rsidRPr="005C480B">
        <w:rPr>
          <w:rFonts w:ascii="Book Antiqua" w:hAnsi="Book Antiqua" w:cs="Arial"/>
        </w:rPr>
        <w:t xml:space="preserve">The decision of the First-tier Tribunal </w:t>
      </w:r>
      <w:r w:rsidR="00FA6FE0">
        <w:rPr>
          <w:rFonts w:ascii="Book Antiqua" w:hAnsi="Book Antiqua" w:cs="Arial"/>
        </w:rPr>
        <w:t>did not contain an error of law</w:t>
      </w:r>
      <w:r w:rsidRPr="005C480B">
        <w:rPr>
          <w:rFonts w:ascii="Book Antiqua" w:hAnsi="Book Antiqua" w:cs="Arial"/>
        </w:rPr>
        <w:t xml:space="preserve"> and accordingly the decisi</w:t>
      </w:r>
      <w:r w:rsidR="00FA6FE0">
        <w:rPr>
          <w:rFonts w:ascii="Book Antiqua" w:hAnsi="Book Antiqua" w:cs="Arial"/>
        </w:rPr>
        <w:t>on stands. The Secretary of State’s appeal to the Upper Tribunal is dismissed.</w:t>
      </w:r>
      <w:r w:rsidRPr="005C480B">
        <w:rPr>
          <w:rFonts w:ascii="Book Antiqua" w:hAnsi="Book Antiqua" w:cs="Arial"/>
        </w:rPr>
        <w:t xml:space="preserve">  </w:t>
      </w:r>
    </w:p>
    <w:p w:rsidR="000369F5" w:rsidRPr="005C480B" w:rsidRDefault="000369F5" w:rsidP="000369F5">
      <w:pPr>
        <w:tabs>
          <w:tab w:val="left" w:pos="2520"/>
        </w:tabs>
        <w:jc w:val="both"/>
        <w:rPr>
          <w:rFonts w:ascii="Book Antiqua" w:hAnsi="Book Antiqua" w:cs="Arial"/>
        </w:rPr>
      </w:pPr>
    </w:p>
    <w:p w:rsidR="004B32F8" w:rsidRPr="005C480B" w:rsidRDefault="004B32F8" w:rsidP="000369F5">
      <w:pPr>
        <w:tabs>
          <w:tab w:val="left" w:pos="2520"/>
        </w:tabs>
        <w:jc w:val="both"/>
        <w:rPr>
          <w:rFonts w:ascii="Book Antiqua" w:hAnsi="Book Antiqua" w:cs="Arial"/>
        </w:rPr>
      </w:pPr>
    </w:p>
    <w:p w:rsidR="000369F5" w:rsidRPr="005C480B" w:rsidRDefault="000369F5" w:rsidP="000369F5">
      <w:pPr>
        <w:tabs>
          <w:tab w:val="left" w:pos="2520"/>
        </w:tabs>
        <w:jc w:val="both"/>
        <w:rPr>
          <w:rFonts w:ascii="Book Antiqua" w:hAnsi="Book Antiqua" w:cs="Arial"/>
        </w:rPr>
      </w:pPr>
    </w:p>
    <w:p w:rsidR="000369F5" w:rsidRPr="005C480B" w:rsidRDefault="000369F5" w:rsidP="000369F5">
      <w:pPr>
        <w:tabs>
          <w:tab w:val="left" w:pos="2520"/>
        </w:tabs>
        <w:jc w:val="both"/>
        <w:rPr>
          <w:rFonts w:ascii="Book Antiqua" w:hAnsi="Book Antiqua" w:cs="Arial"/>
        </w:rPr>
      </w:pPr>
    </w:p>
    <w:p w:rsidR="000369F5" w:rsidRPr="005C480B" w:rsidRDefault="000369F5" w:rsidP="000369F5">
      <w:pPr>
        <w:tabs>
          <w:tab w:val="left" w:pos="2520"/>
        </w:tabs>
        <w:jc w:val="both"/>
        <w:rPr>
          <w:rFonts w:ascii="Book Antiqua" w:hAnsi="Book Antiqua" w:cs="Arial"/>
        </w:rPr>
      </w:pPr>
    </w:p>
    <w:p w:rsidR="001F2716" w:rsidRPr="005C480B" w:rsidRDefault="006E3C90" w:rsidP="000369F5">
      <w:pPr>
        <w:tabs>
          <w:tab w:val="left" w:pos="2520"/>
        </w:tabs>
        <w:jc w:val="both"/>
        <w:rPr>
          <w:rFonts w:ascii="Book Antiqua" w:hAnsi="Book Antiqua" w:cs="Arial"/>
        </w:rPr>
      </w:pPr>
      <w:r w:rsidRPr="005C480B">
        <w:rPr>
          <w:rFonts w:ascii="Book Antiqua" w:hAnsi="Book Antiqua" w:cs="Arial"/>
        </w:rPr>
        <w:t>Signed</w:t>
      </w:r>
      <w:r w:rsidRPr="005C480B">
        <w:rPr>
          <w:rFonts w:ascii="Book Antiqua" w:hAnsi="Book Antiqua" w:cs="Arial"/>
        </w:rPr>
        <w:tab/>
      </w:r>
      <w:r w:rsidRPr="005C480B">
        <w:rPr>
          <w:rFonts w:ascii="Book Antiqua" w:hAnsi="Book Antiqua" w:cs="Arial"/>
        </w:rPr>
        <w:tab/>
      </w:r>
      <w:r w:rsidRPr="005C480B">
        <w:rPr>
          <w:rFonts w:ascii="Book Antiqua" w:hAnsi="Book Antiqua" w:cs="Arial"/>
        </w:rPr>
        <w:tab/>
      </w:r>
      <w:r w:rsidRPr="005C480B">
        <w:rPr>
          <w:rFonts w:ascii="Book Antiqua" w:hAnsi="Book Antiqua" w:cs="Arial"/>
        </w:rPr>
        <w:tab/>
      </w:r>
      <w:r w:rsidRPr="005C480B">
        <w:rPr>
          <w:rFonts w:ascii="Book Antiqua" w:hAnsi="Book Antiqua" w:cs="Arial"/>
        </w:rPr>
        <w:tab/>
      </w:r>
      <w:r w:rsidRPr="005C480B">
        <w:rPr>
          <w:rFonts w:ascii="Book Antiqua" w:hAnsi="Book Antiqua" w:cs="Arial"/>
        </w:rPr>
        <w:tab/>
      </w:r>
      <w:r w:rsidRPr="005C480B">
        <w:rPr>
          <w:rFonts w:ascii="Book Antiqua" w:hAnsi="Book Antiqua" w:cs="Arial"/>
        </w:rPr>
        <w:tab/>
      </w:r>
      <w:r w:rsidR="001F2716" w:rsidRPr="005C480B">
        <w:rPr>
          <w:rFonts w:ascii="Book Antiqua" w:hAnsi="Book Antiqua" w:cs="Arial"/>
        </w:rPr>
        <w:t>Date</w:t>
      </w:r>
      <w:r w:rsidR="007447C6">
        <w:rPr>
          <w:rFonts w:ascii="Book Antiqua" w:hAnsi="Book Antiqua" w:cs="Arial"/>
        </w:rPr>
        <w:t xml:space="preserve"> 10 July 2018</w:t>
      </w:r>
    </w:p>
    <w:p w:rsidR="001F2716" w:rsidRPr="005C480B" w:rsidRDefault="001F2716" w:rsidP="000369F5">
      <w:pPr>
        <w:tabs>
          <w:tab w:val="left" w:pos="2520"/>
        </w:tabs>
        <w:jc w:val="both"/>
        <w:rPr>
          <w:rFonts w:ascii="Book Antiqua" w:hAnsi="Book Antiqua" w:cs="Arial"/>
        </w:rPr>
      </w:pPr>
    </w:p>
    <w:p w:rsidR="001F2716" w:rsidRPr="005C480B" w:rsidRDefault="001F2716" w:rsidP="000369F5">
      <w:pPr>
        <w:tabs>
          <w:tab w:val="left" w:pos="2520"/>
        </w:tabs>
        <w:jc w:val="both"/>
        <w:rPr>
          <w:rFonts w:ascii="Book Antiqua" w:hAnsi="Book Antiqua" w:cs="Arial"/>
        </w:rPr>
      </w:pPr>
    </w:p>
    <w:p w:rsidR="000F34D3" w:rsidRDefault="00FD0012" w:rsidP="000369F5">
      <w:pPr>
        <w:tabs>
          <w:tab w:val="left" w:pos="2520"/>
        </w:tabs>
        <w:jc w:val="both"/>
        <w:rPr>
          <w:rFonts w:ascii="Book Antiqua" w:hAnsi="Book Antiqua" w:cs="Arial"/>
        </w:rPr>
      </w:pPr>
      <w:r w:rsidRPr="005C480B">
        <w:rPr>
          <w:rFonts w:ascii="Book Antiqua" w:hAnsi="Book Antiqua" w:cs="Arial"/>
        </w:rPr>
        <w:t>Deputy Upper Tribunal</w:t>
      </w:r>
      <w:r w:rsidR="00AC5CF6" w:rsidRPr="005C480B">
        <w:rPr>
          <w:rFonts w:ascii="Book Antiqua" w:hAnsi="Book Antiqua" w:cs="Arial"/>
        </w:rPr>
        <w:t xml:space="preserve"> Judge</w:t>
      </w:r>
      <w:r w:rsidR="00B16F58" w:rsidRPr="005C480B">
        <w:rPr>
          <w:rFonts w:ascii="Book Antiqua" w:hAnsi="Book Antiqua" w:cs="Arial"/>
        </w:rPr>
        <w:t xml:space="preserve"> </w:t>
      </w:r>
      <w:r w:rsidR="00D30B7C" w:rsidRPr="005C480B">
        <w:rPr>
          <w:rFonts w:ascii="Book Antiqua" w:hAnsi="Book Antiqua" w:cs="Arial"/>
        </w:rPr>
        <w:t>Monson</w:t>
      </w:r>
      <w:r w:rsidR="00C321B5" w:rsidRPr="005C480B">
        <w:rPr>
          <w:rFonts w:ascii="Book Antiqua" w:hAnsi="Book Antiqua" w:cs="Arial"/>
        </w:rPr>
        <w:t xml:space="preserve"> </w:t>
      </w:r>
    </w:p>
    <w:p w:rsidR="000F34D3" w:rsidRDefault="000F34D3" w:rsidP="000369F5">
      <w:pPr>
        <w:tabs>
          <w:tab w:val="left" w:pos="2520"/>
        </w:tabs>
        <w:jc w:val="both"/>
        <w:rPr>
          <w:rFonts w:ascii="Book Antiqua" w:hAnsi="Book Antiqua" w:cs="Arial"/>
        </w:rPr>
      </w:pPr>
    </w:p>
    <w:p w:rsidR="000F34D3" w:rsidRDefault="000F34D3" w:rsidP="000369F5">
      <w:pPr>
        <w:tabs>
          <w:tab w:val="left" w:pos="2520"/>
        </w:tabs>
        <w:jc w:val="both"/>
        <w:rPr>
          <w:rFonts w:ascii="Book Antiqua" w:hAnsi="Book Antiqua" w:cs="Arial"/>
        </w:rPr>
      </w:pPr>
    </w:p>
    <w:p w:rsidR="000F34D3" w:rsidRDefault="000F34D3" w:rsidP="000369F5">
      <w:pPr>
        <w:tabs>
          <w:tab w:val="left" w:pos="2520"/>
        </w:tabs>
        <w:jc w:val="both"/>
        <w:rPr>
          <w:rFonts w:ascii="Book Antiqua" w:hAnsi="Book Antiqua" w:cs="Arial"/>
        </w:rPr>
      </w:pPr>
    </w:p>
    <w:p w:rsidR="000F34D3" w:rsidRDefault="000F34D3" w:rsidP="000369F5">
      <w:pPr>
        <w:tabs>
          <w:tab w:val="left" w:pos="2520"/>
        </w:tabs>
        <w:jc w:val="both"/>
        <w:rPr>
          <w:rFonts w:ascii="Book Antiqua" w:hAnsi="Book Antiqua" w:cs="Arial"/>
        </w:rPr>
      </w:pPr>
    </w:p>
    <w:p w:rsidR="000F34D3" w:rsidRDefault="000F34D3" w:rsidP="000369F5">
      <w:pPr>
        <w:tabs>
          <w:tab w:val="left" w:pos="2520"/>
        </w:tabs>
        <w:jc w:val="both"/>
        <w:rPr>
          <w:rFonts w:ascii="Book Antiqua" w:hAnsi="Book Antiqua" w:cs="Arial"/>
        </w:rPr>
      </w:pPr>
    </w:p>
    <w:p w:rsidR="000F34D3" w:rsidRDefault="000F34D3" w:rsidP="000369F5">
      <w:pPr>
        <w:tabs>
          <w:tab w:val="left" w:pos="2520"/>
        </w:tabs>
        <w:jc w:val="both"/>
        <w:rPr>
          <w:rFonts w:ascii="Book Antiqua" w:hAnsi="Book Antiqua" w:cs="Arial"/>
        </w:rPr>
      </w:pPr>
    </w:p>
    <w:p w:rsidR="000F34D3" w:rsidRDefault="000F34D3" w:rsidP="000369F5">
      <w:pPr>
        <w:tabs>
          <w:tab w:val="left" w:pos="2520"/>
        </w:tabs>
        <w:jc w:val="both"/>
        <w:rPr>
          <w:rFonts w:ascii="Book Antiqua" w:hAnsi="Book Antiqua" w:cs="Arial"/>
        </w:rPr>
      </w:pPr>
    </w:p>
    <w:p w:rsidR="000F34D3" w:rsidRPr="005C480B" w:rsidRDefault="000F34D3" w:rsidP="000369F5">
      <w:pPr>
        <w:tabs>
          <w:tab w:val="left" w:pos="2520"/>
        </w:tabs>
        <w:jc w:val="both"/>
        <w:rPr>
          <w:rFonts w:ascii="Book Antiqua" w:hAnsi="Book Antiqua" w:cs="Arial"/>
        </w:rPr>
      </w:pPr>
    </w:p>
    <w:p w:rsidR="00E03927" w:rsidRPr="005C480B" w:rsidRDefault="00E03927" w:rsidP="000369F5">
      <w:pPr>
        <w:tabs>
          <w:tab w:val="left" w:pos="2520"/>
        </w:tabs>
        <w:jc w:val="both"/>
        <w:rPr>
          <w:rFonts w:ascii="Book Antiqua" w:hAnsi="Book Antiqua" w:cs="Arial"/>
        </w:rPr>
      </w:pPr>
    </w:p>
    <w:sectPr w:rsidR="00E03927" w:rsidRPr="005C480B" w:rsidSect="00027B9B">
      <w:headerReference w:type="default" r:id="rId8"/>
      <w:footerReference w:type="default" r:id="rId9"/>
      <w:footerReference w:type="first" r:id="rId10"/>
      <w:pgSz w:w="11906" w:h="16838" w:code="9"/>
      <w:pgMar w:top="56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6F2E" w:rsidRDefault="00966F2E">
      <w:r>
        <w:separator/>
      </w:r>
    </w:p>
  </w:endnote>
  <w:endnote w:type="continuationSeparator" w:id="0">
    <w:p w:rsidR="00966F2E" w:rsidRDefault="00966F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615D" w:rsidRPr="00027B9B" w:rsidRDefault="009B615D">
    <w:pPr>
      <w:pStyle w:val="Footer"/>
      <w:jc w:val="center"/>
      <w:rPr>
        <w:rFonts w:ascii="Book Antiqua" w:hAnsi="Book Antiqua"/>
        <w:caps/>
        <w:noProof/>
      </w:rPr>
    </w:pPr>
    <w:r w:rsidRPr="00027B9B">
      <w:rPr>
        <w:rFonts w:ascii="Book Antiqua" w:hAnsi="Book Antiqua"/>
        <w:caps/>
      </w:rPr>
      <w:fldChar w:fldCharType="begin"/>
    </w:r>
    <w:r w:rsidRPr="00027B9B">
      <w:rPr>
        <w:rFonts w:ascii="Book Antiqua" w:hAnsi="Book Antiqua"/>
        <w:caps/>
      </w:rPr>
      <w:instrText xml:space="preserve"> PAGE   \* MERGEFORMAT </w:instrText>
    </w:r>
    <w:r w:rsidRPr="00027B9B">
      <w:rPr>
        <w:rFonts w:ascii="Book Antiqua" w:hAnsi="Book Antiqua"/>
        <w:caps/>
      </w:rPr>
      <w:fldChar w:fldCharType="separate"/>
    </w:r>
    <w:r w:rsidR="00EC6CE1">
      <w:rPr>
        <w:rFonts w:ascii="Book Antiqua" w:hAnsi="Book Antiqua"/>
        <w:caps/>
        <w:noProof/>
      </w:rPr>
      <w:t>3</w:t>
    </w:r>
    <w:r w:rsidRPr="00027B9B">
      <w:rPr>
        <w:rFonts w:ascii="Book Antiqua" w:hAnsi="Book Antiqua"/>
        <w:caps/>
        <w:noProof/>
      </w:rPr>
      <w:fldChar w:fldCharType="end"/>
    </w:r>
  </w:p>
  <w:p w:rsidR="009B615D" w:rsidRDefault="009B61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615D" w:rsidRPr="00D65CD4" w:rsidRDefault="009B615D" w:rsidP="009B615D">
    <w:pPr>
      <w:jc w:val="center"/>
      <w:rPr>
        <w:rFonts w:ascii="Book Antiqua" w:hAnsi="Book Antiqua" w:cs="Arial"/>
        <w:b/>
      </w:rPr>
    </w:pPr>
    <w:bookmarkStart w:id="1" w:name="_Hlk511652932"/>
    <w:r w:rsidRPr="00D65CD4">
      <w:rPr>
        <w:rFonts w:ascii="Book Antiqua" w:hAnsi="Book Antiqua" w:cs="Arial"/>
        <w:b/>
        <w:spacing w:val="-6"/>
      </w:rPr>
      <w:t>©</w:t>
    </w:r>
    <w:r w:rsidRPr="00D65CD4">
      <w:rPr>
        <w:rFonts w:ascii="Book Antiqua" w:hAnsi="Book Antiqua" w:cs="Arial"/>
        <w:b/>
      </w:rPr>
      <w:t xml:space="preserve"> CROWN COPYRIGHT 2018 </w:t>
    </w:r>
  </w:p>
  <w:bookmarkEnd w:id="1"/>
  <w:p w:rsidR="009B615D" w:rsidRDefault="009B61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6F2E" w:rsidRDefault="00966F2E">
      <w:r>
        <w:separator/>
      </w:r>
    </w:p>
  </w:footnote>
  <w:footnote w:type="continuationSeparator" w:id="0">
    <w:p w:rsidR="00966F2E" w:rsidRDefault="00966F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615D" w:rsidRDefault="00027B9B" w:rsidP="00027B9B">
    <w:pPr>
      <w:pStyle w:val="Header"/>
      <w:jc w:val="right"/>
      <w:rPr>
        <w:rFonts w:ascii="Book Antiqua" w:hAnsi="Book Antiqua"/>
        <w:sz w:val="16"/>
        <w:szCs w:val="16"/>
      </w:rPr>
    </w:pPr>
    <w:r>
      <w:rPr>
        <w:rFonts w:ascii="Book Antiqua" w:hAnsi="Book Antiqua"/>
        <w:sz w:val="16"/>
        <w:szCs w:val="16"/>
      </w:rPr>
      <w:t>Appeal Number: HU/04870/2016</w:t>
    </w:r>
  </w:p>
  <w:p w:rsidR="00027B9B" w:rsidRPr="00027B9B" w:rsidRDefault="00027B9B" w:rsidP="00027B9B">
    <w:pPr>
      <w:pStyle w:val="Header"/>
      <w:jc w:val="right"/>
      <w:rPr>
        <w:rFonts w:ascii="Book Antiqua" w:hAnsi="Book Antiqua"/>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621CFE"/>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4D60EB8"/>
    <w:multiLevelType w:val="multilevel"/>
    <w:tmpl w:val="B400F93A"/>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3A0B08DA"/>
    <w:multiLevelType w:val="multilevel"/>
    <w:tmpl w:val="922AF85C"/>
    <w:lvl w:ilvl="0">
      <w:start w:val="1"/>
      <w:numFmt w:val="decimal"/>
      <w:lvlText w:val="%1."/>
      <w:lvlJc w:val="left"/>
      <w:pPr>
        <w:tabs>
          <w:tab w:val="num" w:pos="567"/>
        </w:tabs>
        <w:ind w:left="567" w:hanging="567"/>
      </w:pPr>
      <w:rPr>
        <w:rFonts w:hint="default"/>
      </w:rPr>
    </w:lvl>
    <w:lvl w:ilvl="1">
      <w:start w:val="1"/>
      <w:numFmt w:val="bullet"/>
      <w:lvlText w:val=""/>
      <w:lvlJc w:val="left"/>
      <w:pPr>
        <w:tabs>
          <w:tab w:val="num" w:pos="1134"/>
        </w:tabs>
        <w:ind w:left="1134" w:hanging="567"/>
      </w:pPr>
      <w:rPr>
        <w:rFonts w:ascii="Symbol" w:hAnsi="Symbol"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B9F3634"/>
    <w:multiLevelType w:val="multilevel"/>
    <w:tmpl w:val="F7F29C3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5CA15FF3"/>
    <w:multiLevelType w:val="multilevel"/>
    <w:tmpl w:val="B400F93A"/>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16"/>
  </w:num>
  <w:num w:numId="3">
    <w:abstractNumId w:val="3"/>
  </w:num>
  <w:num w:numId="4">
    <w:abstractNumId w:val="11"/>
  </w:num>
  <w:num w:numId="5">
    <w:abstractNumId w:val="21"/>
  </w:num>
  <w:num w:numId="6">
    <w:abstractNumId w:val="12"/>
  </w:num>
  <w:num w:numId="7">
    <w:abstractNumId w:val="20"/>
  </w:num>
  <w:num w:numId="8">
    <w:abstractNumId w:val="9"/>
  </w:num>
  <w:num w:numId="9">
    <w:abstractNumId w:val="7"/>
  </w:num>
  <w:num w:numId="10">
    <w:abstractNumId w:val="19"/>
  </w:num>
  <w:num w:numId="11">
    <w:abstractNumId w:val="18"/>
  </w:num>
  <w:num w:numId="12">
    <w:abstractNumId w:val="1"/>
  </w:num>
  <w:num w:numId="13">
    <w:abstractNumId w:val="17"/>
  </w:num>
  <w:num w:numId="14">
    <w:abstractNumId w:val="0"/>
  </w:num>
  <w:num w:numId="15">
    <w:abstractNumId w:val="4"/>
  </w:num>
  <w:num w:numId="16">
    <w:abstractNumId w:val="6"/>
  </w:num>
  <w:num w:numId="17">
    <w:abstractNumId w:val="15"/>
  </w:num>
  <w:num w:numId="18">
    <w:abstractNumId w:val="10"/>
  </w:num>
  <w:num w:numId="19">
    <w:abstractNumId w:val="2"/>
  </w:num>
  <w:num w:numId="20">
    <w:abstractNumId w:val="13"/>
  </w:num>
  <w:num w:numId="21">
    <w:abstractNumId w:val="14"/>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GB" w:vendorID="64" w:dllVersion="6" w:nlCheck="1" w:checkStyle="1"/>
  <w:activeWritingStyle w:appName="MSWord" w:lang="en-GB"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1BE"/>
    <w:rsid w:val="00000621"/>
    <w:rsid w:val="000012A4"/>
    <w:rsid w:val="00002F5B"/>
    <w:rsid w:val="000036C2"/>
    <w:rsid w:val="00004C2E"/>
    <w:rsid w:val="00020855"/>
    <w:rsid w:val="00021BDF"/>
    <w:rsid w:val="00025978"/>
    <w:rsid w:val="00027B9B"/>
    <w:rsid w:val="000301AC"/>
    <w:rsid w:val="0003038D"/>
    <w:rsid w:val="00033D3D"/>
    <w:rsid w:val="00034AD7"/>
    <w:rsid w:val="00034B50"/>
    <w:rsid w:val="00035774"/>
    <w:rsid w:val="000369F5"/>
    <w:rsid w:val="000523B8"/>
    <w:rsid w:val="0005371D"/>
    <w:rsid w:val="00060A6A"/>
    <w:rsid w:val="000624D4"/>
    <w:rsid w:val="000643E1"/>
    <w:rsid w:val="00066CDB"/>
    <w:rsid w:val="00071A7E"/>
    <w:rsid w:val="00071AF6"/>
    <w:rsid w:val="000746C0"/>
    <w:rsid w:val="00074D1D"/>
    <w:rsid w:val="00077796"/>
    <w:rsid w:val="00092362"/>
    <w:rsid w:val="00092580"/>
    <w:rsid w:val="000931DF"/>
    <w:rsid w:val="00095131"/>
    <w:rsid w:val="000960A5"/>
    <w:rsid w:val="000A2704"/>
    <w:rsid w:val="000A2EBA"/>
    <w:rsid w:val="000A317C"/>
    <w:rsid w:val="000A4C2C"/>
    <w:rsid w:val="000A60F8"/>
    <w:rsid w:val="000B223E"/>
    <w:rsid w:val="000B259D"/>
    <w:rsid w:val="000B27C8"/>
    <w:rsid w:val="000B28E0"/>
    <w:rsid w:val="000B5505"/>
    <w:rsid w:val="000C1E2C"/>
    <w:rsid w:val="000C2124"/>
    <w:rsid w:val="000C483D"/>
    <w:rsid w:val="000C7483"/>
    <w:rsid w:val="000D3B71"/>
    <w:rsid w:val="000D5D94"/>
    <w:rsid w:val="000D6015"/>
    <w:rsid w:val="000D7BA6"/>
    <w:rsid w:val="000D7E3B"/>
    <w:rsid w:val="000E2A9E"/>
    <w:rsid w:val="000E487C"/>
    <w:rsid w:val="000E77AC"/>
    <w:rsid w:val="000F2A98"/>
    <w:rsid w:val="000F34D3"/>
    <w:rsid w:val="0011114D"/>
    <w:rsid w:val="00112541"/>
    <w:rsid w:val="0011575A"/>
    <w:rsid w:val="001165A7"/>
    <w:rsid w:val="00117925"/>
    <w:rsid w:val="001200B6"/>
    <w:rsid w:val="00122E87"/>
    <w:rsid w:val="001240F2"/>
    <w:rsid w:val="00141928"/>
    <w:rsid w:val="00151BB7"/>
    <w:rsid w:val="00153889"/>
    <w:rsid w:val="00153B03"/>
    <w:rsid w:val="00153C24"/>
    <w:rsid w:val="00155720"/>
    <w:rsid w:val="001571F4"/>
    <w:rsid w:val="00162770"/>
    <w:rsid w:val="001659B8"/>
    <w:rsid w:val="00167D3A"/>
    <w:rsid w:val="00170D43"/>
    <w:rsid w:val="001732BA"/>
    <w:rsid w:val="00175F55"/>
    <w:rsid w:val="001771FC"/>
    <w:rsid w:val="001903B3"/>
    <w:rsid w:val="00191DDD"/>
    <w:rsid w:val="001939BA"/>
    <w:rsid w:val="00194080"/>
    <w:rsid w:val="001A0B5E"/>
    <w:rsid w:val="001A1E2C"/>
    <w:rsid w:val="001A274A"/>
    <w:rsid w:val="001B589D"/>
    <w:rsid w:val="001B66A2"/>
    <w:rsid w:val="001C20A0"/>
    <w:rsid w:val="001C6931"/>
    <w:rsid w:val="001D5407"/>
    <w:rsid w:val="001D62AE"/>
    <w:rsid w:val="001D7CC6"/>
    <w:rsid w:val="001E1F6C"/>
    <w:rsid w:val="001E6865"/>
    <w:rsid w:val="001F0E15"/>
    <w:rsid w:val="001F177D"/>
    <w:rsid w:val="001F2716"/>
    <w:rsid w:val="001F318E"/>
    <w:rsid w:val="001F4CCA"/>
    <w:rsid w:val="001F7721"/>
    <w:rsid w:val="00200E30"/>
    <w:rsid w:val="0020133A"/>
    <w:rsid w:val="00201386"/>
    <w:rsid w:val="00202745"/>
    <w:rsid w:val="0020438C"/>
    <w:rsid w:val="00205734"/>
    <w:rsid w:val="002072F3"/>
    <w:rsid w:val="00207617"/>
    <w:rsid w:val="00212E1F"/>
    <w:rsid w:val="002163AD"/>
    <w:rsid w:val="00220724"/>
    <w:rsid w:val="002301CD"/>
    <w:rsid w:val="00231264"/>
    <w:rsid w:val="00232B47"/>
    <w:rsid w:val="00232C06"/>
    <w:rsid w:val="00233C9C"/>
    <w:rsid w:val="00240047"/>
    <w:rsid w:val="00242896"/>
    <w:rsid w:val="002524F4"/>
    <w:rsid w:val="00254A7E"/>
    <w:rsid w:val="00254E95"/>
    <w:rsid w:val="002555F0"/>
    <w:rsid w:val="0025723E"/>
    <w:rsid w:val="00272E22"/>
    <w:rsid w:val="0027414E"/>
    <w:rsid w:val="002748AE"/>
    <w:rsid w:val="00282BEC"/>
    <w:rsid w:val="00283659"/>
    <w:rsid w:val="00283D28"/>
    <w:rsid w:val="00284F44"/>
    <w:rsid w:val="00285148"/>
    <w:rsid w:val="0029022D"/>
    <w:rsid w:val="00290E07"/>
    <w:rsid w:val="00291AAB"/>
    <w:rsid w:val="0029304F"/>
    <w:rsid w:val="00295660"/>
    <w:rsid w:val="00295C06"/>
    <w:rsid w:val="00296C7C"/>
    <w:rsid w:val="002A1DE0"/>
    <w:rsid w:val="002A5142"/>
    <w:rsid w:val="002A5DAC"/>
    <w:rsid w:val="002C4E73"/>
    <w:rsid w:val="002C50D4"/>
    <w:rsid w:val="002C571B"/>
    <w:rsid w:val="002D068C"/>
    <w:rsid w:val="002D2379"/>
    <w:rsid w:val="002D37A4"/>
    <w:rsid w:val="002D68BF"/>
    <w:rsid w:val="002E2877"/>
    <w:rsid w:val="002E5EA8"/>
    <w:rsid w:val="002F3AB6"/>
    <w:rsid w:val="002F4D35"/>
    <w:rsid w:val="002F7B27"/>
    <w:rsid w:val="00305CE1"/>
    <w:rsid w:val="00320D8F"/>
    <w:rsid w:val="00330F04"/>
    <w:rsid w:val="00336CBF"/>
    <w:rsid w:val="003546C8"/>
    <w:rsid w:val="0036655A"/>
    <w:rsid w:val="00372C1C"/>
    <w:rsid w:val="00373654"/>
    <w:rsid w:val="00374E59"/>
    <w:rsid w:val="00375108"/>
    <w:rsid w:val="00381AD4"/>
    <w:rsid w:val="00382DC6"/>
    <w:rsid w:val="0038661A"/>
    <w:rsid w:val="003879FA"/>
    <w:rsid w:val="00391AC4"/>
    <w:rsid w:val="00391F7D"/>
    <w:rsid w:val="00395CE7"/>
    <w:rsid w:val="00396333"/>
    <w:rsid w:val="003A1643"/>
    <w:rsid w:val="003A4471"/>
    <w:rsid w:val="003A6BF7"/>
    <w:rsid w:val="003A7CF2"/>
    <w:rsid w:val="003B0AE9"/>
    <w:rsid w:val="003B5F4E"/>
    <w:rsid w:val="003C24ED"/>
    <w:rsid w:val="003C5CE5"/>
    <w:rsid w:val="003D2620"/>
    <w:rsid w:val="003D5CA0"/>
    <w:rsid w:val="003E267B"/>
    <w:rsid w:val="003E6359"/>
    <w:rsid w:val="003E7291"/>
    <w:rsid w:val="003E7CD1"/>
    <w:rsid w:val="003F45B8"/>
    <w:rsid w:val="00402B9E"/>
    <w:rsid w:val="00402F5C"/>
    <w:rsid w:val="0040520A"/>
    <w:rsid w:val="00405440"/>
    <w:rsid w:val="004070C9"/>
    <w:rsid w:val="00411023"/>
    <w:rsid w:val="00413300"/>
    <w:rsid w:val="004164B8"/>
    <w:rsid w:val="00416AD7"/>
    <w:rsid w:val="00416B5C"/>
    <w:rsid w:val="00423932"/>
    <w:rsid w:val="004249CB"/>
    <w:rsid w:val="00436F15"/>
    <w:rsid w:val="0044127D"/>
    <w:rsid w:val="004448DB"/>
    <w:rsid w:val="00446C9A"/>
    <w:rsid w:val="00447CF7"/>
    <w:rsid w:val="00450CA9"/>
    <w:rsid w:val="0045300D"/>
    <w:rsid w:val="00453022"/>
    <w:rsid w:val="00462B70"/>
    <w:rsid w:val="00464159"/>
    <w:rsid w:val="00470904"/>
    <w:rsid w:val="00473C8A"/>
    <w:rsid w:val="00475BA8"/>
    <w:rsid w:val="00476ECE"/>
    <w:rsid w:val="00477193"/>
    <w:rsid w:val="00480D90"/>
    <w:rsid w:val="00485A17"/>
    <w:rsid w:val="00486E72"/>
    <w:rsid w:val="004A1848"/>
    <w:rsid w:val="004A28C0"/>
    <w:rsid w:val="004A6D19"/>
    <w:rsid w:val="004A7F34"/>
    <w:rsid w:val="004B2F6E"/>
    <w:rsid w:val="004B32F8"/>
    <w:rsid w:val="004C3CF7"/>
    <w:rsid w:val="004D0210"/>
    <w:rsid w:val="004D6D95"/>
    <w:rsid w:val="004E01E9"/>
    <w:rsid w:val="004E34CD"/>
    <w:rsid w:val="004E36B8"/>
    <w:rsid w:val="004E6FF3"/>
    <w:rsid w:val="004F1900"/>
    <w:rsid w:val="004F2709"/>
    <w:rsid w:val="0050448D"/>
    <w:rsid w:val="00504AC9"/>
    <w:rsid w:val="00507FEC"/>
    <w:rsid w:val="00510F0E"/>
    <w:rsid w:val="005205F1"/>
    <w:rsid w:val="00523039"/>
    <w:rsid w:val="00523A6F"/>
    <w:rsid w:val="005266D9"/>
    <w:rsid w:val="0053055E"/>
    <w:rsid w:val="00534EDC"/>
    <w:rsid w:val="005479E1"/>
    <w:rsid w:val="005570FD"/>
    <w:rsid w:val="005575EA"/>
    <w:rsid w:val="00560A8C"/>
    <w:rsid w:val="00562831"/>
    <w:rsid w:val="00572DDF"/>
    <w:rsid w:val="0057478C"/>
    <w:rsid w:val="005757EC"/>
    <w:rsid w:val="005762A4"/>
    <w:rsid w:val="0057790C"/>
    <w:rsid w:val="00580781"/>
    <w:rsid w:val="00581CD7"/>
    <w:rsid w:val="0059041D"/>
    <w:rsid w:val="00593795"/>
    <w:rsid w:val="005A7019"/>
    <w:rsid w:val="005A75FF"/>
    <w:rsid w:val="005B0049"/>
    <w:rsid w:val="005B3FBB"/>
    <w:rsid w:val="005B61F1"/>
    <w:rsid w:val="005B7771"/>
    <w:rsid w:val="005B7789"/>
    <w:rsid w:val="005C1729"/>
    <w:rsid w:val="005C480B"/>
    <w:rsid w:val="005C5DB7"/>
    <w:rsid w:val="005D18F0"/>
    <w:rsid w:val="005E3703"/>
    <w:rsid w:val="005E4A0D"/>
    <w:rsid w:val="005F485B"/>
    <w:rsid w:val="005F51A3"/>
    <w:rsid w:val="005F7F3B"/>
    <w:rsid w:val="00603D21"/>
    <w:rsid w:val="006114CC"/>
    <w:rsid w:val="00615A2D"/>
    <w:rsid w:val="006174DC"/>
    <w:rsid w:val="0062026C"/>
    <w:rsid w:val="00625476"/>
    <w:rsid w:val="00627FB6"/>
    <w:rsid w:val="006334A4"/>
    <w:rsid w:val="00651D7C"/>
    <w:rsid w:val="0065791C"/>
    <w:rsid w:val="00663B8D"/>
    <w:rsid w:val="00665436"/>
    <w:rsid w:val="006748C9"/>
    <w:rsid w:val="006834E4"/>
    <w:rsid w:val="00685342"/>
    <w:rsid w:val="00690B8A"/>
    <w:rsid w:val="0069257A"/>
    <w:rsid w:val="006962B2"/>
    <w:rsid w:val="006A21F7"/>
    <w:rsid w:val="006A7A94"/>
    <w:rsid w:val="006B08E0"/>
    <w:rsid w:val="006B7242"/>
    <w:rsid w:val="006C26B7"/>
    <w:rsid w:val="006C6F34"/>
    <w:rsid w:val="006C7F7E"/>
    <w:rsid w:val="006D1216"/>
    <w:rsid w:val="006D1DFA"/>
    <w:rsid w:val="006D314A"/>
    <w:rsid w:val="006D4341"/>
    <w:rsid w:val="006D4F42"/>
    <w:rsid w:val="006D504E"/>
    <w:rsid w:val="006D506B"/>
    <w:rsid w:val="006E25E0"/>
    <w:rsid w:val="006E3C90"/>
    <w:rsid w:val="006E3EA4"/>
    <w:rsid w:val="006E7B20"/>
    <w:rsid w:val="006F4AAF"/>
    <w:rsid w:val="006F50E5"/>
    <w:rsid w:val="006F6A47"/>
    <w:rsid w:val="00704B61"/>
    <w:rsid w:val="007050E7"/>
    <w:rsid w:val="007076E0"/>
    <w:rsid w:val="00710CCA"/>
    <w:rsid w:val="007154C9"/>
    <w:rsid w:val="00716533"/>
    <w:rsid w:val="00722F25"/>
    <w:rsid w:val="00723F72"/>
    <w:rsid w:val="0072528E"/>
    <w:rsid w:val="007369C1"/>
    <w:rsid w:val="00737317"/>
    <w:rsid w:val="00742A8D"/>
    <w:rsid w:val="007447C6"/>
    <w:rsid w:val="00745154"/>
    <w:rsid w:val="007455EF"/>
    <w:rsid w:val="00745900"/>
    <w:rsid w:val="007472C1"/>
    <w:rsid w:val="0075269B"/>
    <w:rsid w:val="00752811"/>
    <w:rsid w:val="007531CF"/>
    <w:rsid w:val="00753B7E"/>
    <w:rsid w:val="007552A9"/>
    <w:rsid w:val="00760A07"/>
    <w:rsid w:val="00761858"/>
    <w:rsid w:val="00764AE9"/>
    <w:rsid w:val="007678C2"/>
    <w:rsid w:val="00767D59"/>
    <w:rsid w:val="00773C0B"/>
    <w:rsid w:val="00774690"/>
    <w:rsid w:val="00776E97"/>
    <w:rsid w:val="00777FF1"/>
    <w:rsid w:val="00780FD7"/>
    <w:rsid w:val="00781C11"/>
    <w:rsid w:val="00781ECB"/>
    <w:rsid w:val="00786B2C"/>
    <w:rsid w:val="007912AD"/>
    <w:rsid w:val="00791A7F"/>
    <w:rsid w:val="00794BE2"/>
    <w:rsid w:val="007951AD"/>
    <w:rsid w:val="007A1F28"/>
    <w:rsid w:val="007A7BA9"/>
    <w:rsid w:val="007B0509"/>
    <w:rsid w:val="007B0824"/>
    <w:rsid w:val="007B4061"/>
    <w:rsid w:val="007B4591"/>
    <w:rsid w:val="007B4F4C"/>
    <w:rsid w:val="007B513C"/>
    <w:rsid w:val="007C2ED6"/>
    <w:rsid w:val="007D0942"/>
    <w:rsid w:val="007D1770"/>
    <w:rsid w:val="007D2574"/>
    <w:rsid w:val="007D35F1"/>
    <w:rsid w:val="007F2C46"/>
    <w:rsid w:val="007F3E23"/>
    <w:rsid w:val="00803741"/>
    <w:rsid w:val="00816307"/>
    <w:rsid w:val="00822476"/>
    <w:rsid w:val="00830391"/>
    <w:rsid w:val="008303B8"/>
    <w:rsid w:val="008304C2"/>
    <w:rsid w:val="00832186"/>
    <w:rsid w:val="0083321B"/>
    <w:rsid w:val="00833DCE"/>
    <w:rsid w:val="008351C0"/>
    <w:rsid w:val="00836E98"/>
    <w:rsid w:val="00841533"/>
    <w:rsid w:val="00842418"/>
    <w:rsid w:val="008445D2"/>
    <w:rsid w:val="008477E1"/>
    <w:rsid w:val="008478AF"/>
    <w:rsid w:val="008532C4"/>
    <w:rsid w:val="0086211F"/>
    <w:rsid w:val="00862EB5"/>
    <w:rsid w:val="0086508E"/>
    <w:rsid w:val="008653F8"/>
    <w:rsid w:val="00871D34"/>
    <w:rsid w:val="008768C8"/>
    <w:rsid w:val="00881EF6"/>
    <w:rsid w:val="00886DD1"/>
    <w:rsid w:val="00890DC8"/>
    <w:rsid w:val="00894BA9"/>
    <w:rsid w:val="008957CC"/>
    <w:rsid w:val="008A7CAE"/>
    <w:rsid w:val="008B0116"/>
    <w:rsid w:val="008B1A02"/>
    <w:rsid w:val="008B270C"/>
    <w:rsid w:val="008B5A63"/>
    <w:rsid w:val="008C3D3D"/>
    <w:rsid w:val="008C470C"/>
    <w:rsid w:val="008C58F1"/>
    <w:rsid w:val="008D0F34"/>
    <w:rsid w:val="008D4131"/>
    <w:rsid w:val="008F1932"/>
    <w:rsid w:val="008F294D"/>
    <w:rsid w:val="009037B3"/>
    <w:rsid w:val="00904ACE"/>
    <w:rsid w:val="00906CD3"/>
    <w:rsid w:val="00906D57"/>
    <w:rsid w:val="009145BB"/>
    <w:rsid w:val="00914A06"/>
    <w:rsid w:val="00916432"/>
    <w:rsid w:val="00921062"/>
    <w:rsid w:val="009245D1"/>
    <w:rsid w:val="00924B0D"/>
    <w:rsid w:val="0093083E"/>
    <w:rsid w:val="00934E71"/>
    <w:rsid w:val="0093515F"/>
    <w:rsid w:val="00942F68"/>
    <w:rsid w:val="00943C89"/>
    <w:rsid w:val="0094614A"/>
    <w:rsid w:val="00946C7C"/>
    <w:rsid w:val="00951A19"/>
    <w:rsid w:val="0095245B"/>
    <w:rsid w:val="00964A33"/>
    <w:rsid w:val="00966ECF"/>
    <w:rsid w:val="00966F2E"/>
    <w:rsid w:val="00966FF9"/>
    <w:rsid w:val="00970701"/>
    <w:rsid w:val="009727A3"/>
    <w:rsid w:val="009764A5"/>
    <w:rsid w:val="0098143B"/>
    <w:rsid w:val="00987774"/>
    <w:rsid w:val="009A11E8"/>
    <w:rsid w:val="009B5946"/>
    <w:rsid w:val="009B5C34"/>
    <w:rsid w:val="009B5EDA"/>
    <w:rsid w:val="009B615D"/>
    <w:rsid w:val="009C3485"/>
    <w:rsid w:val="009C3C6E"/>
    <w:rsid w:val="009D0865"/>
    <w:rsid w:val="009D1BC3"/>
    <w:rsid w:val="009D3DDC"/>
    <w:rsid w:val="009D4377"/>
    <w:rsid w:val="009E1006"/>
    <w:rsid w:val="009E4E62"/>
    <w:rsid w:val="009F5220"/>
    <w:rsid w:val="009F7C4D"/>
    <w:rsid w:val="00A0016A"/>
    <w:rsid w:val="00A01740"/>
    <w:rsid w:val="00A03389"/>
    <w:rsid w:val="00A122E3"/>
    <w:rsid w:val="00A15234"/>
    <w:rsid w:val="00A15798"/>
    <w:rsid w:val="00A201AB"/>
    <w:rsid w:val="00A273E0"/>
    <w:rsid w:val="00A31C8B"/>
    <w:rsid w:val="00A34D39"/>
    <w:rsid w:val="00A4444F"/>
    <w:rsid w:val="00A56F73"/>
    <w:rsid w:val="00A6107F"/>
    <w:rsid w:val="00A62B05"/>
    <w:rsid w:val="00A65D1E"/>
    <w:rsid w:val="00A66EEB"/>
    <w:rsid w:val="00A67337"/>
    <w:rsid w:val="00A725FA"/>
    <w:rsid w:val="00A72E77"/>
    <w:rsid w:val="00A7632F"/>
    <w:rsid w:val="00A765EC"/>
    <w:rsid w:val="00A76910"/>
    <w:rsid w:val="00A771C0"/>
    <w:rsid w:val="00A808F9"/>
    <w:rsid w:val="00A809AA"/>
    <w:rsid w:val="00A8275F"/>
    <w:rsid w:val="00A845DC"/>
    <w:rsid w:val="00A947A3"/>
    <w:rsid w:val="00A96263"/>
    <w:rsid w:val="00A97AEE"/>
    <w:rsid w:val="00AA042A"/>
    <w:rsid w:val="00AA4A85"/>
    <w:rsid w:val="00AB1C4B"/>
    <w:rsid w:val="00AB33FC"/>
    <w:rsid w:val="00AC4A85"/>
    <w:rsid w:val="00AC5B88"/>
    <w:rsid w:val="00AC5CF6"/>
    <w:rsid w:val="00AD564E"/>
    <w:rsid w:val="00AD7E06"/>
    <w:rsid w:val="00AE11FE"/>
    <w:rsid w:val="00AE1F87"/>
    <w:rsid w:val="00AE2CA9"/>
    <w:rsid w:val="00AE5EE4"/>
    <w:rsid w:val="00AF0EED"/>
    <w:rsid w:val="00B00034"/>
    <w:rsid w:val="00B01D7D"/>
    <w:rsid w:val="00B144FA"/>
    <w:rsid w:val="00B15338"/>
    <w:rsid w:val="00B16125"/>
    <w:rsid w:val="00B16F58"/>
    <w:rsid w:val="00B1751E"/>
    <w:rsid w:val="00B21A53"/>
    <w:rsid w:val="00B22152"/>
    <w:rsid w:val="00B2658C"/>
    <w:rsid w:val="00B30648"/>
    <w:rsid w:val="00B3524D"/>
    <w:rsid w:val="00B3625C"/>
    <w:rsid w:val="00B37A25"/>
    <w:rsid w:val="00B40F69"/>
    <w:rsid w:val="00B44B90"/>
    <w:rsid w:val="00B46616"/>
    <w:rsid w:val="00B47A24"/>
    <w:rsid w:val="00B506CE"/>
    <w:rsid w:val="00B53498"/>
    <w:rsid w:val="00B54217"/>
    <w:rsid w:val="00B610E3"/>
    <w:rsid w:val="00B61205"/>
    <w:rsid w:val="00B617C4"/>
    <w:rsid w:val="00B626FA"/>
    <w:rsid w:val="00B63C73"/>
    <w:rsid w:val="00B7040A"/>
    <w:rsid w:val="00B740F0"/>
    <w:rsid w:val="00B81F77"/>
    <w:rsid w:val="00B8661F"/>
    <w:rsid w:val="00B91B81"/>
    <w:rsid w:val="00B91C33"/>
    <w:rsid w:val="00B92903"/>
    <w:rsid w:val="00B9506D"/>
    <w:rsid w:val="00B96FA0"/>
    <w:rsid w:val="00BA062E"/>
    <w:rsid w:val="00BA5BD4"/>
    <w:rsid w:val="00BB1229"/>
    <w:rsid w:val="00BB7086"/>
    <w:rsid w:val="00BC5EC0"/>
    <w:rsid w:val="00BC7EC0"/>
    <w:rsid w:val="00BD2893"/>
    <w:rsid w:val="00BD3DBB"/>
    <w:rsid w:val="00BD4196"/>
    <w:rsid w:val="00BD5F96"/>
    <w:rsid w:val="00BD602D"/>
    <w:rsid w:val="00BD7269"/>
    <w:rsid w:val="00BE04C7"/>
    <w:rsid w:val="00BE1B5A"/>
    <w:rsid w:val="00BE1E73"/>
    <w:rsid w:val="00BE20D3"/>
    <w:rsid w:val="00BE3A6C"/>
    <w:rsid w:val="00BF0F9F"/>
    <w:rsid w:val="00BF22CA"/>
    <w:rsid w:val="00BF3846"/>
    <w:rsid w:val="00C04621"/>
    <w:rsid w:val="00C13835"/>
    <w:rsid w:val="00C13BA0"/>
    <w:rsid w:val="00C14D49"/>
    <w:rsid w:val="00C15B79"/>
    <w:rsid w:val="00C16015"/>
    <w:rsid w:val="00C24888"/>
    <w:rsid w:val="00C25FC4"/>
    <w:rsid w:val="00C26032"/>
    <w:rsid w:val="00C265B0"/>
    <w:rsid w:val="00C26AB1"/>
    <w:rsid w:val="00C321B5"/>
    <w:rsid w:val="00C345E1"/>
    <w:rsid w:val="00C368E3"/>
    <w:rsid w:val="00C40A80"/>
    <w:rsid w:val="00C410A8"/>
    <w:rsid w:val="00C42939"/>
    <w:rsid w:val="00C42C83"/>
    <w:rsid w:val="00C50EB9"/>
    <w:rsid w:val="00C54337"/>
    <w:rsid w:val="00C61F7E"/>
    <w:rsid w:val="00C63307"/>
    <w:rsid w:val="00C64F71"/>
    <w:rsid w:val="00C82F9C"/>
    <w:rsid w:val="00C84013"/>
    <w:rsid w:val="00C919CE"/>
    <w:rsid w:val="00C930B9"/>
    <w:rsid w:val="00C97086"/>
    <w:rsid w:val="00C977BA"/>
    <w:rsid w:val="00CA1639"/>
    <w:rsid w:val="00CA32C6"/>
    <w:rsid w:val="00CB13A6"/>
    <w:rsid w:val="00CB6E35"/>
    <w:rsid w:val="00CB729A"/>
    <w:rsid w:val="00CB7495"/>
    <w:rsid w:val="00CC63B7"/>
    <w:rsid w:val="00CD598C"/>
    <w:rsid w:val="00CD5AAC"/>
    <w:rsid w:val="00CE1A46"/>
    <w:rsid w:val="00CE67F4"/>
    <w:rsid w:val="00CF253F"/>
    <w:rsid w:val="00CF56B4"/>
    <w:rsid w:val="00CF597E"/>
    <w:rsid w:val="00CF6F8B"/>
    <w:rsid w:val="00D003E1"/>
    <w:rsid w:val="00D05CC7"/>
    <w:rsid w:val="00D11E2C"/>
    <w:rsid w:val="00D16E76"/>
    <w:rsid w:val="00D20F09"/>
    <w:rsid w:val="00D22636"/>
    <w:rsid w:val="00D23647"/>
    <w:rsid w:val="00D26E1B"/>
    <w:rsid w:val="00D30B7C"/>
    <w:rsid w:val="00D35273"/>
    <w:rsid w:val="00D40FD9"/>
    <w:rsid w:val="00D41D37"/>
    <w:rsid w:val="00D53769"/>
    <w:rsid w:val="00D67CBD"/>
    <w:rsid w:val="00D70E86"/>
    <w:rsid w:val="00D801BE"/>
    <w:rsid w:val="00D83DE7"/>
    <w:rsid w:val="00D85C13"/>
    <w:rsid w:val="00D91848"/>
    <w:rsid w:val="00D91BE3"/>
    <w:rsid w:val="00D9282C"/>
    <w:rsid w:val="00D931D2"/>
    <w:rsid w:val="00D94AFC"/>
    <w:rsid w:val="00D95789"/>
    <w:rsid w:val="00D959AC"/>
    <w:rsid w:val="00DA5DBA"/>
    <w:rsid w:val="00DB0357"/>
    <w:rsid w:val="00DB70AE"/>
    <w:rsid w:val="00DB7231"/>
    <w:rsid w:val="00DB7E70"/>
    <w:rsid w:val="00DC1E6E"/>
    <w:rsid w:val="00DC2DD7"/>
    <w:rsid w:val="00DD5071"/>
    <w:rsid w:val="00DD5C39"/>
    <w:rsid w:val="00DD725A"/>
    <w:rsid w:val="00DD778A"/>
    <w:rsid w:val="00DE0E6E"/>
    <w:rsid w:val="00DE14AD"/>
    <w:rsid w:val="00DE26AF"/>
    <w:rsid w:val="00DE4B68"/>
    <w:rsid w:val="00DE5978"/>
    <w:rsid w:val="00DE5DE9"/>
    <w:rsid w:val="00DE7DB7"/>
    <w:rsid w:val="00DF69E3"/>
    <w:rsid w:val="00DF771E"/>
    <w:rsid w:val="00E00A0A"/>
    <w:rsid w:val="00E027C3"/>
    <w:rsid w:val="00E03619"/>
    <w:rsid w:val="00E03927"/>
    <w:rsid w:val="00E07F57"/>
    <w:rsid w:val="00E1313D"/>
    <w:rsid w:val="00E2001D"/>
    <w:rsid w:val="00E23282"/>
    <w:rsid w:val="00E269C9"/>
    <w:rsid w:val="00E34610"/>
    <w:rsid w:val="00E40AA4"/>
    <w:rsid w:val="00E450F1"/>
    <w:rsid w:val="00E45823"/>
    <w:rsid w:val="00E50BCE"/>
    <w:rsid w:val="00E53569"/>
    <w:rsid w:val="00E54A27"/>
    <w:rsid w:val="00E54D9B"/>
    <w:rsid w:val="00E555CA"/>
    <w:rsid w:val="00E5704F"/>
    <w:rsid w:val="00E572CB"/>
    <w:rsid w:val="00E60AB8"/>
    <w:rsid w:val="00E61292"/>
    <w:rsid w:val="00E65C38"/>
    <w:rsid w:val="00E7533F"/>
    <w:rsid w:val="00E76309"/>
    <w:rsid w:val="00E77C4D"/>
    <w:rsid w:val="00E81D01"/>
    <w:rsid w:val="00E8353D"/>
    <w:rsid w:val="00E90666"/>
    <w:rsid w:val="00EA146D"/>
    <w:rsid w:val="00EA6165"/>
    <w:rsid w:val="00EA7635"/>
    <w:rsid w:val="00EB183C"/>
    <w:rsid w:val="00EC057B"/>
    <w:rsid w:val="00EC2475"/>
    <w:rsid w:val="00EC4542"/>
    <w:rsid w:val="00EC6CE1"/>
    <w:rsid w:val="00ED6DFE"/>
    <w:rsid w:val="00EE3F85"/>
    <w:rsid w:val="00EE45A2"/>
    <w:rsid w:val="00EE45D8"/>
    <w:rsid w:val="00EE5E79"/>
    <w:rsid w:val="00EF1D31"/>
    <w:rsid w:val="00EF3052"/>
    <w:rsid w:val="00F004CD"/>
    <w:rsid w:val="00F0078E"/>
    <w:rsid w:val="00F10429"/>
    <w:rsid w:val="00F13927"/>
    <w:rsid w:val="00F14293"/>
    <w:rsid w:val="00F22EDA"/>
    <w:rsid w:val="00F23DE4"/>
    <w:rsid w:val="00F245D0"/>
    <w:rsid w:val="00F30875"/>
    <w:rsid w:val="00F308DF"/>
    <w:rsid w:val="00F3224D"/>
    <w:rsid w:val="00F33E0E"/>
    <w:rsid w:val="00F3750E"/>
    <w:rsid w:val="00F422CE"/>
    <w:rsid w:val="00F45518"/>
    <w:rsid w:val="00F45A23"/>
    <w:rsid w:val="00F524F4"/>
    <w:rsid w:val="00F5664C"/>
    <w:rsid w:val="00F65DC5"/>
    <w:rsid w:val="00F72AF7"/>
    <w:rsid w:val="00F85682"/>
    <w:rsid w:val="00F870CD"/>
    <w:rsid w:val="00F90439"/>
    <w:rsid w:val="00F90D00"/>
    <w:rsid w:val="00F92365"/>
    <w:rsid w:val="00F95B37"/>
    <w:rsid w:val="00FA0772"/>
    <w:rsid w:val="00FA0F3D"/>
    <w:rsid w:val="00FA641E"/>
    <w:rsid w:val="00FA6FE0"/>
    <w:rsid w:val="00FB6DBD"/>
    <w:rsid w:val="00FB7E80"/>
    <w:rsid w:val="00FC382D"/>
    <w:rsid w:val="00FD0012"/>
    <w:rsid w:val="00FD2EB1"/>
    <w:rsid w:val="00FD4143"/>
    <w:rsid w:val="00FE6A54"/>
    <w:rsid w:val="00FF11A1"/>
    <w:rsid w:val="00FF15E3"/>
    <w:rsid w:val="00FF2C83"/>
    <w:rsid w:val="00FF2F70"/>
    <w:rsid w:val="00FF3389"/>
    <w:rsid w:val="00FF63D4"/>
    <w:rsid w:val="00FF6B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contacts" w:name="GivenName"/>
  <w:smartTagType w:namespaceuri="urn:schemas-microsoft-com:office:smarttags" w:name="PersonName"/>
  <w:smartTagType w:namespaceuri="urn:schemas:contacts" w:name="Sn"/>
  <w:shapeDefaults>
    <o:shapedefaults v:ext="edit" spidmax="5121"/>
    <o:shapelayout v:ext="edit">
      <o:idmap v:ext="edit" data="1"/>
    </o:shapelayout>
  </w:shapeDefaults>
  <w:decimalSymbol w:val="."/>
  <w:listSeparator w:val=","/>
  <w14:docId w14:val="563E8B4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3461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character" w:customStyle="1" w:styleId="FooterChar">
    <w:name w:val="Footer Char"/>
    <w:link w:val="Footer"/>
    <w:uiPriority w:val="99"/>
    <w:rsid w:val="009B615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957</Words>
  <Characters>4926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2018-07-26T16:28:00Z</dcterms:created>
  <dcterms:modified xsi:type="dcterms:W3CDTF">2018-07-26T16:29:00Z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