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1D2A1" w14:textId="77777777" w:rsidR="00C321B5" w:rsidRPr="008E162F" w:rsidRDefault="00593379" w:rsidP="00C321B5">
      <w:pPr>
        <w:jc w:val="center"/>
        <w:rPr>
          <w:rFonts w:ascii="Book Antiqua" w:hAnsi="Book Antiqua" w:cs="Arial"/>
          <w:sz w:val="16"/>
          <w:szCs w:val="16"/>
        </w:rPr>
      </w:pPr>
      <w:r w:rsidRPr="008E162F">
        <w:rPr>
          <w:rFonts w:ascii="Book Antiqua" w:hAnsi="Book Antiqua"/>
          <w:noProof/>
          <w:sz w:val="16"/>
          <w:szCs w:val="16"/>
        </w:rPr>
        <w:drawing>
          <wp:inline distT="0" distB="0" distL="0" distR="0" wp14:anchorId="111A355A" wp14:editId="357D7EE2">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1240BDD1" w14:textId="77777777" w:rsidR="00D94AFC" w:rsidRPr="008E162F" w:rsidRDefault="00D94AFC">
      <w:pPr>
        <w:rPr>
          <w:rFonts w:ascii="Book Antiqua" w:hAnsi="Book Antiqua" w:cs="Arial"/>
          <w:sz w:val="16"/>
          <w:szCs w:val="16"/>
        </w:rPr>
      </w:pPr>
    </w:p>
    <w:p w14:paraId="58BEAB41" w14:textId="77777777" w:rsidR="00C321B5" w:rsidRPr="008E162F" w:rsidRDefault="001A1E2C" w:rsidP="008E162F">
      <w:pPr>
        <w:rPr>
          <w:rFonts w:ascii="Book Antiqua" w:hAnsi="Book Antiqua" w:cs="Arial"/>
          <w:b/>
        </w:rPr>
      </w:pPr>
      <w:r w:rsidRPr="008E162F">
        <w:rPr>
          <w:rFonts w:ascii="Book Antiqua" w:hAnsi="Book Antiqua" w:cs="Arial"/>
          <w:b/>
        </w:rPr>
        <w:t xml:space="preserve">Upper </w:t>
      </w:r>
      <w:r w:rsidR="00C321B5" w:rsidRPr="008E162F">
        <w:rPr>
          <w:rFonts w:ascii="Book Antiqua" w:hAnsi="Book Antiqua" w:cs="Arial"/>
          <w:b/>
        </w:rPr>
        <w:t xml:space="preserve">Tribunal </w:t>
      </w:r>
    </w:p>
    <w:p w14:paraId="25BCBC86" w14:textId="77777777" w:rsidR="007B0824" w:rsidRPr="008E162F" w:rsidRDefault="00C321B5" w:rsidP="00B626FA">
      <w:pPr>
        <w:tabs>
          <w:tab w:val="right" w:pos="9639"/>
        </w:tabs>
        <w:rPr>
          <w:rFonts w:ascii="Book Antiqua" w:hAnsi="Book Antiqua" w:cs="Arial"/>
        </w:rPr>
      </w:pPr>
      <w:r w:rsidRPr="008E162F">
        <w:rPr>
          <w:rFonts w:ascii="Book Antiqua" w:hAnsi="Book Antiqua" w:cs="Arial"/>
          <w:b/>
        </w:rPr>
        <w:t>(Immigration and Asylum Chamber)</w:t>
      </w:r>
      <w:r w:rsidR="00B626FA" w:rsidRPr="008E162F">
        <w:rPr>
          <w:rFonts w:ascii="Book Antiqua" w:hAnsi="Book Antiqua" w:cs="Arial"/>
          <w:b/>
        </w:rPr>
        <w:tab/>
      </w:r>
      <w:r w:rsidR="00B3524D" w:rsidRPr="008E162F">
        <w:rPr>
          <w:rFonts w:ascii="Book Antiqua" w:hAnsi="Book Antiqua" w:cs="Arial"/>
        </w:rPr>
        <w:t>Appeal Number</w:t>
      </w:r>
      <w:r w:rsidR="00D53769" w:rsidRPr="008E162F">
        <w:rPr>
          <w:rFonts w:ascii="Book Antiqua" w:hAnsi="Book Antiqua" w:cs="Arial"/>
        </w:rPr>
        <w:t>:</w:t>
      </w:r>
      <w:r w:rsidR="00B3524D" w:rsidRPr="008E162F">
        <w:rPr>
          <w:rFonts w:ascii="Book Antiqua" w:hAnsi="Book Antiqua" w:cs="Arial"/>
        </w:rPr>
        <w:t xml:space="preserve"> </w:t>
      </w:r>
      <w:bookmarkStart w:id="0" w:name="_GoBack"/>
      <w:r w:rsidR="00593379" w:rsidRPr="008E162F">
        <w:rPr>
          <w:rFonts w:ascii="Book Antiqua" w:hAnsi="Book Antiqua" w:cs="Arial"/>
          <w:caps/>
        </w:rPr>
        <w:t>HU/04922/2017</w:t>
      </w:r>
      <w:bookmarkEnd w:id="0"/>
    </w:p>
    <w:p w14:paraId="54992756" w14:textId="77777777" w:rsidR="00C345E1" w:rsidRPr="008E162F" w:rsidRDefault="00C345E1" w:rsidP="00C345E1">
      <w:pPr>
        <w:jc w:val="center"/>
        <w:rPr>
          <w:rFonts w:ascii="Book Antiqua" w:hAnsi="Book Antiqua" w:cs="Arial"/>
        </w:rPr>
      </w:pPr>
    </w:p>
    <w:p w14:paraId="1286F319" w14:textId="77777777" w:rsidR="00C345E1" w:rsidRPr="008E162F" w:rsidRDefault="00C345E1" w:rsidP="00C345E1">
      <w:pPr>
        <w:jc w:val="center"/>
        <w:rPr>
          <w:rFonts w:ascii="Book Antiqua" w:hAnsi="Book Antiqua" w:cs="Arial"/>
        </w:rPr>
      </w:pPr>
    </w:p>
    <w:p w14:paraId="5E28CC4A" w14:textId="77777777" w:rsidR="00C345E1" w:rsidRPr="008E162F" w:rsidRDefault="00C345E1" w:rsidP="00C345E1">
      <w:pPr>
        <w:jc w:val="center"/>
        <w:rPr>
          <w:rFonts w:ascii="Book Antiqua" w:hAnsi="Book Antiqua" w:cs="Arial"/>
          <w:b/>
          <w:u w:val="single"/>
        </w:rPr>
      </w:pPr>
      <w:r w:rsidRPr="008E162F">
        <w:rPr>
          <w:rFonts w:ascii="Book Antiqua" w:hAnsi="Book Antiqua" w:cs="Arial"/>
          <w:b/>
          <w:u w:val="single"/>
        </w:rPr>
        <w:t>THE IMMIGRATION ACTS</w:t>
      </w:r>
    </w:p>
    <w:p w14:paraId="5E32144A" w14:textId="77777777" w:rsidR="00C345E1" w:rsidRPr="008E162F" w:rsidRDefault="00C345E1" w:rsidP="00C345E1">
      <w:pPr>
        <w:jc w:val="center"/>
        <w:rPr>
          <w:rFonts w:ascii="Book Antiqua" w:hAnsi="Book Antiqua" w:cs="Arial"/>
          <w:b/>
          <w:u w:val="single"/>
        </w:rPr>
      </w:pPr>
    </w:p>
    <w:p w14:paraId="424139D1" w14:textId="77777777" w:rsidR="00C345E1" w:rsidRPr="008E162F" w:rsidRDefault="00C345E1" w:rsidP="00C345E1">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8E162F" w14:paraId="13641901" w14:textId="77777777" w:rsidTr="008E162F">
        <w:tc>
          <w:tcPr>
            <w:tcW w:w="2500" w:type="pct"/>
          </w:tcPr>
          <w:p w14:paraId="5B53E615" w14:textId="77777777" w:rsidR="00D22636" w:rsidRPr="008E162F" w:rsidRDefault="00D22636" w:rsidP="004A1848">
            <w:pPr>
              <w:jc w:val="both"/>
              <w:rPr>
                <w:rFonts w:ascii="Book Antiqua" w:hAnsi="Book Antiqua" w:cs="Arial"/>
                <w:b/>
              </w:rPr>
            </w:pPr>
            <w:r w:rsidRPr="008E162F">
              <w:rPr>
                <w:rFonts w:ascii="Book Antiqua" w:hAnsi="Book Antiqua" w:cs="Arial"/>
                <w:b/>
              </w:rPr>
              <w:t xml:space="preserve">Heard at </w:t>
            </w:r>
            <w:r w:rsidR="00593379" w:rsidRPr="008E162F">
              <w:rPr>
                <w:rFonts w:ascii="Book Antiqua" w:hAnsi="Book Antiqua" w:cs="Arial"/>
                <w:b/>
              </w:rPr>
              <w:t>Field House</w:t>
            </w:r>
          </w:p>
        </w:tc>
        <w:tc>
          <w:tcPr>
            <w:tcW w:w="2500" w:type="pct"/>
          </w:tcPr>
          <w:p w14:paraId="3CAEA7B1" w14:textId="77777777" w:rsidR="00D22636" w:rsidRPr="008E162F" w:rsidRDefault="00CF7E9F" w:rsidP="008E162F">
            <w:pPr>
              <w:jc w:val="right"/>
              <w:rPr>
                <w:rFonts w:ascii="Book Antiqua" w:hAnsi="Book Antiqua" w:cs="Arial"/>
                <w:b/>
              </w:rPr>
            </w:pPr>
            <w:r w:rsidRPr="008E162F">
              <w:rPr>
                <w:rFonts w:ascii="Book Antiqua" w:hAnsi="Book Antiqua" w:cs="Arial"/>
                <w:b/>
              </w:rPr>
              <w:t>Decision &amp; Reasons</w:t>
            </w:r>
            <w:r w:rsidR="00283659" w:rsidRPr="008E162F">
              <w:rPr>
                <w:rFonts w:ascii="Book Antiqua" w:hAnsi="Book Antiqua" w:cs="Arial"/>
                <w:b/>
              </w:rPr>
              <w:t xml:space="preserve"> Promulgated</w:t>
            </w:r>
          </w:p>
        </w:tc>
      </w:tr>
      <w:tr w:rsidR="00D22636" w:rsidRPr="008E162F" w14:paraId="20A788D2" w14:textId="77777777" w:rsidTr="008E162F">
        <w:tc>
          <w:tcPr>
            <w:tcW w:w="2500" w:type="pct"/>
          </w:tcPr>
          <w:p w14:paraId="021FFDD4" w14:textId="77777777" w:rsidR="00D22636" w:rsidRPr="008E162F" w:rsidRDefault="00D22636" w:rsidP="004A1848">
            <w:pPr>
              <w:jc w:val="both"/>
              <w:rPr>
                <w:rFonts w:ascii="Book Antiqua" w:hAnsi="Book Antiqua" w:cs="Arial"/>
                <w:b/>
              </w:rPr>
            </w:pPr>
            <w:r w:rsidRPr="008E162F">
              <w:rPr>
                <w:rFonts w:ascii="Book Antiqua" w:hAnsi="Book Antiqua" w:cs="Arial"/>
                <w:b/>
              </w:rPr>
              <w:t xml:space="preserve">On </w:t>
            </w:r>
            <w:r w:rsidR="00593379" w:rsidRPr="008E162F">
              <w:rPr>
                <w:rFonts w:ascii="Book Antiqua" w:hAnsi="Book Antiqua" w:cs="Arial"/>
                <w:b/>
              </w:rPr>
              <w:t>6</w:t>
            </w:r>
            <w:r w:rsidR="00593379" w:rsidRPr="008E162F">
              <w:rPr>
                <w:rFonts w:ascii="Book Antiqua" w:hAnsi="Book Antiqua" w:cs="Arial"/>
                <w:b/>
                <w:vertAlign w:val="superscript"/>
              </w:rPr>
              <w:t>th</w:t>
            </w:r>
            <w:r w:rsidR="00593379" w:rsidRPr="008E162F">
              <w:rPr>
                <w:rFonts w:ascii="Book Antiqua" w:hAnsi="Book Antiqua" w:cs="Arial"/>
                <w:b/>
              </w:rPr>
              <w:t xml:space="preserve"> September 2018</w:t>
            </w:r>
          </w:p>
        </w:tc>
        <w:tc>
          <w:tcPr>
            <w:tcW w:w="2500" w:type="pct"/>
          </w:tcPr>
          <w:p w14:paraId="205965EA" w14:textId="66581FE4" w:rsidR="00D22636" w:rsidRPr="008E162F" w:rsidRDefault="007758F6" w:rsidP="008E162F">
            <w:pPr>
              <w:jc w:val="right"/>
              <w:rPr>
                <w:rFonts w:ascii="Book Antiqua" w:hAnsi="Book Antiqua" w:cs="Arial"/>
                <w:b/>
              </w:rPr>
            </w:pPr>
            <w:r w:rsidRPr="008E162F">
              <w:rPr>
                <w:rFonts w:ascii="Book Antiqua" w:hAnsi="Book Antiqua" w:cs="Arial"/>
                <w:b/>
              </w:rPr>
              <w:t>On 18</w:t>
            </w:r>
            <w:r w:rsidRPr="008E162F">
              <w:rPr>
                <w:rFonts w:ascii="Book Antiqua" w:hAnsi="Book Antiqua" w:cs="Arial"/>
                <w:b/>
                <w:vertAlign w:val="superscript"/>
              </w:rPr>
              <w:t>th</w:t>
            </w:r>
            <w:r w:rsidRPr="008E162F">
              <w:rPr>
                <w:rFonts w:ascii="Book Antiqua" w:hAnsi="Book Antiqua" w:cs="Arial"/>
                <w:b/>
              </w:rPr>
              <w:t xml:space="preserve"> September 2018</w:t>
            </w:r>
          </w:p>
        </w:tc>
      </w:tr>
      <w:tr w:rsidR="00D22636" w:rsidRPr="008E162F" w14:paraId="03C937C6" w14:textId="77777777" w:rsidTr="008E162F">
        <w:tc>
          <w:tcPr>
            <w:tcW w:w="2500" w:type="pct"/>
          </w:tcPr>
          <w:p w14:paraId="56389D5B" w14:textId="77777777" w:rsidR="00D22636" w:rsidRPr="008E162F" w:rsidRDefault="00D22636" w:rsidP="004A1848">
            <w:pPr>
              <w:jc w:val="both"/>
              <w:rPr>
                <w:rFonts w:ascii="Book Antiqua" w:hAnsi="Book Antiqua" w:cs="Arial"/>
                <w:b/>
              </w:rPr>
            </w:pPr>
          </w:p>
        </w:tc>
        <w:tc>
          <w:tcPr>
            <w:tcW w:w="2500" w:type="pct"/>
          </w:tcPr>
          <w:p w14:paraId="54F98752" w14:textId="38D28D0A" w:rsidR="00D22636" w:rsidRPr="008E162F" w:rsidRDefault="00D22636" w:rsidP="008E162F">
            <w:pPr>
              <w:jc w:val="right"/>
              <w:rPr>
                <w:rFonts w:ascii="Book Antiqua" w:hAnsi="Book Antiqua" w:cs="Arial"/>
                <w:b/>
              </w:rPr>
            </w:pPr>
          </w:p>
        </w:tc>
      </w:tr>
    </w:tbl>
    <w:p w14:paraId="596D5862" w14:textId="77777777" w:rsidR="00A15234" w:rsidRPr="008E162F" w:rsidRDefault="00A15234" w:rsidP="00593379">
      <w:pPr>
        <w:rPr>
          <w:rFonts w:ascii="Book Antiqua" w:hAnsi="Book Antiqua" w:cs="Arial"/>
        </w:rPr>
      </w:pPr>
    </w:p>
    <w:p w14:paraId="52E47CF2" w14:textId="77777777" w:rsidR="00A15234" w:rsidRPr="008E162F" w:rsidRDefault="00207617" w:rsidP="00A15234">
      <w:pPr>
        <w:jc w:val="center"/>
        <w:rPr>
          <w:rFonts w:ascii="Book Antiqua" w:hAnsi="Book Antiqua" w:cs="Arial"/>
          <w:b/>
        </w:rPr>
      </w:pPr>
      <w:r w:rsidRPr="008E162F">
        <w:rPr>
          <w:rFonts w:ascii="Book Antiqua" w:hAnsi="Book Antiqua" w:cs="Arial"/>
          <w:b/>
        </w:rPr>
        <w:t>Befo</w:t>
      </w:r>
      <w:r w:rsidR="00A15234" w:rsidRPr="008E162F">
        <w:rPr>
          <w:rFonts w:ascii="Book Antiqua" w:hAnsi="Book Antiqua" w:cs="Arial"/>
          <w:b/>
        </w:rPr>
        <w:t>re</w:t>
      </w:r>
    </w:p>
    <w:p w14:paraId="229A257C" w14:textId="77777777" w:rsidR="00A15234" w:rsidRPr="008E162F" w:rsidRDefault="00A15234" w:rsidP="00A15234">
      <w:pPr>
        <w:jc w:val="center"/>
        <w:rPr>
          <w:rFonts w:ascii="Book Antiqua" w:hAnsi="Book Antiqua" w:cs="Arial"/>
          <w:b/>
        </w:rPr>
      </w:pPr>
    </w:p>
    <w:p w14:paraId="0E9CCA29" w14:textId="77777777" w:rsidR="00A845DC" w:rsidRPr="008E162F" w:rsidRDefault="00241B28" w:rsidP="00A15234">
      <w:pPr>
        <w:jc w:val="center"/>
        <w:rPr>
          <w:rFonts w:ascii="Book Antiqua" w:hAnsi="Book Antiqua" w:cs="Arial"/>
          <w:b/>
        </w:rPr>
      </w:pPr>
      <w:r w:rsidRPr="008E162F">
        <w:rPr>
          <w:rFonts w:ascii="Book Antiqua" w:hAnsi="Book Antiqua" w:cs="Arial"/>
          <w:b/>
        </w:rPr>
        <w:t>DEPUTY UPPER TRIBUNAL</w:t>
      </w:r>
      <w:r w:rsidR="00B16F58" w:rsidRPr="008E162F">
        <w:rPr>
          <w:rFonts w:ascii="Book Antiqua" w:hAnsi="Book Antiqua" w:cs="Arial"/>
          <w:b/>
        </w:rPr>
        <w:t xml:space="preserve"> JUDGE </w:t>
      </w:r>
      <w:r w:rsidR="00D71973" w:rsidRPr="008E162F">
        <w:rPr>
          <w:rFonts w:ascii="Book Antiqua" w:hAnsi="Book Antiqua" w:cs="Arial"/>
          <w:b/>
        </w:rPr>
        <w:t>KELLY</w:t>
      </w:r>
    </w:p>
    <w:p w14:paraId="30043EA4" w14:textId="77777777" w:rsidR="001A1E2C" w:rsidRPr="008E162F" w:rsidRDefault="001A1E2C" w:rsidP="00A15234">
      <w:pPr>
        <w:jc w:val="center"/>
        <w:rPr>
          <w:rFonts w:ascii="Book Antiqua" w:hAnsi="Book Antiqua" w:cs="Arial"/>
          <w:b/>
        </w:rPr>
      </w:pPr>
    </w:p>
    <w:p w14:paraId="2DE3F8D0" w14:textId="77777777" w:rsidR="00B16F58" w:rsidRPr="008E162F" w:rsidRDefault="00B16F58" w:rsidP="00A15234">
      <w:pPr>
        <w:jc w:val="center"/>
        <w:rPr>
          <w:rFonts w:ascii="Book Antiqua" w:hAnsi="Book Antiqua" w:cs="Arial"/>
          <w:b/>
        </w:rPr>
      </w:pPr>
    </w:p>
    <w:p w14:paraId="1DCD183C" w14:textId="77777777" w:rsidR="00A845DC" w:rsidRPr="008E162F" w:rsidRDefault="00A845DC" w:rsidP="00A15234">
      <w:pPr>
        <w:jc w:val="center"/>
        <w:rPr>
          <w:rFonts w:ascii="Book Antiqua" w:hAnsi="Book Antiqua" w:cs="Arial"/>
          <w:b/>
        </w:rPr>
      </w:pPr>
      <w:r w:rsidRPr="008E162F">
        <w:rPr>
          <w:rFonts w:ascii="Book Antiqua" w:hAnsi="Book Antiqua" w:cs="Arial"/>
          <w:b/>
        </w:rPr>
        <w:t>Between</w:t>
      </w:r>
    </w:p>
    <w:p w14:paraId="60277303" w14:textId="77777777" w:rsidR="00A845DC" w:rsidRPr="008E162F" w:rsidRDefault="00A845DC" w:rsidP="00A15234">
      <w:pPr>
        <w:jc w:val="center"/>
        <w:rPr>
          <w:rFonts w:ascii="Book Antiqua" w:hAnsi="Book Antiqua" w:cs="Arial"/>
          <w:b/>
        </w:rPr>
      </w:pPr>
    </w:p>
    <w:p w14:paraId="6474234A" w14:textId="73493A35" w:rsidR="00742A8D" w:rsidRPr="008E162F" w:rsidRDefault="00746387" w:rsidP="00742A8D">
      <w:pPr>
        <w:jc w:val="center"/>
        <w:rPr>
          <w:rFonts w:ascii="Book Antiqua" w:hAnsi="Book Antiqua" w:cs="Arial"/>
          <w:b/>
          <w:caps/>
        </w:rPr>
      </w:pPr>
      <w:r w:rsidRPr="008E162F">
        <w:rPr>
          <w:rFonts w:ascii="Book Antiqua" w:hAnsi="Book Antiqua" w:cs="Arial"/>
          <w:b/>
          <w:caps/>
        </w:rPr>
        <w:t>CATHY BAMBOLE</w:t>
      </w:r>
    </w:p>
    <w:p w14:paraId="567AA89F" w14:textId="4F4F9D02" w:rsidR="00CF7E9F" w:rsidRPr="008E162F" w:rsidRDefault="00CF7E9F" w:rsidP="00CF7E9F">
      <w:pPr>
        <w:jc w:val="center"/>
        <w:rPr>
          <w:rFonts w:ascii="Book Antiqua" w:hAnsi="Book Antiqua" w:cs="Arial"/>
          <w:b/>
          <w:caps/>
        </w:rPr>
      </w:pPr>
      <w:r w:rsidRPr="008E162F">
        <w:rPr>
          <w:rFonts w:ascii="Book Antiqua" w:hAnsi="Book Antiqua" w:cs="Arial"/>
          <w:b/>
          <w:caps/>
        </w:rPr>
        <w:t xml:space="preserve">(ANONYMITY DIRECTION </w:t>
      </w:r>
      <w:r w:rsidR="008E162F">
        <w:rPr>
          <w:rFonts w:ascii="Book Antiqua" w:hAnsi="Book Antiqua" w:cs="Arial"/>
          <w:b/>
          <w:caps/>
        </w:rPr>
        <w:fldChar w:fldCharType="begin">
          <w:ffData>
            <w:name w:val="Text21"/>
            <w:enabled/>
            <w:calcOnExit w:val="0"/>
            <w:textInput>
              <w:default w:val="NOT MADE"/>
            </w:textInput>
          </w:ffData>
        </w:fldChar>
      </w:r>
      <w:bookmarkStart w:id="1" w:name="Text21"/>
      <w:r w:rsidR="008E162F">
        <w:rPr>
          <w:rFonts w:ascii="Book Antiqua" w:hAnsi="Book Antiqua" w:cs="Arial"/>
          <w:b/>
          <w:caps/>
        </w:rPr>
        <w:instrText xml:space="preserve"> FORMTEXT </w:instrText>
      </w:r>
      <w:r w:rsidR="008E162F">
        <w:rPr>
          <w:rFonts w:ascii="Book Antiqua" w:hAnsi="Book Antiqua" w:cs="Arial"/>
          <w:b/>
          <w:caps/>
        </w:rPr>
      </w:r>
      <w:r w:rsidR="008E162F">
        <w:rPr>
          <w:rFonts w:ascii="Book Antiqua" w:hAnsi="Book Antiqua" w:cs="Arial"/>
          <w:b/>
          <w:caps/>
        </w:rPr>
        <w:fldChar w:fldCharType="separate"/>
      </w:r>
      <w:r w:rsidR="008E162F">
        <w:rPr>
          <w:rFonts w:ascii="Book Antiqua" w:hAnsi="Book Antiqua" w:cs="Arial"/>
          <w:b/>
          <w:caps/>
          <w:noProof/>
        </w:rPr>
        <w:t>NOT MADE</w:t>
      </w:r>
      <w:r w:rsidR="008E162F">
        <w:rPr>
          <w:rFonts w:ascii="Book Antiqua" w:hAnsi="Book Antiqua" w:cs="Arial"/>
          <w:b/>
          <w:caps/>
        </w:rPr>
        <w:fldChar w:fldCharType="end"/>
      </w:r>
      <w:bookmarkEnd w:id="1"/>
      <w:r w:rsidRPr="008E162F">
        <w:rPr>
          <w:rFonts w:ascii="Book Antiqua" w:hAnsi="Book Antiqua" w:cs="Arial"/>
          <w:b/>
          <w:caps/>
        </w:rPr>
        <w:t>)</w:t>
      </w:r>
    </w:p>
    <w:p w14:paraId="3AA3B454" w14:textId="77777777" w:rsidR="00704B61" w:rsidRPr="008E162F" w:rsidRDefault="00704B61" w:rsidP="00704B61">
      <w:pPr>
        <w:jc w:val="right"/>
        <w:rPr>
          <w:rFonts w:ascii="Book Antiqua" w:hAnsi="Book Antiqua" w:cs="Arial"/>
          <w:u w:val="single"/>
        </w:rPr>
      </w:pPr>
      <w:r w:rsidRPr="008E162F">
        <w:rPr>
          <w:rFonts w:ascii="Book Antiqua" w:hAnsi="Book Antiqua" w:cs="Arial"/>
          <w:u w:val="single"/>
        </w:rPr>
        <w:t>Appellant</w:t>
      </w:r>
    </w:p>
    <w:p w14:paraId="6AA9CCA5" w14:textId="77777777" w:rsidR="00704B61" w:rsidRPr="008E162F" w:rsidRDefault="00DD5071" w:rsidP="00704B61">
      <w:pPr>
        <w:jc w:val="center"/>
        <w:rPr>
          <w:rFonts w:ascii="Book Antiqua" w:hAnsi="Book Antiqua" w:cs="Arial"/>
          <w:b/>
        </w:rPr>
      </w:pPr>
      <w:r w:rsidRPr="008E162F">
        <w:rPr>
          <w:rFonts w:ascii="Book Antiqua" w:hAnsi="Book Antiqua" w:cs="Arial"/>
          <w:b/>
        </w:rPr>
        <w:t>and</w:t>
      </w:r>
    </w:p>
    <w:p w14:paraId="0F1CC42A" w14:textId="77777777" w:rsidR="00DD5071" w:rsidRPr="008E162F" w:rsidRDefault="00DD5071" w:rsidP="00704B61">
      <w:pPr>
        <w:jc w:val="center"/>
        <w:rPr>
          <w:rFonts w:ascii="Book Antiqua" w:hAnsi="Book Antiqua" w:cs="Arial"/>
          <w:b/>
        </w:rPr>
      </w:pPr>
    </w:p>
    <w:p w14:paraId="1A29BB2B" w14:textId="02D0F28B" w:rsidR="00593379" w:rsidRPr="008E162F" w:rsidRDefault="004458FA" w:rsidP="00FF74EE">
      <w:pPr>
        <w:jc w:val="center"/>
        <w:rPr>
          <w:rFonts w:ascii="Book Antiqua" w:hAnsi="Book Antiqua" w:cs="Arial"/>
          <w:b/>
          <w:caps/>
        </w:rPr>
      </w:pPr>
      <w:r w:rsidRPr="008E162F">
        <w:rPr>
          <w:rFonts w:ascii="Book Antiqua" w:hAnsi="Book Antiqua" w:cs="Arial"/>
          <w:b/>
          <w:caps/>
        </w:rPr>
        <w:t>ENTRY CLEARANCE OFFICER - PRETORIA</w:t>
      </w:r>
    </w:p>
    <w:p w14:paraId="4DFE21A9" w14:textId="77777777" w:rsidR="00DD5071" w:rsidRPr="008E162F" w:rsidRDefault="00DD5071" w:rsidP="00DD5071">
      <w:pPr>
        <w:jc w:val="right"/>
        <w:rPr>
          <w:rFonts w:ascii="Book Antiqua" w:hAnsi="Book Antiqua" w:cs="Arial"/>
          <w:u w:val="single"/>
        </w:rPr>
      </w:pPr>
      <w:r w:rsidRPr="008E162F">
        <w:rPr>
          <w:rFonts w:ascii="Book Antiqua" w:hAnsi="Book Antiqua" w:cs="Arial"/>
          <w:u w:val="single"/>
        </w:rPr>
        <w:t>Respondent</w:t>
      </w:r>
    </w:p>
    <w:p w14:paraId="1A98A7B7" w14:textId="5A1FEDE3" w:rsidR="00DD5071" w:rsidRDefault="00DD5071" w:rsidP="00DD5071">
      <w:pPr>
        <w:rPr>
          <w:rFonts w:ascii="Book Antiqua" w:hAnsi="Book Antiqua" w:cs="Arial"/>
          <w:u w:val="single"/>
        </w:rPr>
      </w:pPr>
    </w:p>
    <w:p w14:paraId="15F5F9C8" w14:textId="77777777" w:rsidR="008E162F" w:rsidRPr="008E162F" w:rsidRDefault="008E162F" w:rsidP="00DD5071">
      <w:pPr>
        <w:rPr>
          <w:rFonts w:ascii="Book Antiqua" w:hAnsi="Book Antiqua" w:cs="Arial"/>
          <w:u w:val="single"/>
        </w:rPr>
      </w:pPr>
    </w:p>
    <w:p w14:paraId="6D66DCC9" w14:textId="77777777" w:rsidR="00DD5071" w:rsidRPr="008E162F" w:rsidRDefault="00DE7DB7" w:rsidP="00DD5071">
      <w:pPr>
        <w:rPr>
          <w:rFonts w:ascii="Book Antiqua" w:hAnsi="Book Antiqua" w:cs="Arial"/>
        </w:rPr>
      </w:pPr>
      <w:r w:rsidRPr="008E162F">
        <w:rPr>
          <w:rFonts w:ascii="Book Antiqua" w:hAnsi="Book Antiqua" w:cs="Arial"/>
          <w:b/>
          <w:u w:val="single"/>
        </w:rPr>
        <w:t>Representation</w:t>
      </w:r>
      <w:r w:rsidRPr="008E162F">
        <w:rPr>
          <w:rFonts w:ascii="Book Antiqua" w:hAnsi="Book Antiqua" w:cs="Arial"/>
          <w:b/>
        </w:rPr>
        <w:t>:</w:t>
      </w:r>
    </w:p>
    <w:p w14:paraId="5AA23A37" w14:textId="77777777" w:rsidR="00DE7DB7" w:rsidRPr="008E162F" w:rsidRDefault="00DE7DB7" w:rsidP="008E162F">
      <w:pPr>
        <w:tabs>
          <w:tab w:val="left" w:pos="2552"/>
        </w:tabs>
        <w:rPr>
          <w:rFonts w:ascii="Book Antiqua" w:hAnsi="Book Antiqua" w:cs="Arial"/>
        </w:rPr>
      </w:pPr>
      <w:r w:rsidRPr="008E162F">
        <w:rPr>
          <w:rFonts w:ascii="Book Antiqua" w:hAnsi="Book Antiqua" w:cs="Arial"/>
        </w:rPr>
        <w:t>For the Appellant:</w:t>
      </w:r>
      <w:r w:rsidRPr="008E162F">
        <w:rPr>
          <w:rFonts w:ascii="Book Antiqua" w:hAnsi="Book Antiqua" w:cs="Arial"/>
        </w:rPr>
        <w:tab/>
      </w:r>
      <w:r w:rsidR="00593379" w:rsidRPr="008E162F">
        <w:rPr>
          <w:rFonts w:ascii="Book Antiqua" w:hAnsi="Book Antiqua" w:cs="Arial"/>
        </w:rPr>
        <w:t xml:space="preserve">Mr D </w:t>
      </w:r>
      <w:proofErr w:type="spellStart"/>
      <w:r w:rsidR="00593379" w:rsidRPr="008E162F">
        <w:rPr>
          <w:rFonts w:ascii="Book Antiqua" w:hAnsi="Book Antiqua" w:cs="Arial"/>
        </w:rPr>
        <w:t>Eteko</w:t>
      </w:r>
      <w:proofErr w:type="spellEnd"/>
      <w:r w:rsidR="00593379" w:rsidRPr="008E162F">
        <w:rPr>
          <w:rFonts w:ascii="Book Antiqua" w:hAnsi="Book Antiqua" w:cs="Arial"/>
        </w:rPr>
        <w:t xml:space="preserve">, Counsel instructed by </w:t>
      </w:r>
      <w:proofErr w:type="spellStart"/>
      <w:r w:rsidR="00593379" w:rsidRPr="008E162F">
        <w:rPr>
          <w:rFonts w:ascii="Book Antiqua" w:hAnsi="Book Antiqua" w:cs="Arial"/>
        </w:rPr>
        <w:t>Iras</w:t>
      </w:r>
      <w:proofErr w:type="spellEnd"/>
      <w:r w:rsidR="00593379" w:rsidRPr="008E162F">
        <w:rPr>
          <w:rFonts w:ascii="Book Antiqua" w:hAnsi="Book Antiqua" w:cs="Arial"/>
        </w:rPr>
        <w:t xml:space="preserve"> &amp; Co</w:t>
      </w:r>
    </w:p>
    <w:p w14:paraId="1CA02AA5" w14:textId="77777777" w:rsidR="00DE7DB7" w:rsidRPr="008E162F" w:rsidRDefault="00DE7DB7" w:rsidP="008E162F">
      <w:pPr>
        <w:tabs>
          <w:tab w:val="left" w:pos="2552"/>
        </w:tabs>
        <w:rPr>
          <w:rFonts w:ascii="Book Antiqua" w:hAnsi="Book Antiqua" w:cs="Arial"/>
        </w:rPr>
      </w:pPr>
      <w:r w:rsidRPr="008E162F">
        <w:rPr>
          <w:rFonts w:ascii="Book Antiqua" w:hAnsi="Book Antiqua" w:cs="Arial"/>
        </w:rPr>
        <w:t>For the Respondent:</w:t>
      </w:r>
      <w:r w:rsidRPr="008E162F">
        <w:rPr>
          <w:rFonts w:ascii="Book Antiqua" w:hAnsi="Book Antiqua" w:cs="Arial"/>
        </w:rPr>
        <w:tab/>
      </w:r>
      <w:r w:rsidR="00593379" w:rsidRPr="008E162F">
        <w:rPr>
          <w:rFonts w:ascii="Book Antiqua" w:hAnsi="Book Antiqua" w:cs="Arial"/>
        </w:rPr>
        <w:t xml:space="preserve">Mr S </w:t>
      </w:r>
      <w:proofErr w:type="spellStart"/>
      <w:r w:rsidR="00593379" w:rsidRPr="008E162F">
        <w:rPr>
          <w:rFonts w:ascii="Book Antiqua" w:hAnsi="Book Antiqua" w:cs="Arial"/>
        </w:rPr>
        <w:t>Kandola</w:t>
      </w:r>
      <w:proofErr w:type="spellEnd"/>
      <w:r w:rsidR="00593379" w:rsidRPr="008E162F">
        <w:rPr>
          <w:rFonts w:ascii="Book Antiqua" w:hAnsi="Book Antiqua" w:cs="Arial"/>
        </w:rPr>
        <w:t xml:space="preserve">, Home Office Presenting Officer </w:t>
      </w:r>
    </w:p>
    <w:p w14:paraId="4790CD8A" w14:textId="77777777" w:rsidR="00DE7DB7" w:rsidRPr="008E162F" w:rsidRDefault="00DE7DB7" w:rsidP="00402B9E">
      <w:pPr>
        <w:tabs>
          <w:tab w:val="left" w:pos="2520"/>
        </w:tabs>
        <w:jc w:val="center"/>
        <w:rPr>
          <w:rFonts w:ascii="Book Antiqua" w:hAnsi="Book Antiqua" w:cs="Arial"/>
        </w:rPr>
      </w:pPr>
    </w:p>
    <w:p w14:paraId="1929F98E" w14:textId="77777777" w:rsidR="00DE7DB7" w:rsidRPr="008E162F" w:rsidRDefault="00DE7DB7" w:rsidP="00402B9E">
      <w:pPr>
        <w:tabs>
          <w:tab w:val="left" w:pos="2520"/>
        </w:tabs>
        <w:jc w:val="center"/>
        <w:rPr>
          <w:rFonts w:ascii="Book Antiqua" w:hAnsi="Book Antiqua" w:cs="Arial"/>
        </w:rPr>
      </w:pPr>
    </w:p>
    <w:p w14:paraId="7A578EEE" w14:textId="77777777" w:rsidR="00DE7DB7" w:rsidRPr="008E162F" w:rsidRDefault="00CF7E9F" w:rsidP="00402B9E">
      <w:pPr>
        <w:tabs>
          <w:tab w:val="left" w:pos="2520"/>
        </w:tabs>
        <w:jc w:val="center"/>
        <w:rPr>
          <w:rFonts w:ascii="Book Antiqua" w:hAnsi="Book Antiqua" w:cs="Arial"/>
        </w:rPr>
      </w:pPr>
      <w:r w:rsidRPr="008E162F">
        <w:rPr>
          <w:rFonts w:ascii="Book Antiqua" w:hAnsi="Book Antiqua" w:cs="Arial"/>
          <w:b/>
          <w:u w:val="single"/>
        </w:rPr>
        <w:t xml:space="preserve">DECISION </w:t>
      </w:r>
      <w:r w:rsidR="00402B9E" w:rsidRPr="008E162F">
        <w:rPr>
          <w:rFonts w:ascii="Book Antiqua" w:hAnsi="Book Antiqua" w:cs="Arial"/>
          <w:b/>
          <w:u w:val="single"/>
        </w:rPr>
        <w:t>AND REASONS</w:t>
      </w:r>
    </w:p>
    <w:p w14:paraId="767D4B45" w14:textId="3C90ADAA" w:rsidR="00C55C9C" w:rsidRPr="008E162F" w:rsidRDefault="00593379" w:rsidP="008E162F">
      <w:pPr>
        <w:numPr>
          <w:ilvl w:val="0"/>
          <w:numId w:val="3"/>
        </w:numPr>
        <w:spacing w:before="160"/>
        <w:jc w:val="both"/>
        <w:rPr>
          <w:rFonts w:ascii="Book Antiqua" w:hAnsi="Book Antiqua" w:cs="Arial"/>
        </w:rPr>
      </w:pPr>
      <w:r w:rsidRPr="008E162F">
        <w:rPr>
          <w:rFonts w:ascii="Book Antiqua" w:hAnsi="Book Antiqua" w:cs="Arial"/>
        </w:rPr>
        <w:t xml:space="preserve">The Appellant, Cathy </w:t>
      </w:r>
      <w:proofErr w:type="spellStart"/>
      <w:r w:rsidRPr="008E162F">
        <w:rPr>
          <w:rFonts w:ascii="Book Antiqua" w:hAnsi="Book Antiqua" w:cs="Arial"/>
        </w:rPr>
        <w:t>Bambole</w:t>
      </w:r>
      <w:proofErr w:type="spellEnd"/>
      <w:r w:rsidRPr="008E162F">
        <w:rPr>
          <w:rFonts w:ascii="Book Antiqua" w:hAnsi="Book Antiqua" w:cs="Arial"/>
        </w:rPr>
        <w:t>, appeals against the decision of Judge Lawrence to dismiss her appeal against refusal by the Entry Clearance Officer in Pretoria of her application to join her husband</w:t>
      </w:r>
      <w:r w:rsidR="00C55C9C" w:rsidRPr="008E162F">
        <w:rPr>
          <w:rFonts w:ascii="Book Antiqua" w:hAnsi="Book Antiqua" w:cs="Arial"/>
        </w:rPr>
        <w:t>,</w:t>
      </w:r>
      <w:r w:rsidRPr="008E162F">
        <w:rPr>
          <w:rFonts w:ascii="Book Antiqua" w:hAnsi="Book Antiqua" w:cs="Arial"/>
        </w:rPr>
        <w:t xml:space="preserve"> Blaise </w:t>
      </w:r>
      <w:proofErr w:type="spellStart"/>
      <w:r w:rsidRPr="008E162F">
        <w:rPr>
          <w:rFonts w:ascii="Book Antiqua" w:hAnsi="Book Antiqua" w:cs="Arial"/>
        </w:rPr>
        <w:t>Kituantala</w:t>
      </w:r>
      <w:proofErr w:type="spellEnd"/>
      <w:r w:rsidR="00C55C9C" w:rsidRPr="008E162F">
        <w:rPr>
          <w:rFonts w:ascii="Book Antiqua" w:hAnsi="Book Antiqua" w:cs="Arial"/>
        </w:rPr>
        <w:t>,</w:t>
      </w:r>
      <w:r w:rsidRPr="008E162F">
        <w:rPr>
          <w:rFonts w:ascii="Book Antiqua" w:hAnsi="Book Antiqua" w:cs="Arial"/>
        </w:rPr>
        <w:t xml:space="preserve"> who is settled in the United Kingdom.  I </w:t>
      </w:r>
      <w:r w:rsidR="00384305" w:rsidRPr="008E162F">
        <w:rPr>
          <w:rFonts w:ascii="Book Antiqua" w:hAnsi="Book Antiqua" w:cs="Arial"/>
        </w:rPr>
        <w:t xml:space="preserve">will </w:t>
      </w:r>
      <w:r w:rsidRPr="008E162F">
        <w:rPr>
          <w:rFonts w:ascii="Book Antiqua" w:hAnsi="Book Antiqua" w:cs="Arial"/>
        </w:rPr>
        <w:t xml:space="preserve">refer hereafter to Mr </w:t>
      </w:r>
      <w:proofErr w:type="spellStart"/>
      <w:r w:rsidRPr="008E162F">
        <w:rPr>
          <w:rFonts w:ascii="Book Antiqua" w:hAnsi="Book Antiqua" w:cs="Arial"/>
        </w:rPr>
        <w:t>K</w:t>
      </w:r>
      <w:r w:rsidR="00982FAF" w:rsidRPr="008E162F">
        <w:rPr>
          <w:rFonts w:ascii="Book Antiqua" w:hAnsi="Book Antiqua" w:cs="Arial"/>
        </w:rPr>
        <w:t>i</w:t>
      </w:r>
      <w:r w:rsidRPr="008E162F">
        <w:rPr>
          <w:rFonts w:ascii="Book Antiqua" w:hAnsi="Book Antiqua" w:cs="Arial"/>
        </w:rPr>
        <w:t>tuantala</w:t>
      </w:r>
      <w:proofErr w:type="spellEnd"/>
      <w:r w:rsidRPr="008E162F">
        <w:rPr>
          <w:rFonts w:ascii="Book Antiqua" w:hAnsi="Book Antiqua" w:cs="Arial"/>
        </w:rPr>
        <w:t xml:space="preserve"> as </w:t>
      </w:r>
      <w:r w:rsidR="00C55C9C" w:rsidRPr="008E162F">
        <w:rPr>
          <w:rFonts w:ascii="Book Antiqua" w:hAnsi="Book Antiqua" w:cs="Arial"/>
        </w:rPr>
        <w:t>‘</w:t>
      </w:r>
      <w:r w:rsidRPr="008E162F">
        <w:rPr>
          <w:rFonts w:ascii="Book Antiqua" w:hAnsi="Book Antiqua" w:cs="Arial"/>
        </w:rPr>
        <w:t>the Sponsor</w:t>
      </w:r>
      <w:r w:rsidR="00C55C9C" w:rsidRPr="008E162F">
        <w:rPr>
          <w:rFonts w:ascii="Book Antiqua" w:hAnsi="Book Antiqua" w:cs="Arial"/>
        </w:rPr>
        <w:t>’</w:t>
      </w:r>
      <w:r w:rsidRPr="008E162F">
        <w:rPr>
          <w:rFonts w:ascii="Book Antiqua" w:hAnsi="Book Antiqua" w:cs="Arial"/>
        </w:rPr>
        <w:t xml:space="preserve">.  </w:t>
      </w:r>
      <w:r w:rsidR="00A263FF" w:rsidRPr="008E162F">
        <w:rPr>
          <w:rFonts w:ascii="Book Antiqua" w:hAnsi="Book Antiqua" w:cs="Arial"/>
        </w:rPr>
        <w:t>Anonymity was not directed in the First-tier Tribunal and I see no reason to do so now.</w:t>
      </w:r>
    </w:p>
    <w:p w14:paraId="10D101F1" w14:textId="4CEBC4F5" w:rsidR="00FF74EE" w:rsidRPr="008E162F" w:rsidRDefault="00593379" w:rsidP="008E162F">
      <w:pPr>
        <w:numPr>
          <w:ilvl w:val="0"/>
          <w:numId w:val="3"/>
        </w:numPr>
        <w:spacing w:before="160"/>
        <w:jc w:val="both"/>
        <w:rPr>
          <w:rFonts w:ascii="Book Antiqua" w:hAnsi="Book Antiqua" w:cs="Arial"/>
        </w:rPr>
      </w:pPr>
      <w:r w:rsidRPr="008E162F">
        <w:rPr>
          <w:rFonts w:ascii="Book Antiqua" w:hAnsi="Book Antiqua" w:cs="Arial"/>
        </w:rPr>
        <w:lastRenderedPageBreak/>
        <w:t>The Entry Clearance Officer refused t</w:t>
      </w:r>
      <w:r w:rsidR="00C55C9C" w:rsidRPr="008E162F">
        <w:rPr>
          <w:rFonts w:ascii="Book Antiqua" w:hAnsi="Book Antiqua" w:cs="Arial"/>
        </w:rPr>
        <w:t xml:space="preserve">he application on two grounds. </w:t>
      </w:r>
      <w:r w:rsidR="004458FA" w:rsidRPr="008E162F">
        <w:rPr>
          <w:rFonts w:ascii="Book Antiqua" w:hAnsi="Book Antiqua" w:cs="Arial"/>
        </w:rPr>
        <w:t>Firstly,</w:t>
      </w:r>
      <w:r w:rsidRPr="008E162F">
        <w:rPr>
          <w:rFonts w:ascii="Book Antiqua" w:hAnsi="Book Antiqua" w:cs="Arial"/>
        </w:rPr>
        <w:t xml:space="preserve"> that the evidence did not prove to the requisite standard that the marriage was genuine and subsisting at the date of the app</w:t>
      </w:r>
      <w:r w:rsidR="004458FA" w:rsidRPr="008E162F">
        <w:rPr>
          <w:rFonts w:ascii="Book Antiqua" w:hAnsi="Book Antiqua" w:cs="Arial"/>
        </w:rPr>
        <w:t>lication. S</w:t>
      </w:r>
      <w:r w:rsidRPr="008E162F">
        <w:rPr>
          <w:rFonts w:ascii="Book Antiqua" w:hAnsi="Book Antiqua" w:cs="Arial"/>
        </w:rPr>
        <w:t>econdly</w:t>
      </w:r>
      <w:r w:rsidR="00384305" w:rsidRPr="008E162F">
        <w:rPr>
          <w:rFonts w:ascii="Book Antiqua" w:hAnsi="Book Antiqua" w:cs="Arial"/>
        </w:rPr>
        <w:t>,</w:t>
      </w:r>
      <w:r w:rsidRPr="008E162F">
        <w:rPr>
          <w:rFonts w:ascii="Book Antiqua" w:hAnsi="Book Antiqua" w:cs="Arial"/>
        </w:rPr>
        <w:t xml:space="preserve"> that not all the documents specified in Appendix FM-SE of the Immigration Rules had been submitted.  In upholding that decision</w:t>
      </w:r>
      <w:r w:rsidR="004458FA" w:rsidRPr="008E162F">
        <w:rPr>
          <w:rFonts w:ascii="Book Antiqua" w:hAnsi="Book Antiqua" w:cs="Arial"/>
        </w:rPr>
        <w:t>,</w:t>
      </w:r>
      <w:r w:rsidRPr="008E162F">
        <w:rPr>
          <w:rFonts w:ascii="Book Antiqua" w:hAnsi="Book Antiqua" w:cs="Arial"/>
        </w:rPr>
        <w:t xml:space="preserve"> the judge dealt with the</w:t>
      </w:r>
      <w:r w:rsidR="004458FA" w:rsidRPr="008E162F">
        <w:rPr>
          <w:rFonts w:ascii="Book Antiqua" w:hAnsi="Book Antiqua" w:cs="Arial"/>
        </w:rPr>
        <w:t xml:space="preserve"> respondent’s reasons in reverse order</w:t>
      </w:r>
      <w:r w:rsidRPr="008E162F">
        <w:rPr>
          <w:rFonts w:ascii="Book Antiqua" w:hAnsi="Book Antiqua" w:cs="Arial"/>
        </w:rPr>
        <w:t xml:space="preserve">. </w:t>
      </w:r>
      <w:r w:rsidR="004458FA" w:rsidRPr="008E162F">
        <w:rPr>
          <w:rFonts w:ascii="Book Antiqua" w:hAnsi="Book Antiqua" w:cs="Arial"/>
        </w:rPr>
        <w:t>However,</w:t>
      </w:r>
      <w:r w:rsidRPr="008E162F">
        <w:rPr>
          <w:rFonts w:ascii="Book Antiqua" w:hAnsi="Book Antiqua" w:cs="Arial"/>
        </w:rPr>
        <w:t xml:space="preserve"> I propose to deal </w:t>
      </w:r>
      <w:r w:rsidR="004458FA" w:rsidRPr="008E162F">
        <w:rPr>
          <w:rFonts w:ascii="Book Antiqua" w:hAnsi="Book Antiqua" w:cs="Arial"/>
        </w:rPr>
        <w:t>with them in the order they were dea</w:t>
      </w:r>
      <w:r w:rsidR="0096703E" w:rsidRPr="008E162F">
        <w:rPr>
          <w:rFonts w:ascii="Book Antiqua" w:hAnsi="Book Antiqua" w:cs="Arial"/>
        </w:rPr>
        <w:t>lt with by the Respondent,</w:t>
      </w:r>
      <w:r w:rsidR="004458FA" w:rsidRPr="008E162F">
        <w:rPr>
          <w:rFonts w:ascii="Book Antiqua" w:hAnsi="Book Antiqua" w:cs="Arial"/>
        </w:rPr>
        <w:t xml:space="preserve"> which </w:t>
      </w:r>
      <w:r w:rsidR="0096703E" w:rsidRPr="008E162F">
        <w:rPr>
          <w:rFonts w:ascii="Book Antiqua" w:hAnsi="Book Antiqua" w:cs="Arial"/>
        </w:rPr>
        <w:t xml:space="preserve">is also the order </w:t>
      </w:r>
      <w:r w:rsidR="004458FA" w:rsidRPr="008E162F">
        <w:rPr>
          <w:rFonts w:ascii="Book Antiqua" w:hAnsi="Book Antiqua" w:cs="Arial"/>
        </w:rPr>
        <w:t>they appear in the grounds of appeal. This is because, if I find that the judge was entitled to hold</w:t>
      </w:r>
      <w:r w:rsidRPr="008E162F">
        <w:rPr>
          <w:rFonts w:ascii="Book Antiqua" w:hAnsi="Book Antiqua" w:cs="Arial"/>
        </w:rPr>
        <w:t xml:space="preserve"> </w:t>
      </w:r>
      <w:r w:rsidR="004458FA" w:rsidRPr="008E162F">
        <w:rPr>
          <w:rFonts w:ascii="Book Antiqua" w:hAnsi="Book Antiqua" w:cs="Arial"/>
        </w:rPr>
        <w:t>that the Appellant had failed to prove that her marriage was</w:t>
      </w:r>
      <w:r w:rsidRPr="008E162F">
        <w:rPr>
          <w:rFonts w:ascii="Book Antiqua" w:hAnsi="Book Antiqua" w:cs="Arial"/>
        </w:rPr>
        <w:t xml:space="preserve"> genuine and subsisting</w:t>
      </w:r>
      <w:r w:rsidR="004458FA" w:rsidRPr="008E162F">
        <w:rPr>
          <w:rFonts w:ascii="Book Antiqua" w:hAnsi="Book Antiqua" w:cs="Arial"/>
        </w:rPr>
        <w:t>,</w:t>
      </w:r>
      <w:r w:rsidRPr="008E162F">
        <w:rPr>
          <w:rFonts w:ascii="Book Antiqua" w:hAnsi="Book Antiqua" w:cs="Arial"/>
        </w:rPr>
        <w:t xml:space="preserve"> </w:t>
      </w:r>
      <w:r w:rsidR="004458FA" w:rsidRPr="008E162F">
        <w:rPr>
          <w:rFonts w:ascii="Book Antiqua" w:hAnsi="Book Antiqua" w:cs="Arial"/>
        </w:rPr>
        <w:t>the correctness of his approach to the financial requirements of the Immigration Rules would be immaterial to the outcome of her appeal.</w:t>
      </w:r>
      <w:r w:rsidR="005A7544" w:rsidRPr="008E162F">
        <w:rPr>
          <w:rFonts w:ascii="Book Antiqua" w:hAnsi="Book Antiqua" w:cs="Arial"/>
        </w:rPr>
        <w:t xml:space="preserve"> </w:t>
      </w:r>
    </w:p>
    <w:p w14:paraId="613BD4D9" w14:textId="184FCD7C"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 xml:space="preserve">In granting permission to appeal, Judge </w:t>
      </w:r>
      <w:proofErr w:type="spellStart"/>
      <w:r w:rsidRPr="008E162F">
        <w:rPr>
          <w:rFonts w:ascii="Book Antiqua" w:hAnsi="Book Antiqua" w:cs="Arial"/>
        </w:rPr>
        <w:t>Grimmett</w:t>
      </w:r>
      <w:proofErr w:type="spellEnd"/>
      <w:r w:rsidRPr="008E162F">
        <w:rPr>
          <w:rFonts w:ascii="Book Antiqua" w:hAnsi="Book Antiqua" w:cs="Arial"/>
        </w:rPr>
        <w:t xml:space="preserve"> said that it wa</w:t>
      </w:r>
      <w:r w:rsidR="00A263FF" w:rsidRPr="008E162F">
        <w:rPr>
          <w:rFonts w:ascii="Book Antiqua" w:hAnsi="Book Antiqua" w:cs="Arial"/>
        </w:rPr>
        <w:t>s arguable that the Judge Lawrence</w:t>
      </w:r>
      <w:r w:rsidRPr="008E162F">
        <w:rPr>
          <w:rFonts w:ascii="Book Antiqua" w:hAnsi="Book Antiqua" w:cs="Arial"/>
        </w:rPr>
        <w:t xml:space="preserve"> had failed to make proper findings as to the genuineness of the marriage because he (Judge </w:t>
      </w:r>
      <w:proofErr w:type="spellStart"/>
      <w:r w:rsidRPr="008E162F">
        <w:rPr>
          <w:rFonts w:ascii="Book Antiqua" w:hAnsi="Book Antiqua" w:cs="Arial"/>
        </w:rPr>
        <w:t>Grimmett</w:t>
      </w:r>
      <w:proofErr w:type="spellEnd"/>
      <w:r w:rsidRPr="008E162F">
        <w:rPr>
          <w:rFonts w:ascii="Book Antiqua" w:hAnsi="Book Antiqua" w:cs="Arial"/>
        </w:rPr>
        <w:t>) could not understand why the appeal had been dismissed. I am how</w:t>
      </w:r>
      <w:r w:rsidR="00A263FF" w:rsidRPr="008E162F">
        <w:rPr>
          <w:rFonts w:ascii="Book Antiqua" w:hAnsi="Book Antiqua" w:cs="Arial"/>
        </w:rPr>
        <w:t>ever satisfied that Judge Lawrence</w:t>
      </w:r>
      <w:r w:rsidRPr="008E162F">
        <w:rPr>
          <w:rFonts w:ascii="Book Antiqua" w:hAnsi="Book Antiqua" w:cs="Arial"/>
        </w:rPr>
        <w:t xml:space="preserve">’s reasons are perfectly intelligible and the grounds of appeal do not suggest otherwise. I shall therefore focus on the grounds themselves, as they were ably presented to me by Mr </w:t>
      </w:r>
      <w:proofErr w:type="spellStart"/>
      <w:r w:rsidRPr="008E162F">
        <w:rPr>
          <w:rFonts w:ascii="Book Antiqua" w:hAnsi="Book Antiqua" w:cs="Arial"/>
        </w:rPr>
        <w:t>Eteko</w:t>
      </w:r>
      <w:proofErr w:type="spellEnd"/>
      <w:r w:rsidRPr="008E162F">
        <w:rPr>
          <w:rFonts w:ascii="Book Antiqua" w:hAnsi="Book Antiqua" w:cs="Arial"/>
        </w:rPr>
        <w:t xml:space="preserve">.  </w:t>
      </w:r>
    </w:p>
    <w:p w14:paraId="4F616777" w14:textId="31559E6A"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 xml:space="preserve">Mr </w:t>
      </w:r>
      <w:proofErr w:type="spellStart"/>
      <w:r w:rsidRPr="008E162F">
        <w:rPr>
          <w:rFonts w:ascii="Book Antiqua" w:hAnsi="Book Antiqua" w:cs="Arial"/>
        </w:rPr>
        <w:t>Eteko</w:t>
      </w:r>
      <w:proofErr w:type="spellEnd"/>
      <w:r w:rsidRPr="008E162F">
        <w:rPr>
          <w:rFonts w:ascii="Book Antiqua" w:hAnsi="Book Antiqua" w:cs="Arial"/>
        </w:rPr>
        <w:t xml:space="preserve"> submitted that the judge was wrong to say that the certificate evidencing the marriage between the Appellant and Sponsor was full of spelling mistakes.  It is right to say th</w:t>
      </w:r>
      <w:r w:rsidR="00A263FF" w:rsidRPr="008E162F">
        <w:rPr>
          <w:rFonts w:ascii="Book Antiqua" w:hAnsi="Book Antiqua" w:cs="Arial"/>
        </w:rPr>
        <w:t>at the only example Judge Lawrence</w:t>
      </w:r>
      <w:r w:rsidRPr="008E162F">
        <w:rPr>
          <w:rFonts w:ascii="Book Antiqua" w:hAnsi="Book Antiqua" w:cs="Arial"/>
        </w:rPr>
        <w:t xml:space="preserve"> gave of this was that the word ‘marriage’ had been spelt with only one ‘r’.  Mr </w:t>
      </w:r>
      <w:proofErr w:type="spellStart"/>
      <w:r w:rsidRPr="008E162F">
        <w:rPr>
          <w:rFonts w:ascii="Book Antiqua" w:hAnsi="Book Antiqua" w:cs="Arial"/>
        </w:rPr>
        <w:t>Eteko</w:t>
      </w:r>
      <w:proofErr w:type="spellEnd"/>
      <w:r w:rsidRPr="008E162F">
        <w:rPr>
          <w:rFonts w:ascii="Book Antiqua" w:hAnsi="Book Antiqua" w:cs="Arial"/>
        </w:rPr>
        <w:t xml:space="preserve"> told me (although I have no evidence to support his assertion) that ‘marriage’ was correctly spelt in the language of the document (French).  However, assuming in the Appellant’s favour that the judge was wrong to make that criticism, his error was not necessarily material to his overall reasoning and thus to the outcome of the appeal.  This is because - as was made plain at paragraph 13 of the judge’s decision - the Presenting Officer in any event accepted that the parties had undergone a ceremony of marriage.  The question of whether there were deficiencies in the certificate evidencing that fact was thus arguably immaterial to the question of whether the relationship was genuine and subsisting at the date of the application. </w:t>
      </w:r>
    </w:p>
    <w:p w14:paraId="66CB29E1" w14:textId="01777E79"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The question remains as to whether the fact the judge took account of an arguably immaterial consideration (if it was a consideration at all) is one that infects the remainder of his reasoning. I have concluded that it does not.   The judge noted and apparently accepted the submission of the Presenting Officer that the fact the Appellant and the Sponsor had undergone a lawful ceremony of marriage was not of itself evidence that it was and remained a genuine and subsisting relationship as at the date of the application. If that is right (which it plainly is) then it seems to me that the judge must also have accepted that any technical defect in the legality of the original marriage contract would not of itself have impacted adversely upon the question of whether the relationship was genuine and subsisting at the date of application. I therefore conclude that any error the judge may have made in his assessment of the marriage certificate was immaterial to the outcome of the appeal.   I accordingly turn to the remainder of his reasoning.</w:t>
      </w:r>
    </w:p>
    <w:p w14:paraId="1B127AED" w14:textId="0846B091"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lastRenderedPageBreak/>
        <w:t>The judge next considered evidence that the Sponsor had previously entered a ‘traditional marriage’ with a third person, albeit that this appears to have been followed by a ‘traditional divorce’ prior to the Sponsor marrying the Appellant.  The judge seems to have reasoned from this that Appellant’s credibility was undermined by the fact that he had described himself as ‘</w:t>
      </w:r>
      <w:r w:rsidR="00A263FF" w:rsidRPr="008E162F">
        <w:rPr>
          <w:rFonts w:ascii="Book Antiqua" w:hAnsi="Book Antiqua" w:cs="Arial"/>
        </w:rPr>
        <w:t xml:space="preserve">single’ rather than ‘divorced’ </w:t>
      </w:r>
      <w:r w:rsidRPr="008E162F">
        <w:rPr>
          <w:rFonts w:ascii="Book Antiqua" w:hAnsi="Book Antiqua" w:cs="Arial"/>
        </w:rPr>
        <w:t xml:space="preserve">at the time when he married the Appellant.  It may well be that I would not have attached as much weight to this fact as did the judge given that the distinction between being a ‘divorced’ and a ‘single’ person may be considered to be a fine one. However, I am satisfied that it was reasonably open to the judge to conclude that the failure of the Sponsor to mention that he had been previously been married in a traditional marriage was a matter that undermined his overall credibility as a truthful witness.  </w:t>
      </w:r>
    </w:p>
    <w:p w14:paraId="2F0295F0" w14:textId="77777777"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 xml:space="preserve">Mr </w:t>
      </w:r>
      <w:proofErr w:type="spellStart"/>
      <w:r w:rsidRPr="008E162F">
        <w:rPr>
          <w:rFonts w:ascii="Book Antiqua" w:hAnsi="Book Antiqua" w:cs="Arial"/>
        </w:rPr>
        <w:t>Eteko</w:t>
      </w:r>
      <w:proofErr w:type="spellEnd"/>
      <w:r w:rsidRPr="008E162F">
        <w:rPr>
          <w:rFonts w:ascii="Book Antiqua" w:hAnsi="Book Antiqua" w:cs="Arial"/>
        </w:rPr>
        <w:t xml:space="preserve"> drew attention to the fact that the judge accepted that there was evidence before the Tribunal of contact between the Sponsor and Appellant and submitted that the judge had erred in failing to treat this as evidence of intervening devotion that sufficed to discharge the burden of proving that the marriage was genuine and subsisting at the date of the application. It is plain the judge did attach some weight to this evidence. However, I am satisfied that it was reasonably open to him to balance that evidence against other factors that pointed in the other direction. This included the fact that the Sponsor had not visited the Appellant in the Democratic Republic of Congo since the decision.  Moreover, the explanation that the Sponsor had given for not doing so had not always been consistent, and the Sponsor had changed his account of his visits to the Appellant after hearing submissions by the Presenting Officer that he had been inconsistent in that regard.  The judge noted in the Appellant’s favour that there had been money transfers from the Sponsor to the Appellant, which he considered in the round with the other evidence.  He also noted the Sponsor’s mother-in-law (the Appellant’s mother) had been unable to give evidence because it was plain that she did not speak English.  In those circumstances, the judge was entitled in my view to attach less weight than otherwise to her supporting witness statement that was written in English. The judge was also in my view entitled to question why the signature on her statement was similar to that on the Sponsor’s witness statement, and to conclude that their statements were formulaic and mainly based on assertion rather than evidence of facts.  </w:t>
      </w:r>
    </w:p>
    <w:p w14:paraId="113EE8BD" w14:textId="77777777"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 xml:space="preserve">Mr </w:t>
      </w:r>
      <w:proofErr w:type="spellStart"/>
      <w:r w:rsidRPr="008E162F">
        <w:rPr>
          <w:rFonts w:ascii="Book Antiqua" w:hAnsi="Book Antiqua" w:cs="Arial"/>
        </w:rPr>
        <w:t>Eteko</w:t>
      </w:r>
      <w:proofErr w:type="spellEnd"/>
      <w:r w:rsidRPr="008E162F">
        <w:rPr>
          <w:rFonts w:ascii="Book Antiqua" w:hAnsi="Book Antiqua" w:cs="Arial"/>
        </w:rPr>
        <w:t xml:space="preserve"> accepted that ultimately his argument in relation to the first ground of appeal was that the judge’s finding in relation to the subsistence of the marriage was contrary to the weight of the evidence.   However, this was in effect asking me simply to disagree with the reasoned decision of the judge. I therefore conclude that it has not been established that the judge made a material error of law upon this issue.  That being the case, it is not strictly necessary for me to consider the second ground of appeal. This is because even if the judge made an error of law in relation to specified documents, the appeal could not have succeeded without the Appellant in the first instance proving that hers was a genuine and subsisting marriage. That logic applies equally whether the matter is considered within the confines of the Immigration Rules or within the potentially broader scope of Article 8 of the Human Rights Convention.  I have nevertheless considered the second ground for the sake of completeness.</w:t>
      </w:r>
    </w:p>
    <w:p w14:paraId="35735841" w14:textId="77777777"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lastRenderedPageBreak/>
        <w:t xml:space="preserve">The judge rightly began his Article 8 analysis on this aspect of the case with the Immigration Rules. Mr </w:t>
      </w:r>
      <w:proofErr w:type="spellStart"/>
      <w:r w:rsidRPr="008E162F">
        <w:rPr>
          <w:rFonts w:ascii="Book Antiqua" w:hAnsi="Book Antiqua" w:cs="Arial"/>
        </w:rPr>
        <w:t>Eteko</w:t>
      </w:r>
      <w:proofErr w:type="spellEnd"/>
      <w:r w:rsidRPr="008E162F">
        <w:rPr>
          <w:rFonts w:ascii="Book Antiqua" w:hAnsi="Book Antiqua" w:cs="Arial"/>
        </w:rPr>
        <w:t xml:space="preserve"> agreed that this was the appropriate starting point.  </w:t>
      </w:r>
    </w:p>
    <w:p w14:paraId="250D74EE" w14:textId="77777777"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 xml:space="preserve">The problem with the application was that there were a significant number of missing bank statements.  Mr </w:t>
      </w:r>
      <w:proofErr w:type="spellStart"/>
      <w:r w:rsidRPr="008E162F">
        <w:rPr>
          <w:rFonts w:ascii="Book Antiqua" w:hAnsi="Book Antiqua" w:cs="Arial"/>
        </w:rPr>
        <w:t>Eteko</w:t>
      </w:r>
      <w:proofErr w:type="spellEnd"/>
      <w:r w:rsidRPr="008E162F">
        <w:rPr>
          <w:rFonts w:ascii="Book Antiqua" w:hAnsi="Book Antiqua" w:cs="Arial"/>
        </w:rPr>
        <w:t xml:space="preserve"> argued before the judge, as he indeed did before me, that the Respondent should have exercised the discretion, conferred by the Rules, to write to the Appellant drawing attention to the large number of missing bank statements and inviting the appellant belatedly to submit them.  The judge noted that submission at paragraph 12 of his decision. His response was this: </w:t>
      </w:r>
    </w:p>
    <w:p w14:paraId="104B9499" w14:textId="77777777" w:rsidR="0096703E" w:rsidRPr="008E162F" w:rsidRDefault="0096703E" w:rsidP="008E162F">
      <w:pPr>
        <w:spacing w:before="120"/>
        <w:ind w:left="1134" w:right="567"/>
        <w:jc w:val="both"/>
        <w:rPr>
          <w:rFonts w:ascii="Book Antiqua" w:hAnsi="Book Antiqua" w:cs="Arial"/>
          <w:sz w:val="22"/>
        </w:rPr>
      </w:pPr>
      <w:r w:rsidRPr="008E162F">
        <w:rPr>
          <w:rFonts w:ascii="Book Antiqua" w:hAnsi="Book Antiqua" w:cs="Arial"/>
          <w:sz w:val="22"/>
        </w:rPr>
        <w:t xml:space="preserve">“It appears to me that this submission is contrary to the Rules.  As highlighted above, the Respondent is obliged to contact the Sponsor if a document is missing from a series and not when only one in that series was provided”.  </w:t>
      </w:r>
    </w:p>
    <w:p w14:paraId="3E9065A8" w14:textId="77777777" w:rsidR="0096703E" w:rsidRPr="008E162F" w:rsidRDefault="0096703E" w:rsidP="008E162F">
      <w:pPr>
        <w:spacing w:before="160"/>
        <w:ind w:left="567"/>
        <w:jc w:val="both"/>
        <w:rPr>
          <w:rFonts w:ascii="Book Antiqua" w:hAnsi="Book Antiqua" w:cs="Arial"/>
        </w:rPr>
      </w:pPr>
      <w:r w:rsidRPr="008E162F">
        <w:rPr>
          <w:rFonts w:ascii="Book Antiqua" w:hAnsi="Book Antiqua" w:cs="Arial"/>
        </w:rPr>
        <w:t xml:space="preserve">That seems to me to be a perfectly accurate statement of the legal position regarding the scope of the discretion afforded to Entry Clearance Officers under Appendix FM-SE.  </w:t>
      </w:r>
    </w:p>
    <w:p w14:paraId="4498C116" w14:textId="77777777"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However, the real point is whether the judge was wrong not to have had regard to the fact that the deficiency in the Appellant’s documents (and thus her application) had apparently been made good by the date of the hearing.  The pleaded ground of appeal in this regard is in fact entirely misconceived. This is because it is based upon an old version of Section 85 of the Nationality, Immigration and Asylum Act 2002 which, it will be recalled, made a distinction between evidence that was admissible and relevant to an entry clearance appeal and that which was admissible and relevant to an in-country appeal.  However, that eversion of Section 85 was repealed with effect from the 5</w:t>
      </w:r>
      <w:r w:rsidRPr="008E162F">
        <w:rPr>
          <w:rFonts w:ascii="Book Antiqua" w:hAnsi="Book Antiqua" w:cs="Arial"/>
          <w:vertAlign w:val="superscript"/>
        </w:rPr>
        <w:t>th</w:t>
      </w:r>
      <w:r w:rsidRPr="008E162F">
        <w:rPr>
          <w:rFonts w:ascii="Book Antiqua" w:hAnsi="Book Antiqua" w:cs="Arial"/>
        </w:rPr>
        <w:t xml:space="preserve"> April 2015. The Tribunal may now in all cases take account of evidence post-dates the decision </w:t>
      </w:r>
      <w:r w:rsidRPr="008E162F">
        <w:rPr>
          <w:rFonts w:ascii="Book Antiqua" w:hAnsi="Book Antiqua" w:cs="Arial"/>
          <w:u w:val="single"/>
        </w:rPr>
        <w:t>providing</w:t>
      </w:r>
      <w:r w:rsidRPr="008E162F">
        <w:rPr>
          <w:rFonts w:ascii="Book Antiqua" w:hAnsi="Book Antiqua" w:cs="Arial"/>
        </w:rPr>
        <w:t xml:space="preserve"> it is relevant to “the substance of the decision”. The question is thus whether the ‘missing documents’ were relevant to the substance of the Respondent’s decision, to which I now turn.  </w:t>
      </w:r>
    </w:p>
    <w:p w14:paraId="113121AB" w14:textId="4766A7B3" w:rsidR="0096703E" w:rsidRPr="008E162F" w:rsidRDefault="0096703E" w:rsidP="008E162F">
      <w:pPr>
        <w:numPr>
          <w:ilvl w:val="0"/>
          <w:numId w:val="3"/>
        </w:numPr>
        <w:spacing w:before="160"/>
        <w:jc w:val="both"/>
        <w:rPr>
          <w:rFonts w:ascii="Book Antiqua" w:hAnsi="Book Antiqua" w:cs="Arial"/>
        </w:rPr>
      </w:pPr>
      <w:r w:rsidRPr="008E162F">
        <w:rPr>
          <w:rFonts w:ascii="Book Antiqua" w:hAnsi="Book Antiqua" w:cs="Arial"/>
        </w:rPr>
        <w:t xml:space="preserve">As previously noted, Mr </w:t>
      </w:r>
      <w:proofErr w:type="spellStart"/>
      <w:r w:rsidRPr="008E162F">
        <w:rPr>
          <w:rFonts w:ascii="Book Antiqua" w:hAnsi="Book Antiqua" w:cs="Arial"/>
        </w:rPr>
        <w:t>Etoko</w:t>
      </w:r>
      <w:proofErr w:type="spellEnd"/>
      <w:r w:rsidRPr="008E162F">
        <w:rPr>
          <w:rFonts w:ascii="Book Antiqua" w:hAnsi="Book Antiqua" w:cs="Arial"/>
        </w:rPr>
        <w:t xml:space="preserve"> accepted that the starting point for an Article 8 assessment is the Immigration Rules. However, the Rules say that the documents in question must be submitted </w:t>
      </w:r>
      <w:r w:rsidRPr="008E162F">
        <w:rPr>
          <w:rFonts w:ascii="Book Antiqua" w:hAnsi="Book Antiqua" w:cs="Arial"/>
          <w:u w:val="single"/>
        </w:rPr>
        <w:t>with the application</w:t>
      </w:r>
      <w:r w:rsidRPr="008E162F">
        <w:rPr>
          <w:rFonts w:ascii="Book Antiqua" w:hAnsi="Book Antiqua" w:cs="Arial"/>
        </w:rPr>
        <w:t xml:space="preserve">.  That seems to me not only to be reasonable but obviously necessary given that it is difficult to see how the Entry Clearance Officer could consider an application under either the Rules or under Article 8 save on the basis of documents actually submitted with the applicant.  Thus, whilst the belated submission of documents that ought to have been submitted with the application may be a relevant factor in the wider analysis under Article 8 (outside the Rules) it does not seem to me </w:t>
      </w:r>
      <w:r w:rsidR="00F868C8" w:rsidRPr="008E162F">
        <w:rPr>
          <w:rFonts w:ascii="Book Antiqua" w:hAnsi="Book Antiqua" w:cs="Arial"/>
        </w:rPr>
        <w:t>that it</w:t>
      </w:r>
      <w:r w:rsidRPr="008E162F">
        <w:rPr>
          <w:rFonts w:ascii="Book Antiqua" w:hAnsi="Book Antiqua" w:cs="Arial"/>
        </w:rPr>
        <w:t xml:space="preserve"> can of itself lead to the conclusion that it would be</w:t>
      </w:r>
      <w:r w:rsidR="00F868C8" w:rsidRPr="008E162F">
        <w:rPr>
          <w:rFonts w:ascii="Book Antiqua" w:hAnsi="Book Antiqua" w:cs="Arial"/>
        </w:rPr>
        <w:t xml:space="preserve"> a</w:t>
      </w:r>
      <w:r w:rsidRPr="008E162F">
        <w:rPr>
          <w:rFonts w:ascii="Book Antiqua" w:hAnsi="Book Antiqua" w:cs="Arial"/>
        </w:rPr>
        <w:t xml:space="preserve"> breach of a person’s fundamental human rights to insist the application be made afresh in its proper form. </w:t>
      </w:r>
    </w:p>
    <w:p w14:paraId="4C8DC3D9" w14:textId="44047A5E" w:rsidR="00575035" w:rsidRPr="008E162F" w:rsidRDefault="00575035" w:rsidP="008E162F">
      <w:pPr>
        <w:spacing w:before="160"/>
        <w:jc w:val="both"/>
        <w:rPr>
          <w:rFonts w:ascii="Book Antiqua" w:hAnsi="Book Antiqua" w:cs="Arial"/>
          <w:b/>
          <w:u w:val="single"/>
        </w:rPr>
      </w:pPr>
      <w:r w:rsidRPr="008E162F">
        <w:rPr>
          <w:rFonts w:ascii="Book Antiqua" w:hAnsi="Book Antiqua" w:cs="Arial"/>
          <w:b/>
          <w:u w:val="single"/>
        </w:rPr>
        <w:t>Notice of Decision</w:t>
      </w:r>
    </w:p>
    <w:p w14:paraId="42FE8ABE" w14:textId="5B4B0302" w:rsidR="006B4731" w:rsidRPr="008E162F" w:rsidRDefault="00575035" w:rsidP="008E162F">
      <w:pPr>
        <w:numPr>
          <w:ilvl w:val="0"/>
          <w:numId w:val="3"/>
        </w:numPr>
        <w:spacing w:before="160"/>
        <w:jc w:val="both"/>
        <w:rPr>
          <w:rFonts w:ascii="Book Antiqua" w:hAnsi="Book Antiqua" w:cs="Arial"/>
        </w:rPr>
      </w:pPr>
      <w:r w:rsidRPr="008E162F">
        <w:rPr>
          <w:rFonts w:ascii="Book Antiqua" w:hAnsi="Book Antiqua" w:cs="Arial"/>
        </w:rPr>
        <w:t>The appeal is dismissed</w:t>
      </w:r>
    </w:p>
    <w:p w14:paraId="1486D193" w14:textId="77777777" w:rsidR="00CF7E9F" w:rsidRPr="008E162F" w:rsidRDefault="00CF7E9F" w:rsidP="008E162F">
      <w:pPr>
        <w:spacing w:before="160"/>
        <w:jc w:val="both"/>
        <w:rPr>
          <w:rFonts w:ascii="Book Antiqua" w:hAnsi="Book Antiqua" w:cs="Arial"/>
        </w:rPr>
      </w:pPr>
      <w:r w:rsidRPr="008E162F">
        <w:rPr>
          <w:rFonts w:ascii="Book Antiqua" w:hAnsi="Book Antiqua" w:cs="Arial"/>
        </w:rPr>
        <w:t>No anonymity direction is made.</w:t>
      </w:r>
    </w:p>
    <w:p w14:paraId="1322BE6F" w14:textId="77777777" w:rsidR="00CF7E9F" w:rsidRPr="008E162F" w:rsidRDefault="00CF7E9F" w:rsidP="00CF7E9F">
      <w:pPr>
        <w:jc w:val="both"/>
        <w:rPr>
          <w:rFonts w:ascii="Book Antiqua" w:hAnsi="Book Antiqua" w:cs="Arial"/>
        </w:rPr>
      </w:pPr>
    </w:p>
    <w:p w14:paraId="0C5522EE" w14:textId="77777777" w:rsidR="000369F5" w:rsidRPr="008E162F" w:rsidRDefault="000369F5" w:rsidP="000369F5">
      <w:pPr>
        <w:tabs>
          <w:tab w:val="left" w:pos="2520"/>
        </w:tabs>
        <w:jc w:val="both"/>
        <w:rPr>
          <w:rFonts w:ascii="Book Antiqua" w:hAnsi="Book Antiqua" w:cs="Arial"/>
        </w:rPr>
      </w:pPr>
    </w:p>
    <w:p w14:paraId="0F03F510" w14:textId="77562FE2" w:rsidR="001F2716" w:rsidRPr="008E162F" w:rsidRDefault="006E3C90" w:rsidP="000369F5">
      <w:pPr>
        <w:tabs>
          <w:tab w:val="left" w:pos="2520"/>
        </w:tabs>
        <w:jc w:val="both"/>
        <w:rPr>
          <w:rFonts w:ascii="Book Antiqua" w:hAnsi="Book Antiqua" w:cs="Arial"/>
        </w:rPr>
      </w:pPr>
      <w:r w:rsidRPr="008E162F">
        <w:rPr>
          <w:rFonts w:ascii="Book Antiqua" w:hAnsi="Book Antiqua" w:cs="Arial"/>
        </w:rPr>
        <w:t>Signed</w:t>
      </w:r>
      <w:r w:rsidRPr="008E162F">
        <w:rPr>
          <w:rFonts w:ascii="Book Antiqua" w:hAnsi="Book Antiqua" w:cs="Arial"/>
        </w:rPr>
        <w:tab/>
      </w:r>
      <w:r w:rsidRPr="008E162F">
        <w:rPr>
          <w:rFonts w:ascii="Book Antiqua" w:hAnsi="Book Antiqua" w:cs="Arial"/>
        </w:rPr>
        <w:tab/>
      </w:r>
      <w:r w:rsidRPr="008E162F">
        <w:rPr>
          <w:rFonts w:ascii="Book Antiqua" w:hAnsi="Book Antiqua" w:cs="Arial"/>
        </w:rPr>
        <w:tab/>
      </w:r>
      <w:r w:rsidRPr="008E162F">
        <w:rPr>
          <w:rFonts w:ascii="Book Antiqua" w:hAnsi="Book Antiqua" w:cs="Arial"/>
        </w:rPr>
        <w:tab/>
      </w:r>
      <w:r w:rsidRPr="008E162F">
        <w:rPr>
          <w:rFonts w:ascii="Book Antiqua" w:hAnsi="Book Antiqua" w:cs="Arial"/>
        </w:rPr>
        <w:tab/>
      </w:r>
      <w:r w:rsidRPr="008E162F">
        <w:rPr>
          <w:rFonts w:ascii="Book Antiqua" w:hAnsi="Book Antiqua" w:cs="Arial"/>
        </w:rPr>
        <w:tab/>
      </w:r>
      <w:r w:rsidRPr="008E162F">
        <w:rPr>
          <w:rFonts w:ascii="Book Antiqua" w:hAnsi="Book Antiqua" w:cs="Arial"/>
        </w:rPr>
        <w:tab/>
      </w:r>
      <w:r w:rsidR="001F2716" w:rsidRPr="008E162F">
        <w:rPr>
          <w:rFonts w:ascii="Book Antiqua" w:hAnsi="Book Antiqua" w:cs="Arial"/>
        </w:rPr>
        <w:t>Date</w:t>
      </w:r>
    </w:p>
    <w:p w14:paraId="2FDBA852" w14:textId="77777777" w:rsidR="001F2716" w:rsidRPr="008E162F" w:rsidRDefault="001F2716" w:rsidP="000369F5">
      <w:pPr>
        <w:tabs>
          <w:tab w:val="left" w:pos="2520"/>
        </w:tabs>
        <w:jc w:val="both"/>
        <w:rPr>
          <w:rFonts w:ascii="Book Antiqua" w:hAnsi="Book Antiqua" w:cs="Arial"/>
        </w:rPr>
      </w:pPr>
    </w:p>
    <w:p w14:paraId="18D52590" w14:textId="77777777" w:rsidR="005B7789" w:rsidRPr="008E162F" w:rsidRDefault="00C33F41" w:rsidP="000369F5">
      <w:pPr>
        <w:tabs>
          <w:tab w:val="left" w:pos="2520"/>
        </w:tabs>
        <w:jc w:val="both"/>
        <w:rPr>
          <w:rFonts w:ascii="Book Antiqua" w:hAnsi="Book Antiqua" w:cs="Arial"/>
        </w:rPr>
      </w:pPr>
      <w:r w:rsidRPr="008E162F">
        <w:rPr>
          <w:rFonts w:ascii="Book Antiqua" w:hAnsi="Book Antiqua" w:cs="Arial"/>
        </w:rPr>
        <w:t>Deputy Upper Tribunal</w:t>
      </w:r>
      <w:r w:rsidR="00AC5CF6" w:rsidRPr="008E162F">
        <w:rPr>
          <w:rFonts w:ascii="Book Antiqua" w:hAnsi="Book Antiqua" w:cs="Arial"/>
        </w:rPr>
        <w:t xml:space="preserve"> Judge</w:t>
      </w:r>
      <w:r w:rsidR="00B16F58" w:rsidRPr="008E162F">
        <w:rPr>
          <w:rFonts w:ascii="Book Antiqua" w:hAnsi="Book Antiqua" w:cs="Arial"/>
        </w:rPr>
        <w:t xml:space="preserve"> </w:t>
      </w:r>
      <w:r w:rsidR="00D71973" w:rsidRPr="008E162F">
        <w:rPr>
          <w:rFonts w:ascii="Book Antiqua" w:hAnsi="Book Antiqua" w:cs="Arial"/>
        </w:rPr>
        <w:t>Kelly</w:t>
      </w:r>
      <w:r w:rsidR="00C321B5" w:rsidRPr="008E162F">
        <w:rPr>
          <w:rFonts w:ascii="Book Antiqua" w:hAnsi="Book Antiqua" w:cs="Arial"/>
        </w:rPr>
        <w:t xml:space="preserve"> </w:t>
      </w:r>
    </w:p>
    <w:p w14:paraId="440EBBA3" w14:textId="77777777" w:rsidR="00C321B5" w:rsidRPr="008E162F" w:rsidRDefault="00C321B5" w:rsidP="000369F5">
      <w:pPr>
        <w:tabs>
          <w:tab w:val="left" w:pos="2520"/>
        </w:tabs>
        <w:jc w:val="both"/>
        <w:rPr>
          <w:rFonts w:ascii="Book Antiqua" w:hAnsi="Book Antiqua" w:cs="Arial"/>
        </w:rPr>
      </w:pPr>
    </w:p>
    <w:sectPr w:rsidR="00C321B5" w:rsidRPr="008E162F" w:rsidSect="008E162F">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404BC" w14:textId="77777777" w:rsidR="005B4A40" w:rsidRDefault="005B4A40">
      <w:r>
        <w:separator/>
      </w:r>
    </w:p>
  </w:endnote>
  <w:endnote w:type="continuationSeparator" w:id="0">
    <w:p w14:paraId="4C2832A0" w14:textId="77777777" w:rsidR="005B4A40" w:rsidRDefault="005B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AE2E4" w14:textId="688BC67B" w:rsidR="000A4476" w:rsidRPr="00F5664C" w:rsidRDefault="000A4476"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DC0B5C">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67F1E" w14:textId="77777777" w:rsidR="000A4476" w:rsidRPr="00F5664C" w:rsidRDefault="000A4476"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678E9" w14:textId="77777777" w:rsidR="005B4A40" w:rsidRDefault="005B4A40">
      <w:r>
        <w:separator/>
      </w:r>
    </w:p>
  </w:footnote>
  <w:footnote w:type="continuationSeparator" w:id="0">
    <w:p w14:paraId="3AE0004C" w14:textId="77777777" w:rsidR="005B4A40" w:rsidRDefault="005B4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3A44" w14:textId="19EAA61A" w:rsidR="000A4476" w:rsidRPr="00F5664C" w:rsidRDefault="000A4476"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HU/04922/2017</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6EC3" w14:textId="64891A09" w:rsidR="000A4476" w:rsidRPr="00F5664C" w:rsidRDefault="000A4476">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2AE2675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2"/>
  </w:num>
  <w:num w:numId="18">
    <w:abstractNumId w:val="9"/>
  </w:num>
  <w:num w:numId="19">
    <w:abstractNumId w:val="13"/>
  </w:num>
  <w:num w:numId="20">
    <w:abstractNumId w:val="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379"/>
    <w:rsid w:val="00000621"/>
    <w:rsid w:val="000036C2"/>
    <w:rsid w:val="00033D3D"/>
    <w:rsid w:val="000369F5"/>
    <w:rsid w:val="00042918"/>
    <w:rsid w:val="00071A7E"/>
    <w:rsid w:val="000746C0"/>
    <w:rsid w:val="00074D1D"/>
    <w:rsid w:val="00092580"/>
    <w:rsid w:val="000A4476"/>
    <w:rsid w:val="000D5D94"/>
    <w:rsid w:val="001022B9"/>
    <w:rsid w:val="001165A7"/>
    <w:rsid w:val="00151BB7"/>
    <w:rsid w:val="00167D3A"/>
    <w:rsid w:val="001A1E2C"/>
    <w:rsid w:val="001A7CD1"/>
    <w:rsid w:val="001F2716"/>
    <w:rsid w:val="0020133A"/>
    <w:rsid w:val="00207617"/>
    <w:rsid w:val="00241B28"/>
    <w:rsid w:val="00280938"/>
    <w:rsid w:val="00283659"/>
    <w:rsid w:val="002B6D27"/>
    <w:rsid w:val="002C4E73"/>
    <w:rsid w:val="002D68BF"/>
    <w:rsid w:val="00303C11"/>
    <w:rsid w:val="00336CBF"/>
    <w:rsid w:val="003546C8"/>
    <w:rsid w:val="00384305"/>
    <w:rsid w:val="003A7CF2"/>
    <w:rsid w:val="003C5CE5"/>
    <w:rsid w:val="003E267B"/>
    <w:rsid w:val="003E7CD1"/>
    <w:rsid w:val="00402B9E"/>
    <w:rsid w:val="00405524"/>
    <w:rsid w:val="00423932"/>
    <w:rsid w:val="004249CB"/>
    <w:rsid w:val="0044127D"/>
    <w:rsid w:val="004448DB"/>
    <w:rsid w:val="004458FA"/>
    <w:rsid w:val="00446C9A"/>
    <w:rsid w:val="00477193"/>
    <w:rsid w:val="004974CF"/>
    <w:rsid w:val="004A1848"/>
    <w:rsid w:val="004C1ECC"/>
    <w:rsid w:val="004E2E3D"/>
    <w:rsid w:val="00502B91"/>
    <w:rsid w:val="00507FEC"/>
    <w:rsid w:val="00510F0E"/>
    <w:rsid w:val="005310B0"/>
    <w:rsid w:val="005479E1"/>
    <w:rsid w:val="005570FD"/>
    <w:rsid w:val="005575EA"/>
    <w:rsid w:val="00575035"/>
    <w:rsid w:val="0057790C"/>
    <w:rsid w:val="00593379"/>
    <w:rsid w:val="00593795"/>
    <w:rsid w:val="005A7544"/>
    <w:rsid w:val="005A75FF"/>
    <w:rsid w:val="005B4A40"/>
    <w:rsid w:val="005B7789"/>
    <w:rsid w:val="005F50DD"/>
    <w:rsid w:val="00626CF7"/>
    <w:rsid w:val="0065791C"/>
    <w:rsid w:val="00660A63"/>
    <w:rsid w:val="0068180C"/>
    <w:rsid w:val="00690B8A"/>
    <w:rsid w:val="006B4731"/>
    <w:rsid w:val="006D1DFA"/>
    <w:rsid w:val="006D506B"/>
    <w:rsid w:val="006E3C90"/>
    <w:rsid w:val="006F5466"/>
    <w:rsid w:val="00704B61"/>
    <w:rsid w:val="007053A3"/>
    <w:rsid w:val="00742A8D"/>
    <w:rsid w:val="00746387"/>
    <w:rsid w:val="00747430"/>
    <w:rsid w:val="00750E0C"/>
    <w:rsid w:val="007552A9"/>
    <w:rsid w:val="00761858"/>
    <w:rsid w:val="00767D59"/>
    <w:rsid w:val="007758F6"/>
    <w:rsid w:val="00776E97"/>
    <w:rsid w:val="00780FD7"/>
    <w:rsid w:val="007912AD"/>
    <w:rsid w:val="007A1F28"/>
    <w:rsid w:val="007B0824"/>
    <w:rsid w:val="008303B8"/>
    <w:rsid w:val="00833DCE"/>
    <w:rsid w:val="00842418"/>
    <w:rsid w:val="008600A9"/>
    <w:rsid w:val="00871D34"/>
    <w:rsid w:val="008854D4"/>
    <w:rsid w:val="00887BA0"/>
    <w:rsid w:val="008B270C"/>
    <w:rsid w:val="008C3D3D"/>
    <w:rsid w:val="008D4131"/>
    <w:rsid w:val="008E162F"/>
    <w:rsid w:val="008F1932"/>
    <w:rsid w:val="008F294D"/>
    <w:rsid w:val="00921062"/>
    <w:rsid w:val="0093083E"/>
    <w:rsid w:val="0093786F"/>
    <w:rsid w:val="00966ECF"/>
    <w:rsid w:val="0096703E"/>
    <w:rsid w:val="009727A3"/>
    <w:rsid w:val="00982FAF"/>
    <w:rsid w:val="009835E3"/>
    <w:rsid w:val="00987774"/>
    <w:rsid w:val="009A11E8"/>
    <w:rsid w:val="009A6191"/>
    <w:rsid w:val="009E4E62"/>
    <w:rsid w:val="009F5220"/>
    <w:rsid w:val="009F7C4D"/>
    <w:rsid w:val="00A15234"/>
    <w:rsid w:val="00A201AB"/>
    <w:rsid w:val="00A263FF"/>
    <w:rsid w:val="00A31C8B"/>
    <w:rsid w:val="00A7452D"/>
    <w:rsid w:val="00A845DC"/>
    <w:rsid w:val="00A97AEE"/>
    <w:rsid w:val="00AB543B"/>
    <w:rsid w:val="00AC5CF6"/>
    <w:rsid w:val="00AE051C"/>
    <w:rsid w:val="00AF4475"/>
    <w:rsid w:val="00B144FA"/>
    <w:rsid w:val="00B16F58"/>
    <w:rsid w:val="00B30648"/>
    <w:rsid w:val="00B32A76"/>
    <w:rsid w:val="00B3524D"/>
    <w:rsid w:val="00B40F69"/>
    <w:rsid w:val="00B46616"/>
    <w:rsid w:val="00B610E3"/>
    <w:rsid w:val="00B61205"/>
    <w:rsid w:val="00B617C4"/>
    <w:rsid w:val="00B626FA"/>
    <w:rsid w:val="00B7040A"/>
    <w:rsid w:val="00B96FA0"/>
    <w:rsid w:val="00BA7C41"/>
    <w:rsid w:val="00BA7C9E"/>
    <w:rsid w:val="00BD4196"/>
    <w:rsid w:val="00BF22CA"/>
    <w:rsid w:val="00C06BF1"/>
    <w:rsid w:val="00C1440A"/>
    <w:rsid w:val="00C26032"/>
    <w:rsid w:val="00C265B0"/>
    <w:rsid w:val="00C321B5"/>
    <w:rsid w:val="00C33F41"/>
    <w:rsid w:val="00C345E1"/>
    <w:rsid w:val="00C55C9C"/>
    <w:rsid w:val="00C977BA"/>
    <w:rsid w:val="00CA519C"/>
    <w:rsid w:val="00CB6E35"/>
    <w:rsid w:val="00CC4699"/>
    <w:rsid w:val="00CD2F73"/>
    <w:rsid w:val="00CE1A46"/>
    <w:rsid w:val="00CF20DB"/>
    <w:rsid w:val="00CF253F"/>
    <w:rsid w:val="00CF2CB3"/>
    <w:rsid w:val="00CF56B4"/>
    <w:rsid w:val="00CF7E9F"/>
    <w:rsid w:val="00D159E8"/>
    <w:rsid w:val="00D20F09"/>
    <w:rsid w:val="00D22636"/>
    <w:rsid w:val="00D22AE0"/>
    <w:rsid w:val="00D371C7"/>
    <w:rsid w:val="00D40FD9"/>
    <w:rsid w:val="00D53769"/>
    <w:rsid w:val="00D71973"/>
    <w:rsid w:val="00D7765D"/>
    <w:rsid w:val="00D85C13"/>
    <w:rsid w:val="00D91BE3"/>
    <w:rsid w:val="00D94AFC"/>
    <w:rsid w:val="00DB70AE"/>
    <w:rsid w:val="00DB7231"/>
    <w:rsid w:val="00DC0B5C"/>
    <w:rsid w:val="00DD5071"/>
    <w:rsid w:val="00DD5C39"/>
    <w:rsid w:val="00DE26AF"/>
    <w:rsid w:val="00DE7DB7"/>
    <w:rsid w:val="00E00A0A"/>
    <w:rsid w:val="00E07F57"/>
    <w:rsid w:val="00E223E9"/>
    <w:rsid w:val="00E50BCE"/>
    <w:rsid w:val="00E61292"/>
    <w:rsid w:val="00E72B54"/>
    <w:rsid w:val="00E75017"/>
    <w:rsid w:val="00E76309"/>
    <w:rsid w:val="00E77C4D"/>
    <w:rsid w:val="00E81D01"/>
    <w:rsid w:val="00E900B4"/>
    <w:rsid w:val="00E90F1A"/>
    <w:rsid w:val="00E943EF"/>
    <w:rsid w:val="00EE45D8"/>
    <w:rsid w:val="00EF7666"/>
    <w:rsid w:val="00F004CD"/>
    <w:rsid w:val="00F22EDA"/>
    <w:rsid w:val="00F3224D"/>
    <w:rsid w:val="00F33E0E"/>
    <w:rsid w:val="00F5664C"/>
    <w:rsid w:val="00F868C8"/>
    <w:rsid w:val="00FB7E80"/>
    <w:rsid w:val="00FD6996"/>
    <w:rsid w:val="00FF0BFB"/>
    <w:rsid w:val="00FF63FB"/>
    <w:rsid w:val="00FF7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1A918C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1860</Words>
  <Characters>9226</Characters>
  <Application>Microsoft Office Word</Application>
  <DocSecurity>0</DocSecurity>
  <Lines>76</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2018-10-05T10:54:00Z</dcterms:created>
  <dcterms:modified xsi:type="dcterms:W3CDTF">2018-10-05T10:54:00Z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