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A10D1E" w:rsidRDefault="00F12EB5" w:rsidP="00933B65">
      <w:pPr>
        <w:jc w:val="center"/>
        <w:rPr>
          <w:rFonts w:ascii="Book Antiqua" w:hAnsi="Book Antiqua" w:cs="Arial"/>
          <w:color w:val="000000"/>
          <w:sz w:val="16"/>
          <w:szCs w:val="16"/>
        </w:rPr>
      </w:pPr>
      <w:r w:rsidRPr="00A10D1E">
        <w:rPr>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AC5C04" w:rsidRPr="00A10D1E" w:rsidRDefault="00AC5C04" w:rsidP="00933B65">
      <w:pPr>
        <w:tabs>
          <w:tab w:val="right" w:pos="9720"/>
        </w:tabs>
        <w:ind w:right="-82"/>
        <w:rPr>
          <w:rFonts w:ascii="Book Antiqua" w:hAnsi="Book Antiqua" w:cs="Arial"/>
          <w:b/>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2C63AA"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2C63AA">
        <w:rPr>
          <w:rFonts w:ascii="Book Antiqua" w:hAnsi="Book Antiqua" w:cs="Arial"/>
          <w:color w:val="000000"/>
        </w:rPr>
        <w:t>s</w:t>
      </w:r>
      <w:r w:rsidRPr="00F97703">
        <w:rPr>
          <w:rFonts w:ascii="Book Antiqua" w:hAnsi="Book Antiqua" w:cs="Arial"/>
          <w:color w:val="000000"/>
        </w:rPr>
        <w:t>:</w:t>
      </w:r>
      <w:r w:rsidR="002C63AA">
        <w:rPr>
          <w:rFonts w:ascii="Book Antiqua" w:hAnsi="Book Antiqua" w:cs="Arial"/>
          <w:color w:val="000000"/>
        </w:rPr>
        <w:t xml:space="preserve">   </w:t>
      </w:r>
      <w:bookmarkStart w:id="0" w:name="_Hlk514241719"/>
      <w:bookmarkStart w:id="1" w:name="_GoBack"/>
      <w:r w:rsidR="002C63AA">
        <w:rPr>
          <w:rFonts w:ascii="Book Antiqua" w:hAnsi="Book Antiqua" w:cs="Arial"/>
          <w:color w:val="000000"/>
        </w:rPr>
        <w:t>HU/05045/2015</w:t>
      </w:r>
      <w:bookmarkEnd w:id="1"/>
    </w:p>
    <w:p w:rsidR="002C63AA" w:rsidRDefault="002C63AA" w:rsidP="00933B65">
      <w:pPr>
        <w:tabs>
          <w:tab w:val="right" w:pos="9720"/>
        </w:tabs>
        <w:ind w:right="-82"/>
        <w:rPr>
          <w:rFonts w:ascii="Book Antiqua" w:hAnsi="Book Antiqua" w:cs="Arial"/>
          <w:color w:val="000000"/>
        </w:rPr>
      </w:pPr>
      <w:r>
        <w:rPr>
          <w:rFonts w:ascii="Book Antiqua" w:hAnsi="Book Antiqua" w:cs="Arial"/>
          <w:color w:val="000000"/>
        </w:rPr>
        <w:tab/>
        <w:t>HU/05046/2015</w:t>
      </w:r>
    </w:p>
    <w:p w:rsidR="00933B65" w:rsidRPr="00F97703" w:rsidRDefault="002C63AA" w:rsidP="00933B65">
      <w:pPr>
        <w:tabs>
          <w:tab w:val="right" w:pos="9720"/>
        </w:tabs>
        <w:ind w:right="-82"/>
        <w:rPr>
          <w:rFonts w:ascii="Book Antiqua" w:hAnsi="Book Antiqua" w:cs="Arial"/>
          <w:color w:val="000000"/>
        </w:rPr>
      </w:pPr>
      <w:r>
        <w:rPr>
          <w:rFonts w:ascii="Book Antiqua" w:hAnsi="Book Antiqua" w:cs="Arial"/>
          <w:color w:val="000000"/>
        </w:rPr>
        <w:tab/>
        <w:t>HU/05047/2015</w:t>
      </w:r>
      <w:r w:rsidR="006748D6">
        <w:rPr>
          <w:rFonts w:ascii="Book Antiqua" w:hAnsi="Book Antiqua" w:cs="Arial"/>
          <w:color w:val="000000"/>
        </w:rPr>
        <w:t xml:space="preserve"> </w:t>
      </w:r>
    </w:p>
    <w:p w:rsidR="00933B65" w:rsidRPr="00F97703" w:rsidRDefault="00933B65" w:rsidP="00933B65">
      <w:pPr>
        <w:jc w:val="center"/>
        <w:rPr>
          <w:rFonts w:ascii="Book Antiqua" w:hAnsi="Book Antiqua" w:cs="Arial"/>
          <w:color w:val="000000"/>
        </w:rPr>
      </w:pPr>
    </w:p>
    <w:bookmarkEnd w:id="0"/>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961"/>
        <w:gridCol w:w="965"/>
        <w:gridCol w:w="3712"/>
      </w:tblGrid>
      <w:tr w:rsidR="00933B65" w:rsidRPr="009D328D" w:rsidTr="006C772F">
        <w:tc>
          <w:tcPr>
            <w:tcW w:w="5070"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2C63AA">
              <w:rPr>
                <w:rFonts w:ascii="Book Antiqua" w:hAnsi="Book Antiqua" w:cs="Arial"/>
                <w:b/>
              </w:rPr>
              <w:t>Field House</w:t>
            </w:r>
          </w:p>
        </w:tc>
        <w:tc>
          <w:tcPr>
            <w:tcW w:w="4758" w:type="dxa"/>
            <w:gridSpan w:val="2"/>
            <w:shd w:val="clear" w:color="auto" w:fill="auto"/>
          </w:tcPr>
          <w:p w:rsidR="00933B65" w:rsidRPr="009D328D" w:rsidRDefault="00933B65" w:rsidP="009D328D">
            <w:pPr>
              <w:jc w:val="both"/>
              <w:rPr>
                <w:rFonts w:ascii="Book Antiqua" w:hAnsi="Book Antiqua" w:cs="Arial"/>
                <w:b/>
                <w:color w:val="000000"/>
              </w:rPr>
            </w:pPr>
            <w:r w:rsidRPr="009D328D">
              <w:rPr>
                <w:rFonts w:ascii="Book Antiqua" w:hAnsi="Book Antiqua" w:cs="Arial"/>
                <w:b/>
                <w:color w:val="000000"/>
              </w:rPr>
              <w:t>De</w:t>
            </w:r>
            <w:r w:rsidR="006C772F">
              <w:rPr>
                <w:rFonts w:ascii="Book Antiqua" w:hAnsi="Book Antiqua" w:cs="Arial"/>
                <w:b/>
                <w:color w:val="000000"/>
              </w:rPr>
              <w:t xml:space="preserve">cision and Reasons </w:t>
            </w:r>
            <w:r w:rsidR="006C772F" w:rsidRPr="009D328D">
              <w:rPr>
                <w:rFonts w:ascii="Book Antiqua" w:hAnsi="Book Antiqua" w:cs="Arial"/>
                <w:b/>
                <w:color w:val="000000"/>
              </w:rPr>
              <w:t>Promulgated</w:t>
            </w:r>
          </w:p>
        </w:tc>
      </w:tr>
      <w:tr w:rsidR="00933B65" w:rsidRPr="009D328D" w:rsidTr="006C772F">
        <w:tc>
          <w:tcPr>
            <w:tcW w:w="5070"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2C63AA">
              <w:rPr>
                <w:rFonts w:ascii="Book Antiqua" w:hAnsi="Book Antiqua" w:cs="Arial"/>
                <w:b/>
              </w:rPr>
              <w:t>25 April 2018</w:t>
            </w:r>
          </w:p>
        </w:tc>
        <w:tc>
          <w:tcPr>
            <w:tcW w:w="4758" w:type="dxa"/>
            <w:gridSpan w:val="2"/>
            <w:shd w:val="clear" w:color="auto" w:fill="auto"/>
          </w:tcPr>
          <w:p w:rsidR="00933B65" w:rsidRPr="009D328D" w:rsidRDefault="001F4013" w:rsidP="009D328D">
            <w:pPr>
              <w:jc w:val="both"/>
              <w:rPr>
                <w:rFonts w:ascii="Book Antiqua" w:hAnsi="Book Antiqua" w:cs="Arial"/>
                <w:b/>
              </w:rPr>
            </w:pPr>
            <w:r>
              <w:rPr>
                <w:rFonts w:ascii="Book Antiqua" w:hAnsi="Book Antiqua" w:cs="Arial"/>
                <w:b/>
              </w:rPr>
              <w:t xml:space="preserve">On 29 May 2018 </w:t>
            </w:r>
          </w:p>
        </w:tc>
      </w:tr>
      <w:tr w:rsidR="001F4013" w:rsidRPr="009D328D" w:rsidTr="009D328D">
        <w:trPr>
          <w:gridAfter w:val="1"/>
          <w:wAfter w:w="3780" w:type="dxa"/>
        </w:trPr>
        <w:tc>
          <w:tcPr>
            <w:tcW w:w="6048" w:type="dxa"/>
            <w:gridSpan w:val="2"/>
            <w:shd w:val="clear" w:color="auto" w:fill="auto"/>
          </w:tcPr>
          <w:p w:rsidR="001F4013" w:rsidRPr="009D328D" w:rsidRDefault="001F4013" w:rsidP="009D328D">
            <w:pPr>
              <w:jc w:val="both"/>
              <w:rPr>
                <w:rFonts w:ascii="Book Antiqua" w:hAnsi="Book Antiqua" w:cs="Arial"/>
                <w:b/>
              </w:rPr>
            </w:pPr>
          </w:p>
        </w:tc>
      </w:tr>
    </w:tbl>
    <w:p w:rsidR="00AC5C04" w:rsidRDefault="00AC5C0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2C63AA"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2C63AA" w:rsidP="00933B65">
      <w:pPr>
        <w:jc w:val="center"/>
        <w:rPr>
          <w:rFonts w:ascii="Book Antiqua" w:hAnsi="Book Antiqua" w:cs="Arial"/>
          <w:b/>
        </w:rPr>
      </w:pPr>
      <w:r>
        <w:rPr>
          <w:rFonts w:ascii="Book Antiqua" w:hAnsi="Book Antiqua" w:cs="Arial"/>
          <w:b/>
        </w:rPr>
        <w:t xml:space="preserve">CARMEN </w:t>
      </w:r>
      <w:r w:rsidR="00A10D1E">
        <w:rPr>
          <w:rFonts w:ascii="Book Antiqua" w:hAnsi="Book Antiqua" w:cs="Arial"/>
          <w:b/>
        </w:rPr>
        <w:t>[</w:t>
      </w:r>
      <w:r>
        <w:rPr>
          <w:rFonts w:ascii="Book Antiqua" w:hAnsi="Book Antiqua" w:cs="Arial"/>
          <w:b/>
        </w:rPr>
        <w:t>S</w:t>
      </w:r>
      <w:r w:rsidR="00A10D1E">
        <w:rPr>
          <w:rFonts w:ascii="Book Antiqua" w:hAnsi="Book Antiqua" w:cs="Arial"/>
          <w:b/>
        </w:rPr>
        <w:t>]</w:t>
      </w:r>
    </w:p>
    <w:p w:rsidR="00680A32" w:rsidRDefault="00A10D1E" w:rsidP="00933B65">
      <w:pPr>
        <w:jc w:val="center"/>
        <w:rPr>
          <w:rFonts w:ascii="Book Antiqua" w:hAnsi="Book Antiqua" w:cs="Arial"/>
          <w:b/>
        </w:rPr>
      </w:pPr>
      <w:r>
        <w:rPr>
          <w:rFonts w:ascii="Book Antiqua" w:hAnsi="Book Antiqua" w:cs="Arial"/>
          <w:b/>
        </w:rPr>
        <w:t>[</w:t>
      </w:r>
      <w:r w:rsidR="002C63AA">
        <w:rPr>
          <w:rFonts w:ascii="Book Antiqua" w:hAnsi="Book Antiqua" w:cs="Arial"/>
          <w:b/>
        </w:rPr>
        <w:t>S</w:t>
      </w:r>
      <w:r>
        <w:rPr>
          <w:rFonts w:ascii="Book Antiqua" w:hAnsi="Book Antiqua" w:cs="Arial"/>
          <w:b/>
        </w:rPr>
        <w:t xml:space="preserve"> </w:t>
      </w:r>
      <w:r w:rsidR="002C63AA">
        <w:rPr>
          <w:rFonts w:ascii="Book Antiqua" w:hAnsi="Book Antiqua" w:cs="Arial"/>
          <w:b/>
        </w:rPr>
        <w:t>C</w:t>
      </w:r>
      <w:r>
        <w:rPr>
          <w:rFonts w:ascii="Book Antiqua" w:hAnsi="Book Antiqua" w:cs="Arial"/>
          <w:b/>
        </w:rPr>
        <w:t>]</w:t>
      </w:r>
    </w:p>
    <w:p w:rsidR="00680A32" w:rsidRDefault="00A10D1E" w:rsidP="00933B65">
      <w:pPr>
        <w:jc w:val="center"/>
        <w:rPr>
          <w:rFonts w:ascii="Book Antiqua" w:hAnsi="Book Antiqua" w:cs="Arial"/>
          <w:b/>
        </w:rPr>
      </w:pPr>
      <w:r>
        <w:rPr>
          <w:rFonts w:ascii="Book Antiqua" w:hAnsi="Book Antiqua" w:cs="Arial"/>
          <w:b/>
        </w:rPr>
        <w:t>[</w:t>
      </w:r>
      <w:r w:rsidR="002C63AA">
        <w:rPr>
          <w:rFonts w:ascii="Book Antiqua" w:hAnsi="Book Antiqua" w:cs="Arial"/>
          <w:b/>
        </w:rPr>
        <w:t>E</w:t>
      </w:r>
      <w:r>
        <w:rPr>
          <w:rFonts w:ascii="Book Antiqua" w:hAnsi="Book Antiqua" w:cs="Arial"/>
          <w:b/>
        </w:rPr>
        <w:t xml:space="preserve"> </w:t>
      </w:r>
      <w:r w:rsidR="002C63AA">
        <w:rPr>
          <w:rFonts w:ascii="Book Antiqua" w:hAnsi="Book Antiqua" w:cs="Arial"/>
          <w:b/>
        </w:rPr>
        <w:t>C</w:t>
      </w:r>
      <w:r>
        <w:rPr>
          <w:rFonts w:ascii="Book Antiqua" w:hAnsi="Book Antiqua" w:cs="Arial"/>
          <w:b/>
        </w:rPr>
        <w:t>]</w:t>
      </w:r>
    </w:p>
    <w:p w:rsidR="009F5E78" w:rsidRPr="00F97703" w:rsidRDefault="009F5E78" w:rsidP="00933B65">
      <w:pPr>
        <w:jc w:val="center"/>
        <w:rPr>
          <w:rFonts w:ascii="Book Antiqua" w:hAnsi="Book Antiqua" w:cs="Arial"/>
          <w:b/>
        </w:rPr>
      </w:pPr>
      <w:r>
        <w:rPr>
          <w:rFonts w:ascii="Book Antiqua" w:hAnsi="Book Antiqua" w:cs="Arial"/>
          <w:b/>
        </w:rPr>
        <w:t>(No 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r w:rsidR="002C63AA">
        <w:rPr>
          <w:rFonts w:ascii="Book Antiqua" w:hAnsi="Book Antiqua" w:cs="Arial"/>
          <w:u w:val="single"/>
        </w:rPr>
        <w:t>s</w:t>
      </w:r>
    </w:p>
    <w:p w:rsidR="00933B65" w:rsidRPr="00F97703" w:rsidRDefault="00933B6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2C63AA">
        <w:rPr>
          <w:rFonts w:ascii="Book Antiqua" w:hAnsi="Book Antiqua" w:cs="Arial"/>
        </w:rPr>
        <w:t>Ms Willocks-Brisco</w:t>
      </w:r>
      <w:r w:rsidR="00320FD9">
        <w:rPr>
          <w:rFonts w:ascii="Book Antiqua" w:hAnsi="Book Antiqua" w:cs="Arial"/>
        </w:rPr>
        <w:t>e</w:t>
      </w:r>
      <w:r w:rsidR="002C63AA">
        <w:rPr>
          <w:rFonts w:ascii="Book Antiqua" w:hAnsi="Book Antiqua" w:cs="Arial"/>
        </w:rPr>
        <w:t>, Home Office Presenting Officer</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2C63AA">
        <w:rPr>
          <w:rFonts w:ascii="Book Antiqua" w:hAnsi="Book Antiqua" w:cs="Arial"/>
        </w:rPr>
        <w:t>Mr Coleman of Counsel</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933B65" w:rsidRDefault="004F3AB3" w:rsidP="004F3AB3">
      <w:pPr>
        <w:numPr>
          <w:ilvl w:val="0"/>
          <w:numId w:val="3"/>
        </w:numPr>
        <w:ind w:left="567" w:hanging="567"/>
        <w:jc w:val="both"/>
        <w:rPr>
          <w:rFonts w:ascii="Book Antiqua" w:hAnsi="Book Antiqua" w:cs="Arial"/>
        </w:rPr>
      </w:pPr>
      <w:r>
        <w:rPr>
          <w:rFonts w:ascii="Book Antiqua" w:hAnsi="Book Antiqua" w:cs="Arial"/>
        </w:rPr>
        <w:t xml:space="preserve">For convenience I treat the parties as they were before the First-tier Tribunal.  </w:t>
      </w:r>
      <w:proofErr w:type="gramStart"/>
      <w:r>
        <w:rPr>
          <w:rFonts w:ascii="Book Antiqua" w:hAnsi="Book Antiqua" w:cs="Arial"/>
        </w:rPr>
        <w:t>Thus</w:t>
      </w:r>
      <w:proofErr w:type="gramEnd"/>
      <w:r>
        <w:rPr>
          <w:rFonts w:ascii="Book Antiqua" w:hAnsi="Book Antiqua" w:cs="Arial"/>
        </w:rPr>
        <w:t xml:space="preserve"> Mrs </w:t>
      </w:r>
      <w:proofErr w:type="spellStart"/>
      <w:r>
        <w:rPr>
          <w:rFonts w:ascii="Book Antiqua" w:hAnsi="Book Antiqua" w:cs="Arial"/>
        </w:rPr>
        <w:t>Sernades</w:t>
      </w:r>
      <w:proofErr w:type="spellEnd"/>
      <w:r>
        <w:rPr>
          <w:rFonts w:ascii="Book Antiqua" w:hAnsi="Book Antiqua" w:cs="Arial"/>
        </w:rPr>
        <w:t>,</w:t>
      </w:r>
      <w:r w:rsidR="00C244A0">
        <w:rPr>
          <w:rFonts w:ascii="Book Antiqua" w:hAnsi="Book Antiqua" w:cs="Arial"/>
        </w:rPr>
        <w:t xml:space="preserve"> </w:t>
      </w:r>
      <w:r w:rsidR="00A10D1E">
        <w:rPr>
          <w:rFonts w:ascii="Book Antiqua" w:hAnsi="Book Antiqua" w:cs="Arial"/>
        </w:rPr>
        <w:t>[</w:t>
      </w:r>
      <w:r>
        <w:rPr>
          <w:rFonts w:ascii="Book Antiqua" w:hAnsi="Book Antiqua" w:cs="Arial"/>
        </w:rPr>
        <w:t>SC</w:t>
      </w:r>
      <w:r w:rsidR="00A10D1E">
        <w:rPr>
          <w:rFonts w:ascii="Book Antiqua" w:hAnsi="Book Antiqua" w:cs="Arial"/>
        </w:rPr>
        <w:t xml:space="preserve">] </w:t>
      </w:r>
      <w:r>
        <w:rPr>
          <w:rFonts w:ascii="Book Antiqua" w:hAnsi="Book Antiqua" w:cs="Arial"/>
        </w:rPr>
        <w:t xml:space="preserve">and </w:t>
      </w:r>
      <w:r w:rsidR="00A10D1E">
        <w:rPr>
          <w:rFonts w:ascii="Book Antiqua" w:hAnsi="Book Antiqua" w:cs="Arial"/>
        </w:rPr>
        <w:t>[</w:t>
      </w:r>
      <w:r>
        <w:rPr>
          <w:rFonts w:ascii="Book Antiqua" w:hAnsi="Book Antiqua" w:cs="Arial"/>
        </w:rPr>
        <w:t>EC</w:t>
      </w:r>
      <w:r w:rsidR="00A10D1E">
        <w:rPr>
          <w:rFonts w:ascii="Book Antiqua" w:hAnsi="Book Antiqua" w:cs="Arial"/>
        </w:rPr>
        <w:t xml:space="preserve">] </w:t>
      </w:r>
      <w:r>
        <w:rPr>
          <w:rFonts w:ascii="Book Antiqua" w:hAnsi="Book Antiqua" w:cs="Arial"/>
        </w:rPr>
        <w:t>are the appellants and the Secretary of State is the respondent.</w:t>
      </w:r>
    </w:p>
    <w:p w:rsidR="004F3AB3" w:rsidRDefault="004F3AB3" w:rsidP="004F3AB3">
      <w:pPr>
        <w:jc w:val="both"/>
        <w:rPr>
          <w:rFonts w:ascii="Book Antiqua" w:hAnsi="Book Antiqua" w:cs="Arial"/>
        </w:rPr>
      </w:pPr>
    </w:p>
    <w:p w:rsidR="004F3AB3" w:rsidRDefault="004F3AB3" w:rsidP="004F3AB3">
      <w:pPr>
        <w:numPr>
          <w:ilvl w:val="0"/>
          <w:numId w:val="3"/>
        </w:numPr>
        <w:ind w:left="567" w:hanging="567"/>
        <w:jc w:val="both"/>
        <w:rPr>
          <w:rFonts w:ascii="Book Antiqua" w:hAnsi="Book Antiqua" w:cs="Arial"/>
        </w:rPr>
      </w:pPr>
      <w:r>
        <w:rPr>
          <w:rFonts w:ascii="Book Antiqua" w:hAnsi="Book Antiqua" w:cs="Arial"/>
        </w:rPr>
        <w:lastRenderedPageBreak/>
        <w:t>The appellants are citizens of Bolivia born in 1977, 2013 and 2014 respectively.  The first appellant is the mother of the other two appellants.  She has been in the UK since 2005</w:t>
      </w:r>
      <w:r w:rsidR="00320FD9">
        <w:rPr>
          <w:rFonts w:ascii="Book Antiqua" w:hAnsi="Book Antiqua" w:cs="Arial"/>
        </w:rPr>
        <w:t>.  H</w:t>
      </w:r>
      <w:r>
        <w:rPr>
          <w:rFonts w:ascii="Book Antiqua" w:hAnsi="Book Antiqua" w:cs="Arial"/>
        </w:rPr>
        <w:t>aving arrived on a visit visa she overstayed.</w:t>
      </w:r>
    </w:p>
    <w:p w:rsidR="004F3AB3" w:rsidRDefault="004F3AB3" w:rsidP="004F3AB3">
      <w:pPr>
        <w:pStyle w:val="ListParagraph"/>
        <w:rPr>
          <w:rFonts w:ascii="Book Antiqua" w:hAnsi="Book Antiqua" w:cs="Arial"/>
        </w:rPr>
      </w:pPr>
    </w:p>
    <w:p w:rsidR="004F3AB3" w:rsidRDefault="004F3AB3" w:rsidP="004F3AB3">
      <w:pPr>
        <w:numPr>
          <w:ilvl w:val="0"/>
          <w:numId w:val="3"/>
        </w:numPr>
        <w:ind w:left="567" w:hanging="567"/>
        <w:jc w:val="both"/>
        <w:rPr>
          <w:rFonts w:ascii="Book Antiqua" w:hAnsi="Book Antiqua" w:cs="Arial"/>
        </w:rPr>
      </w:pPr>
      <w:r>
        <w:rPr>
          <w:rFonts w:ascii="Book Antiqua" w:hAnsi="Book Antiqua" w:cs="Arial"/>
        </w:rPr>
        <w:t>They appeal against the decision of the Secretary of State made on 21 August 2015 to refuse their application for leave to remain.</w:t>
      </w:r>
    </w:p>
    <w:p w:rsidR="004F3AB3" w:rsidRDefault="004F3AB3" w:rsidP="004F3AB3">
      <w:pPr>
        <w:pStyle w:val="ListParagraph"/>
        <w:rPr>
          <w:rFonts w:ascii="Book Antiqua" w:hAnsi="Book Antiqua" w:cs="Arial"/>
        </w:rPr>
      </w:pPr>
    </w:p>
    <w:p w:rsidR="004F3AB3" w:rsidRDefault="004F3AB3" w:rsidP="004F3AB3">
      <w:pPr>
        <w:numPr>
          <w:ilvl w:val="0"/>
          <w:numId w:val="3"/>
        </w:numPr>
        <w:ind w:left="567" w:hanging="567"/>
        <w:jc w:val="both"/>
        <w:rPr>
          <w:rFonts w:ascii="Book Antiqua" w:hAnsi="Book Antiqua" w:cs="Arial"/>
        </w:rPr>
      </w:pPr>
      <w:r>
        <w:rPr>
          <w:rFonts w:ascii="Book Antiqua" w:hAnsi="Book Antiqua" w:cs="Arial"/>
        </w:rPr>
        <w:t>The first appellant’s husband and the father of the children is a citizen of Peru.  He has limited leave to remain.</w:t>
      </w:r>
    </w:p>
    <w:p w:rsidR="004F3AB3" w:rsidRDefault="004F3AB3" w:rsidP="004F3AB3">
      <w:pPr>
        <w:pStyle w:val="ListParagraph"/>
        <w:rPr>
          <w:rFonts w:ascii="Book Antiqua" w:hAnsi="Book Antiqua" w:cs="Arial"/>
        </w:rPr>
      </w:pPr>
    </w:p>
    <w:p w:rsidR="004F3AB3" w:rsidRDefault="004F3AB3" w:rsidP="004F3AB3">
      <w:pPr>
        <w:numPr>
          <w:ilvl w:val="0"/>
          <w:numId w:val="3"/>
        </w:numPr>
        <w:ind w:left="567" w:hanging="567"/>
        <w:jc w:val="both"/>
        <w:rPr>
          <w:rFonts w:ascii="Book Antiqua" w:hAnsi="Book Antiqua" w:cs="Arial"/>
        </w:rPr>
      </w:pPr>
      <w:r>
        <w:rPr>
          <w:rFonts w:ascii="Book Antiqua" w:hAnsi="Book Antiqua" w:cs="Arial"/>
        </w:rPr>
        <w:t>The Secretary of State accepted that the first appellant has a genuine and subsisting parental relationship with the children but was not satisfied that the eligibility requirements were met.  It was not accepted that there would be very significant obstacles to her reintegration into Bolivia.  Her children are young and would quickly adapt to living there.  There were no exceptional circumstances.</w:t>
      </w:r>
    </w:p>
    <w:p w:rsidR="004F3AB3" w:rsidRDefault="004F3AB3" w:rsidP="004F3AB3">
      <w:pPr>
        <w:pStyle w:val="ListParagraph"/>
        <w:rPr>
          <w:rFonts w:ascii="Book Antiqua" w:hAnsi="Book Antiqua" w:cs="Arial"/>
        </w:rPr>
      </w:pPr>
    </w:p>
    <w:p w:rsidR="004F3AB3" w:rsidRDefault="004F3AB3" w:rsidP="004F3AB3">
      <w:pPr>
        <w:numPr>
          <w:ilvl w:val="0"/>
          <w:numId w:val="3"/>
        </w:numPr>
        <w:ind w:left="567" w:hanging="567"/>
        <w:jc w:val="both"/>
        <w:rPr>
          <w:rFonts w:ascii="Book Antiqua" w:hAnsi="Book Antiqua" w:cs="Arial"/>
        </w:rPr>
      </w:pPr>
      <w:r>
        <w:rPr>
          <w:rFonts w:ascii="Book Antiqua" w:hAnsi="Book Antiqua" w:cs="Arial"/>
        </w:rPr>
        <w:t>They appealed.</w:t>
      </w:r>
    </w:p>
    <w:p w:rsidR="009F5E78" w:rsidRDefault="009F5E78" w:rsidP="009F5E78">
      <w:pPr>
        <w:pStyle w:val="ListParagraph"/>
        <w:rPr>
          <w:rFonts w:ascii="Book Antiqua" w:hAnsi="Book Antiqua" w:cs="Arial"/>
        </w:rPr>
      </w:pPr>
    </w:p>
    <w:p w:rsidR="009F5E78" w:rsidRPr="009F5E78" w:rsidRDefault="009F5E78" w:rsidP="009F5E78">
      <w:pPr>
        <w:ind w:left="567"/>
        <w:jc w:val="both"/>
        <w:rPr>
          <w:rFonts w:ascii="Book Antiqua" w:hAnsi="Book Antiqua" w:cs="Arial"/>
          <w:b/>
        </w:rPr>
      </w:pPr>
      <w:r w:rsidRPr="009F5E78">
        <w:rPr>
          <w:rFonts w:ascii="Book Antiqua" w:hAnsi="Book Antiqua" w:cs="Arial"/>
          <w:b/>
        </w:rPr>
        <w:t>First tier hearing</w:t>
      </w:r>
    </w:p>
    <w:p w:rsidR="004F3AB3" w:rsidRDefault="004F3AB3" w:rsidP="004F3AB3">
      <w:pPr>
        <w:pStyle w:val="ListParagraph"/>
        <w:rPr>
          <w:rFonts w:ascii="Book Antiqua" w:hAnsi="Book Antiqua" w:cs="Arial"/>
        </w:rPr>
      </w:pPr>
    </w:p>
    <w:p w:rsidR="004F3AB3" w:rsidRDefault="004F3AB3" w:rsidP="004F3AB3">
      <w:pPr>
        <w:numPr>
          <w:ilvl w:val="0"/>
          <w:numId w:val="3"/>
        </w:numPr>
        <w:ind w:left="567" w:hanging="567"/>
        <w:jc w:val="both"/>
        <w:rPr>
          <w:rFonts w:ascii="Book Antiqua" w:hAnsi="Book Antiqua" w:cs="Arial"/>
        </w:rPr>
      </w:pPr>
      <w:r>
        <w:rPr>
          <w:rFonts w:ascii="Book Antiqua" w:hAnsi="Book Antiqua" w:cs="Arial"/>
        </w:rPr>
        <w:t xml:space="preserve">Following a hearing at Hatton Cross on 9 June </w:t>
      </w:r>
      <w:r w:rsidR="009306E6">
        <w:rPr>
          <w:rFonts w:ascii="Book Antiqua" w:hAnsi="Book Antiqua" w:cs="Arial"/>
        </w:rPr>
        <w:t>2017 Judge of the First-tier</w:t>
      </w:r>
      <w:r w:rsidR="00E430C0">
        <w:rPr>
          <w:rFonts w:ascii="Book Antiqua" w:hAnsi="Book Antiqua" w:cs="Arial"/>
        </w:rPr>
        <w:t xml:space="preserve"> </w:t>
      </w:r>
      <w:proofErr w:type="spellStart"/>
      <w:r w:rsidR="009306E6">
        <w:rPr>
          <w:rFonts w:ascii="Book Antiqua" w:hAnsi="Book Antiqua" w:cs="Arial"/>
        </w:rPr>
        <w:t>S</w:t>
      </w:r>
      <w:r w:rsidR="00505EDD">
        <w:rPr>
          <w:rFonts w:ascii="Book Antiqua" w:hAnsi="Book Antiqua" w:cs="Arial"/>
        </w:rPr>
        <w:t>winnerton</w:t>
      </w:r>
      <w:proofErr w:type="spellEnd"/>
      <w:r w:rsidR="009306E6">
        <w:rPr>
          <w:rFonts w:ascii="Book Antiqua" w:hAnsi="Book Antiqua" w:cs="Arial"/>
        </w:rPr>
        <w:t xml:space="preserve"> allowed the appeals.</w:t>
      </w:r>
      <w:r>
        <w:rPr>
          <w:rFonts w:ascii="Book Antiqua" w:hAnsi="Book Antiqua" w:cs="Arial"/>
        </w:rPr>
        <w:t xml:space="preserve">  </w:t>
      </w:r>
    </w:p>
    <w:p w:rsidR="00505EDD" w:rsidRDefault="00505EDD" w:rsidP="00505EDD">
      <w:pPr>
        <w:pStyle w:val="ListParagraph"/>
        <w:rPr>
          <w:rFonts w:ascii="Book Antiqua" w:hAnsi="Book Antiqua" w:cs="Arial"/>
        </w:rPr>
      </w:pPr>
    </w:p>
    <w:p w:rsidR="00505EDD" w:rsidRDefault="00505EDD" w:rsidP="004F3AB3">
      <w:pPr>
        <w:numPr>
          <w:ilvl w:val="0"/>
          <w:numId w:val="3"/>
        </w:numPr>
        <w:ind w:left="567" w:hanging="567"/>
        <w:jc w:val="both"/>
        <w:rPr>
          <w:rFonts w:ascii="Book Antiqua" w:hAnsi="Book Antiqua" w:cs="Arial"/>
        </w:rPr>
      </w:pPr>
      <w:r>
        <w:rPr>
          <w:rFonts w:ascii="Book Antiqua" w:hAnsi="Book Antiqua" w:cs="Arial"/>
        </w:rPr>
        <w:t>He found that the first appellant and her partner have a ‘</w:t>
      </w:r>
      <w:r w:rsidRPr="00996138">
        <w:rPr>
          <w:rFonts w:ascii="Book Antiqua" w:hAnsi="Book Antiqua" w:cs="Arial"/>
          <w:i/>
        </w:rPr>
        <w:t>genuine and subsisting</w:t>
      </w:r>
      <w:r>
        <w:rPr>
          <w:rFonts w:ascii="Book Antiqua" w:hAnsi="Book Antiqua" w:cs="Arial"/>
        </w:rPr>
        <w:t xml:space="preserve"> </w:t>
      </w:r>
      <w:r w:rsidRPr="00996138">
        <w:rPr>
          <w:rFonts w:ascii="Book Antiqua" w:hAnsi="Book Antiqua" w:cs="Arial"/>
          <w:i/>
        </w:rPr>
        <w:t>relationship</w:t>
      </w:r>
      <w:r w:rsidR="002A674E">
        <w:rPr>
          <w:rFonts w:ascii="Book Antiqua" w:hAnsi="Book Antiqua" w:cs="Arial"/>
        </w:rPr>
        <w:t xml:space="preserve">’, that </w:t>
      </w:r>
      <w:r>
        <w:rPr>
          <w:rFonts w:ascii="Book Antiqua" w:hAnsi="Book Antiqua" w:cs="Arial"/>
        </w:rPr>
        <w:t>she has a ‘</w:t>
      </w:r>
      <w:r w:rsidRPr="00996138">
        <w:rPr>
          <w:rFonts w:ascii="Book Antiqua" w:hAnsi="Book Antiqua" w:cs="Arial"/>
          <w:i/>
        </w:rPr>
        <w:t>genuine and subsisting parental relationship with her</w:t>
      </w:r>
      <w:r>
        <w:rPr>
          <w:rFonts w:ascii="Book Antiqua" w:hAnsi="Book Antiqua" w:cs="Arial"/>
        </w:rPr>
        <w:t xml:space="preserve"> </w:t>
      </w:r>
      <w:r w:rsidRPr="00996138">
        <w:rPr>
          <w:rFonts w:ascii="Book Antiqua" w:hAnsi="Book Antiqua" w:cs="Arial"/>
          <w:i/>
        </w:rPr>
        <w:t>children</w:t>
      </w:r>
      <w:r w:rsidR="00C91C42">
        <w:rPr>
          <w:rFonts w:ascii="Book Antiqua" w:hAnsi="Book Antiqua" w:cs="Arial"/>
          <w:i/>
        </w:rPr>
        <w:t>’</w:t>
      </w:r>
      <w:r w:rsidRPr="00996138">
        <w:rPr>
          <w:rFonts w:ascii="Book Antiqua" w:hAnsi="Book Antiqua" w:cs="Arial"/>
          <w:i/>
        </w:rPr>
        <w:t xml:space="preserve">; </w:t>
      </w:r>
      <w:r w:rsidRPr="00C91C42">
        <w:rPr>
          <w:rFonts w:ascii="Book Antiqua" w:hAnsi="Book Antiqua" w:cs="Arial"/>
        </w:rPr>
        <w:t>that she, the children and her partner</w:t>
      </w:r>
      <w:r>
        <w:rPr>
          <w:rFonts w:ascii="Book Antiqua" w:hAnsi="Book Antiqua" w:cs="Arial"/>
        </w:rPr>
        <w:t xml:space="preserve"> live together as a family [22].</w:t>
      </w:r>
    </w:p>
    <w:p w:rsidR="00505EDD" w:rsidRDefault="00505EDD" w:rsidP="00505EDD">
      <w:pPr>
        <w:pStyle w:val="ListParagraph"/>
        <w:rPr>
          <w:rFonts w:ascii="Book Antiqua" w:hAnsi="Book Antiqua" w:cs="Arial"/>
        </w:rPr>
      </w:pPr>
    </w:p>
    <w:p w:rsidR="00505EDD" w:rsidRPr="00996138" w:rsidRDefault="00505EDD" w:rsidP="004F3AB3">
      <w:pPr>
        <w:numPr>
          <w:ilvl w:val="0"/>
          <w:numId w:val="3"/>
        </w:numPr>
        <w:ind w:left="567" w:hanging="567"/>
        <w:jc w:val="both"/>
        <w:rPr>
          <w:rFonts w:ascii="Book Antiqua" w:hAnsi="Book Antiqua" w:cs="Arial"/>
          <w:i/>
        </w:rPr>
      </w:pPr>
      <w:r>
        <w:rPr>
          <w:rFonts w:ascii="Book Antiqua" w:hAnsi="Book Antiqua" w:cs="Arial"/>
        </w:rPr>
        <w:t xml:space="preserve">In proceeding to </w:t>
      </w:r>
      <w:proofErr w:type="gramStart"/>
      <w:r>
        <w:rPr>
          <w:rFonts w:ascii="Book Antiqua" w:hAnsi="Book Antiqua" w:cs="Arial"/>
        </w:rPr>
        <w:t>proportionality</w:t>
      </w:r>
      <w:proofErr w:type="gramEnd"/>
      <w:r>
        <w:rPr>
          <w:rFonts w:ascii="Book Antiqua" w:hAnsi="Book Antiqua" w:cs="Arial"/>
        </w:rPr>
        <w:t xml:space="preserve"> he stated that the best interests of the children are a primary consideration and intrinsic to the proportionality assessment.  He added that it is ‘</w:t>
      </w:r>
      <w:r w:rsidRPr="00996138">
        <w:rPr>
          <w:rFonts w:ascii="Book Antiqua" w:hAnsi="Book Antiqua" w:cs="Arial"/>
          <w:i/>
        </w:rPr>
        <w:t>generally in the best interests of a child to be with both parents if both the parents are being removed from the UK’</w:t>
      </w:r>
      <w:r>
        <w:rPr>
          <w:rFonts w:ascii="Book Antiqua" w:hAnsi="Book Antiqua" w:cs="Arial"/>
        </w:rPr>
        <w:t xml:space="preserve"> and that it is ‘</w:t>
      </w:r>
      <w:r w:rsidRPr="00996138">
        <w:rPr>
          <w:rFonts w:ascii="Book Antiqua" w:hAnsi="Book Antiqua" w:cs="Arial"/>
          <w:i/>
        </w:rPr>
        <w:t>generally in the interests of the children to have stability and continuity in their education and social situation’.</w:t>
      </w:r>
    </w:p>
    <w:p w:rsidR="00505EDD" w:rsidRDefault="00505EDD" w:rsidP="00505EDD">
      <w:pPr>
        <w:pStyle w:val="ListParagraph"/>
        <w:rPr>
          <w:rFonts w:ascii="Book Antiqua" w:hAnsi="Book Antiqua" w:cs="Arial"/>
        </w:rPr>
      </w:pPr>
    </w:p>
    <w:p w:rsidR="00505EDD" w:rsidRDefault="00505EDD" w:rsidP="004F3AB3">
      <w:pPr>
        <w:numPr>
          <w:ilvl w:val="0"/>
          <w:numId w:val="3"/>
        </w:numPr>
        <w:ind w:left="567" w:hanging="567"/>
        <w:jc w:val="both"/>
        <w:rPr>
          <w:rFonts w:ascii="Book Antiqua" w:hAnsi="Book Antiqua" w:cs="Arial"/>
        </w:rPr>
      </w:pPr>
      <w:r>
        <w:rPr>
          <w:rFonts w:ascii="Book Antiqua" w:hAnsi="Book Antiqua" w:cs="Arial"/>
        </w:rPr>
        <w:t>His proportionality analysis is at [25] to [28].  In summary, he accepted the evidence that the first appellant and her husband have little contact with family in Bolivia or Peru and that t</w:t>
      </w:r>
      <w:r w:rsidR="00C244A0">
        <w:rPr>
          <w:rFonts w:ascii="Book Antiqua" w:hAnsi="Book Antiqua" w:cs="Arial"/>
        </w:rPr>
        <w:t xml:space="preserve">he children have never visited. He went on to state </w:t>
      </w:r>
      <w:r>
        <w:rPr>
          <w:rFonts w:ascii="Book Antiqua" w:hAnsi="Book Antiqua" w:cs="Arial"/>
        </w:rPr>
        <w:t>that the children being young are</w:t>
      </w:r>
      <w:r w:rsidR="008F7496">
        <w:rPr>
          <w:rFonts w:ascii="Book Antiqua" w:hAnsi="Book Antiqua" w:cs="Arial"/>
        </w:rPr>
        <w:t xml:space="preserve"> of an age where they should be able to</w:t>
      </w:r>
      <w:r>
        <w:rPr>
          <w:rFonts w:ascii="Book Antiqua" w:hAnsi="Book Antiqua" w:cs="Arial"/>
        </w:rPr>
        <w:t xml:space="preserve"> ‘</w:t>
      </w:r>
      <w:r w:rsidRPr="00C244A0">
        <w:rPr>
          <w:rFonts w:ascii="Book Antiqua" w:hAnsi="Book Antiqua" w:cs="Arial"/>
          <w:i/>
        </w:rPr>
        <w:t>adapt more readily to a change in</w:t>
      </w:r>
      <w:r>
        <w:rPr>
          <w:rFonts w:ascii="Book Antiqua" w:hAnsi="Book Antiqua" w:cs="Arial"/>
        </w:rPr>
        <w:t xml:space="preserve"> </w:t>
      </w:r>
      <w:r w:rsidRPr="00C244A0">
        <w:rPr>
          <w:rFonts w:ascii="Book Antiqua" w:hAnsi="Book Antiqua" w:cs="Arial"/>
          <w:i/>
        </w:rPr>
        <w:t>familial circumstances</w:t>
      </w:r>
      <w:r>
        <w:rPr>
          <w:rFonts w:ascii="Book Antiqua" w:hAnsi="Book Antiqua" w:cs="Arial"/>
        </w:rPr>
        <w:t>’ were they to go to Bolivia or Peru [25].</w:t>
      </w:r>
    </w:p>
    <w:p w:rsidR="00505EDD" w:rsidRDefault="00505EDD" w:rsidP="00505EDD">
      <w:pPr>
        <w:pStyle w:val="ListParagraph"/>
        <w:rPr>
          <w:rFonts w:ascii="Book Antiqua" w:hAnsi="Book Antiqua" w:cs="Arial"/>
        </w:rPr>
      </w:pPr>
    </w:p>
    <w:p w:rsidR="00505EDD" w:rsidRDefault="00505EDD" w:rsidP="004F3AB3">
      <w:pPr>
        <w:numPr>
          <w:ilvl w:val="0"/>
          <w:numId w:val="3"/>
        </w:numPr>
        <w:ind w:left="567" w:hanging="567"/>
        <w:jc w:val="both"/>
        <w:rPr>
          <w:rFonts w:ascii="Book Antiqua" w:hAnsi="Book Antiqua" w:cs="Arial"/>
        </w:rPr>
      </w:pPr>
      <w:r>
        <w:rPr>
          <w:rFonts w:ascii="Book Antiqua" w:hAnsi="Book Antiqua" w:cs="Arial"/>
        </w:rPr>
        <w:t>He found that the first appellant had ‘</w:t>
      </w:r>
      <w:r w:rsidRPr="00996138">
        <w:rPr>
          <w:rFonts w:ascii="Book Antiqua" w:hAnsi="Book Antiqua" w:cs="Arial"/>
          <w:i/>
        </w:rPr>
        <w:t>blatantly transgressed’</w:t>
      </w:r>
      <w:r w:rsidR="00E430C0">
        <w:rPr>
          <w:rFonts w:ascii="Book Antiqua" w:hAnsi="Book Antiqua" w:cs="Arial"/>
        </w:rPr>
        <w:t xml:space="preserve"> </w:t>
      </w:r>
      <w:r>
        <w:rPr>
          <w:rFonts w:ascii="Book Antiqua" w:hAnsi="Book Antiqua" w:cs="Arial"/>
        </w:rPr>
        <w:t>the immigration laws of the UK, that her partner was aware of her ‘</w:t>
      </w:r>
      <w:r w:rsidRPr="00996138">
        <w:rPr>
          <w:rFonts w:ascii="Book Antiqua" w:hAnsi="Book Antiqua" w:cs="Arial"/>
          <w:i/>
        </w:rPr>
        <w:t>precarious status’</w:t>
      </w:r>
      <w:r>
        <w:rPr>
          <w:rFonts w:ascii="Book Antiqua" w:hAnsi="Book Antiqua" w:cs="Arial"/>
        </w:rPr>
        <w:t xml:space="preserve"> when they met in 2011, that she did not seek to regularise her status for many years [26].</w:t>
      </w:r>
    </w:p>
    <w:p w:rsidR="00505EDD" w:rsidRDefault="00505EDD" w:rsidP="00505EDD">
      <w:pPr>
        <w:pStyle w:val="ListParagraph"/>
        <w:rPr>
          <w:rFonts w:ascii="Book Antiqua" w:hAnsi="Book Antiqua" w:cs="Arial"/>
        </w:rPr>
      </w:pPr>
    </w:p>
    <w:p w:rsidR="00505EDD" w:rsidRDefault="00505EDD" w:rsidP="004F3AB3">
      <w:pPr>
        <w:numPr>
          <w:ilvl w:val="0"/>
          <w:numId w:val="3"/>
        </w:numPr>
        <w:ind w:left="567" w:hanging="567"/>
        <w:jc w:val="both"/>
        <w:rPr>
          <w:rFonts w:ascii="Book Antiqua" w:hAnsi="Book Antiqua" w:cs="Arial"/>
        </w:rPr>
      </w:pPr>
      <w:r>
        <w:rPr>
          <w:rFonts w:ascii="Book Antiqua" w:hAnsi="Book Antiqua" w:cs="Arial"/>
        </w:rPr>
        <w:t>He then found that the husband, who has</w:t>
      </w:r>
      <w:r w:rsidR="00C244A0">
        <w:rPr>
          <w:rFonts w:ascii="Book Antiqua" w:hAnsi="Book Antiqua" w:cs="Arial"/>
        </w:rPr>
        <w:t xml:space="preserve"> limited</w:t>
      </w:r>
      <w:r>
        <w:rPr>
          <w:rFonts w:ascii="Book Antiqua" w:hAnsi="Book Antiqua" w:cs="Arial"/>
        </w:rPr>
        <w:t xml:space="preserve"> leave to remai</w:t>
      </w:r>
      <w:r w:rsidR="00417BA9">
        <w:rPr>
          <w:rFonts w:ascii="Book Antiqua" w:hAnsi="Book Antiqua" w:cs="Arial"/>
        </w:rPr>
        <w:t>n, would be able later</w:t>
      </w:r>
      <w:r>
        <w:rPr>
          <w:rFonts w:ascii="Book Antiqua" w:hAnsi="Book Antiqua" w:cs="Arial"/>
        </w:rPr>
        <w:t xml:space="preserve"> to apply for indefinite leave to remain which if granted would allow the second and third appellants to apply for British citizenship [27].</w:t>
      </w:r>
    </w:p>
    <w:p w:rsidR="00505EDD" w:rsidRDefault="00505EDD" w:rsidP="00505EDD">
      <w:pPr>
        <w:pStyle w:val="ListParagraph"/>
        <w:rPr>
          <w:rFonts w:ascii="Book Antiqua" w:hAnsi="Book Antiqua" w:cs="Arial"/>
        </w:rPr>
      </w:pPr>
    </w:p>
    <w:p w:rsidR="009004B0" w:rsidRPr="00996138" w:rsidRDefault="00505EDD" w:rsidP="004F3AB3">
      <w:pPr>
        <w:numPr>
          <w:ilvl w:val="0"/>
          <w:numId w:val="3"/>
        </w:numPr>
        <w:ind w:left="567" w:hanging="567"/>
        <w:jc w:val="both"/>
        <w:rPr>
          <w:rFonts w:ascii="Book Antiqua" w:hAnsi="Book Antiqua" w:cs="Arial"/>
          <w:i/>
        </w:rPr>
      </w:pPr>
      <w:r>
        <w:rPr>
          <w:rFonts w:ascii="Book Antiqua" w:hAnsi="Book Antiqua" w:cs="Arial"/>
        </w:rPr>
        <w:t xml:space="preserve">He concluded (at [28]) that the Secretary of State’s decision was not proportionate to the legitimate aim and that it is in the best interests of the children for the appeals to be allowed in order that they </w:t>
      </w:r>
      <w:r w:rsidR="009004B0">
        <w:rPr>
          <w:rFonts w:ascii="Book Antiqua" w:hAnsi="Book Antiqua" w:cs="Arial"/>
        </w:rPr>
        <w:t>‘</w:t>
      </w:r>
      <w:r w:rsidR="009004B0" w:rsidRPr="00996138">
        <w:rPr>
          <w:rFonts w:ascii="Book Antiqua" w:hAnsi="Book Antiqua" w:cs="Arial"/>
          <w:i/>
        </w:rPr>
        <w:t>can remain living as a family unit together with their mother and father’.</w:t>
      </w:r>
    </w:p>
    <w:p w:rsidR="009004B0" w:rsidRDefault="009004B0" w:rsidP="009004B0">
      <w:pPr>
        <w:pStyle w:val="ListParagraph"/>
        <w:rPr>
          <w:rFonts w:ascii="Book Antiqua" w:hAnsi="Book Antiqua" w:cs="Arial"/>
        </w:rPr>
      </w:pPr>
    </w:p>
    <w:p w:rsidR="009004B0" w:rsidRDefault="009004B0" w:rsidP="004F3AB3">
      <w:pPr>
        <w:numPr>
          <w:ilvl w:val="0"/>
          <w:numId w:val="3"/>
        </w:numPr>
        <w:ind w:left="567" w:hanging="567"/>
        <w:jc w:val="both"/>
        <w:rPr>
          <w:rFonts w:ascii="Book Antiqua" w:hAnsi="Book Antiqua" w:cs="Arial"/>
        </w:rPr>
      </w:pPr>
      <w:r>
        <w:rPr>
          <w:rFonts w:ascii="Book Antiqua" w:hAnsi="Book Antiqua" w:cs="Arial"/>
        </w:rPr>
        <w:t>The Secretary of State sought permission to appeal which was granted on 24 January 2018.</w:t>
      </w:r>
    </w:p>
    <w:p w:rsidR="009F5E78" w:rsidRDefault="009F5E78" w:rsidP="009F5E78">
      <w:pPr>
        <w:pStyle w:val="ListParagraph"/>
        <w:rPr>
          <w:rFonts w:ascii="Book Antiqua" w:hAnsi="Book Antiqua" w:cs="Arial"/>
        </w:rPr>
      </w:pPr>
    </w:p>
    <w:p w:rsidR="009F5E78" w:rsidRPr="009F5E78" w:rsidRDefault="009F5E78" w:rsidP="009F5E78">
      <w:pPr>
        <w:ind w:left="567"/>
        <w:jc w:val="both"/>
        <w:rPr>
          <w:rFonts w:ascii="Book Antiqua" w:hAnsi="Book Antiqua" w:cs="Arial"/>
          <w:b/>
        </w:rPr>
      </w:pPr>
      <w:r w:rsidRPr="009F5E78">
        <w:rPr>
          <w:rFonts w:ascii="Book Antiqua" w:hAnsi="Book Antiqua" w:cs="Arial"/>
          <w:b/>
        </w:rPr>
        <w:t>Error of law hearing</w:t>
      </w:r>
    </w:p>
    <w:p w:rsidR="009004B0" w:rsidRDefault="009004B0" w:rsidP="009004B0">
      <w:pPr>
        <w:pStyle w:val="ListParagraph"/>
        <w:rPr>
          <w:rFonts w:ascii="Book Antiqua" w:hAnsi="Book Antiqua" w:cs="Arial"/>
        </w:rPr>
      </w:pPr>
    </w:p>
    <w:p w:rsidR="009004B0" w:rsidRDefault="009004B0" w:rsidP="004F3AB3">
      <w:pPr>
        <w:numPr>
          <w:ilvl w:val="0"/>
          <w:numId w:val="3"/>
        </w:numPr>
        <w:ind w:left="567" w:hanging="567"/>
        <w:jc w:val="both"/>
        <w:rPr>
          <w:rFonts w:ascii="Book Antiqua" w:hAnsi="Book Antiqua" w:cs="Arial"/>
        </w:rPr>
      </w:pPr>
      <w:r>
        <w:rPr>
          <w:rFonts w:ascii="Book Antiqua" w:hAnsi="Book Antiqua" w:cs="Arial"/>
        </w:rPr>
        <w:t>At the error of law hearing before me Mr Coleman did not pursue a submission that the Secretary of State’s application for permission to appeal had been made out of time.</w:t>
      </w:r>
    </w:p>
    <w:p w:rsidR="009004B0" w:rsidRDefault="009004B0" w:rsidP="009004B0">
      <w:pPr>
        <w:pStyle w:val="ListParagraph"/>
        <w:rPr>
          <w:rFonts w:ascii="Book Antiqua" w:hAnsi="Book Antiqua" w:cs="Arial"/>
        </w:rPr>
      </w:pPr>
    </w:p>
    <w:p w:rsidR="009004B0" w:rsidRDefault="009004B0" w:rsidP="004F3AB3">
      <w:pPr>
        <w:numPr>
          <w:ilvl w:val="0"/>
          <w:numId w:val="3"/>
        </w:numPr>
        <w:ind w:left="567" w:hanging="567"/>
        <w:jc w:val="both"/>
        <w:rPr>
          <w:rFonts w:ascii="Book Antiqua" w:hAnsi="Book Antiqua" w:cs="Arial"/>
        </w:rPr>
      </w:pPr>
      <w:r>
        <w:rPr>
          <w:rFonts w:ascii="Book Antiqua" w:hAnsi="Book Antiqua" w:cs="Arial"/>
        </w:rPr>
        <w:t>Ms Willocks-Briscoe relied on the brief grounds.  Simply, that the proportionality assess</w:t>
      </w:r>
      <w:r w:rsidR="00E430C0">
        <w:rPr>
          <w:rFonts w:ascii="Book Antiqua" w:hAnsi="Book Antiqua" w:cs="Arial"/>
        </w:rPr>
        <w:t>ment had been inadequate.  The j</w:t>
      </w:r>
      <w:r>
        <w:rPr>
          <w:rFonts w:ascii="Book Antiqua" w:hAnsi="Book Antiqua" w:cs="Arial"/>
        </w:rPr>
        <w:t>udge had not made clear what weight had been attributed to each factor in the assessment.  In particular it was not clear that he had given weight to the public interest.</w:t>
      </w:r>
    </w:p>
    <w:p w:rsidR="009004B0" w:rsidRDefault="009004B0" w:rsidP="009004B0">
      <w:pPr>
        <w:pStyle w:val="ListParagraph"/>
        <w:rPr>
          <w:rFonts w:ascii="Book Antiqua" w:hAnsi="Book Antiqua" w:cs="Arial"/>
        </w:rPr>
      </w:pPr>
    </w:p>
    <w:p w:rsidR="009004B0" w:rsidRDefault="009004B0" w:rsidP="004F3AB3">
      <w:pPr>
        <w:numPr>
          <w:ilvl w:val="0"/>
          <w:numId w:val="3"/>
        </w:numPr>
        <w:ind w:left="567" w:hanging="567"/>
        <w:jc w:val="both"/>
        <w:rPr>
          <w:rFonts w:ascii="Book Antiqua" w:hAnsi="Book Antiqua" w:cs="Arial"/>
        </w:rPr>
      </w:pPr>
      <w:r>
        <w:rPr>
          <w:rFonts w:ascii="Book Antiqua" w:hAnsi="Book Antiqua" w:cs="Arial"/>
        </w:rPr>
        <w:t>Mr Coleman’s response was that whilst the analysis was brief it did not show legal error.  He had balanced the competing interests, giving the various factors the weight he considered appropriate and reached a conclusion that was open to him.  The Secretary of State’s position amounted to no more than a disagreement.</w:t>
      </w:r>
    </w:p>
    <w:p w:rsidR="00417BA9" w:rsidRDefault="00417BA9" w:rsidP="00417BA9">
      <w:pPr>
        <w:pStyle w:val="ListParagraph"/>
        <w:rPr>
          <w:rFonts w:ascii="Book Antiqua" w:hAnsi="Book Antiqua" w:cs="Arial"/>
        </w:rPr>
      </w:pPr>
    </w:p>
    <w:p w:rsidR="00417BA9" w:rsidRPr="00417BA9" w:rsidRDefault="00417BA9" w:rsidP="00417BA9">
      <w:pPr>
        <w:ind w:left="567"/>
        <w:jc w:val="both"/>
        <w:rPr>
          <w:rFonts w:ascii="Book Antiqua" w:hAnsi="Book Antiqua" w:cs="Arial"/>
          <w:b/>
        </w:rPr>
      </w:pPr>
      <w:r w:rsidRPr="00417BA9">
        <w:rPr>
          <w:rFonts w:ascii="Book Antiqua" w:hAnsi="Book Antiqua" w:cs="Arial"/>
          <w:b/>
        </w:rPr>
        <w:t>Consideration</w:t>
      </w:r>
    </w:p>
    <w:p w:rsidR="009004B0" w:rsidRDefault="009004B0" w:rsidP="009004B0">
      <w:pPr>
        <w:pStyle w:val="ListParagraph"/>
        <w:rPr>
          <w:rFonts w:ascii="Book Antiqua" w:hAnsi="Book Antiqua" w:cs="Arial"/>
        </w:rPr>
      </w:pPr>
    </w:p>
    <w:p w:rsidR="00505EDD" w:rsidRDefault="009004B0" w:rsidP="004F3AB3">
      <w:pPr>
        <w:numPr>
          <w:ilvl w:val="0"/>
          <w:numId w:val="3"/>
        </w:numPr>
        <w:ind w:left="567" w:hanging="567"/>
        <w:jc w:val="both"/>
        <w:rPr>
          <w:rFonts w:ascii="Book Antiqua" w:hAnsi="Book Antiqua" w:cs="Arial"/>
        </w:rPr>
      </w:pPr>
      <w:r>
        <w:rPr>
          <w:rFonts w:ascii="Book Antiqua" w:hAnsi="Book Antiqua" w:cs="Arial"/>
        </w:rPr>
        <w:t xml:space="preserve">I found that the decision showed material error. </w:t>
      </w:r>
      <w:r w:rsidR="00505EDD">
        <w:rPr>
          <w:rFonts w:ascii="Book Antiqua" w:hAnsi="Book Antiqua" w:cs="Arial"/>
        </w:rPr>
        <w:t xml:space="preserve"> </w:t>
      </w:r>
    </w:p>
    <w:p w:rsidR="000367B9" w:rsidRDefault="000367B9" w:rsidP="000367B9">
      <w:pPr>
        <w:pStyle w:val="ListParagraph"/>
        <w:rPr>
          <w:rFonts w:ascii="Book Antiqua" w:hAnsi="Book Antiqua" w:cs="Arial"/>
        </w:rPr>
      </w:pPr>
    </w:p>
    <w:p w:rsidR="000367B9" w:rsidRDefault="000367B9" w:rsidP="004F3AB3">
      <w:pPr>
        <w:numPr>
          <w:ilvl w:val="0"/>
          <w:numId w:val="3"/>
        </w:numPr>
        <w:ind w:left="567" w:hanging="567"/>
        <w:jc w:val="both"/>
        <w:rPr>
          <w:rFonts w:ascii="Book Antiqua" w:hAnsi="Book Antiqua" w:cs="Arial"/>
        </w:rPr>
      </w:pPr>
      <w:r>
        <w:rPr>
          <w:rFonts w:ascii="Book Antiqua" w:hAnsi="Book Antiqua" w:cs="Arial"/>
        </w:rPr>
        <w:t>The appellants could not meet the relevant provisions of the Rul</w:t>
      </w:r>
      <w:r w:rsidR="00E81F53">
        <w:rPr>
          <w:rFonts w:ascii="Book Antiqua" w:hAnsi="Book Antiqua" w:cs="Arial"/>
        </w:rPr>
        <w:t>es. The judge considered</w:t>
      </w:r>
      <w:r>
        <w:rPr>
          <w:rFonts w:ascii="Book Antiqua" w:hAnsi="Book Antiqua" w:cs="Arial"/>
        </w:rPr>
        <w:t xml:space="preserve"> the application outside the Rules to determine whether removal would amount to a breach of article 8. There is no challenge to the existence of family life. The consideration of article 8 outside the Rules </w:t>
      </w:r>
      <w:r w:rsidR="001874D7">
        <w:rPr>
          <w:rFonts w:ascii="Book Antiqua" w:hAnsi="Book Antiqua" w:cs="Arial"/>
        </w:rPr>
        <w:t>is a proportionality evaluation.</w:t>
      </w:r>
    </w:p>
    <w:p w:rsidR="00596B88" w:rsidRDefault="00596B88" w:rsidP="00596B88">
      <w:pPr>
        <w:pStyle w:val="ListParagraph"/>
        <w:rPr>
          <w:rFonts w:ascii="Book Antiqua" w:hAnsi="Book Antiqua" w:cs="Arial"/>
        </w:rPr>
      </w:pPr>
    </w:p>
    <w:p w:rsidR="00596B88" w:rsidRPr="000367B9" w:rsidRDefault="00596B88" w:rsidP="004F3AB3">
      <w:pPr>
        <w:numPr>
          <w:ilvl w:val="0"/>
          <w:numId w:val="3"/>
        </w:numPr>
        <w:ind w:left="567" w:hanging="567"/>
        <w:jc w:val="both"/>
        <w:rPr>
          <w:rFonts w:ascii="Book Antiqua" w:hAnsi="Book Antiqua" w:cs="Arial"/>
          <w:i/>
        </w:rPr>
      </w:pPr>
      <w:r>
        <w:rPr>
          <w:rFonts w:ascii="Book Antiqua" w:hAnsi="Book Antiqua" w:cs="Arial"/>
        </w:rPr>
        <w:t xml:space="preserve">The correct approach to the assessment of proportionality is set out in </w:t>
      </w:r>
      <w:r w:rsidR="009F5E78">
        <w:rPr>
          <w:rFonts w:ascii="Book Antiqua" w:hAnsi="Book Antiqua" w:cs="Arial"/>
          <w:b/>
          <w:i/>
          <w:u w:val="single"/>
        </w:rPr>
        <w:t xml:space="preserve">R (on the application of </w:t>
      </w:r>
      <w:proofErr w:type="spellStart"/>
      <w:r w:rsidR="009F5E78">
        <w:rPr>
          <w:rFonts w:ascii="Book Antiqua" w:hAnsi="Book Antiqua" w:cs="Arial"/>
          <w:b/>
          <w:i/>
          <w:u w:val="single"/>
        </w:rPr>
        <w:t>Agyark</w:t>
      </w:r>
      <w:r w:rsidRPr="00596B88">
        <w:rPr>
          <w:rFonts w:ascii="Book Antiqua" w:hAnsi="Book Antiqua" w:cs="Arial"/>
          <w:b/>
          <w:i/>
          <w:u w:val="single"/>
        </w:rPr>
        <w:t>o</w:t>
      </w:r>
      <w:proofErr w:type="spellEnd"/>
      <w:r w:rsidRPr="00596B88">
        <w:rPr>
          <w:rFonts w:ascii="Book Antiqua" w:hAnsi="Book Antiqua" w:cs="Arial"/>
          <w:b/>
          <w:i/>
          <w:u w:val="single"/>
        </w:rPr>
        <w:t>) v SSHD</w:t>
      </w:r>
      <w:r>
        <w:rPr>
          <w:rFonts w:ascii="Book Antiqua" w:hAnsi="Book Antiqua" w:cs="Arial"/>
        </w:rPr>
        <w:t xml:space="preserve"> [2017] UKSC11 where the court (at [57]) said the Tribunal ‘… </w:t>
      </w:r>
      <w:r w:rsidRPr="000367B9">
        <w:rPr>
          <w:rFonts w:ascii="Book Antiqua" w:hAnsi="Book Antiqua" w:cs="Arial"/>
          <w:i/>
        </w:rPr>
        <w:t>has to decide whether the refusal is proportionate in the particular case before it, balancing the strength of the public interest in the removal of the person in question against the impact on private and family life.  In doing so, it should give appropriate weight to the Secretary of State’s policy, expressed in the Rules and the Instructions, that the public interest in immigration control can be outweighed, when considering an application for leave to remain brought by a person in the UK in breach of immigration laws, only where there are “insurmountable obstacles” or “exceptional circumstances” as defined … The critical issue will generally be whether, giving due weight to the strength of the public interest in the removal of the per</w:t>
      </w:r>
      <w:r w:rsidR="001A26C1">
        <w:rPr>
          <w:rFonts w:ascii="Book Antiqua" w:hAnsi="Book Antiqua" w:cs="Arial"/>
          <w:i/>
        </w:rPr>
        <w:t>son in the case before it, the a</w:t>
      </w:r>
      <w:r w:rsidRPr="000367B9">
        <w:rPr>
          <w:rFonts w:ascii="Book Antiqua" w:hAnsi="Book Antiqua" w:cs="Arial"/>
          <w:i/>
        </w:rPr>
        <w:t>rticle 8 claim is sufficiently strong to outweigh it.  In general, in cases concerned with precarious family life, a very strong or compelling claim is required to outweigh the public interest in immigration control.’</w:t>
      </w:r>
    </w:p>
    <w:p w:rsidR="00596B88" w:rsidRDefault="00596B88" w:rsidP="00596B88">
      <w:pPr>
        <w:jc w:val="both"/>
        <w:rPr>
          <w:rFonts w:ascii="Book Antiqua" w:hAnsi="Book Antiqua" w:cs="Arial"/>
        </w:rPr>
      </w:pPr>
    </w:p>
    <w:p w:rsidR="00596B88" w:rsidRDefault="009F5E78" w:rsidP="004F3AB3">
      <w:pPr>
        <w:numPr>
          <w:ilvl w:val="0"/>
          <w:numId w:val="3"/>
        </w:numPr>
        <w:ind w:left="567" w:hanging="567"/>
        <w:jc w:val="both"/>
        <w:rPr>
          <w:rFonts w:ascii="Book Antiqua" w:hAnsi="Book Antiqua" w:cs="Arial"/>
        </w:rPr>
      </w:pPr>
      <w:r>
        <w:rPr>
          <w:rFonts w:ascii="Book Antiqua" w:hAnsi="Book Antiqua" w:cs="Arial"/>
        </w:rPr>
        <w:lastRenderedPageBreak/>
        <w:t>The difficulty with the j</w:t>
      </w:r>
      <w:r w:rsidR="00596B88">
        <w:rPr>
          <w:rFonts w:ascii="Book Antiqua" w:hAnsi="Book Antiqua" w:cs="Arial"/>
        </w:rPr>
        <w:t>udge’s decision is that it is not apparent that he has carried out a proper balancing exercise.</w:t>
      </w:r>
    </w:p>
    <w:p w:rsidR="00596B88" w:rsidRDefault="00596B88" w:rsidP="00596B88">
      <w:pPr>
        <w:pStyle w:val="ListParagraph"/>
        <w:rPr>
          <w:rFonts w:ascii="Book Antiqua" w:hAnsi="Book Antiqua" w:cs="Arial"/>
        </w:rPr>
      </w:pPr>
    </w:p>
    <w:p w:rsidR="00094E0C" w:rsidRDefault="00596B88" w:rsidP="004F3AB3">
      <w:pPr>
        <w:numPr>
          <w:ilvl w:val="0"/>
          <w:numId w:val="3"/>
        </w:numPr>
        <w:ind w:left="567" w:hanging="567"/>
        <w:jc w:val="both"/>
        <w:rPr>
          <w:rFonts w:ascii="Book Antiqua" w:hAnsi="Book Antiqua" w:cs="Arial"/>
        </w:rPr>
      </w:pPr>
      <w:r>
        <w:rPr>
          <w:rFonts w:ascii="Book Antiqua" w:hAnsi="Book Antiqua" w:cs="Arial"/>
        </w:rPr>
        <w:t xml:space="preserve">Having stated, correctly, that the starting point was the consideration of the best interests of </w:t>
      </w:r>
      <w:r w:rsidR="00094E0C">
        <w:rPr>
          <w:rFonts w:ascii="Book Antiqua" w:hAnsi="Book Antiqua" w:cs="Arial"/>
        </w:rPr>
        <w:t>the children and that such was generally to be with both parents and to have stability in their education and social situation, he then accepted the evidence that the children, who were born in the UK, had never been to their parents’ home countries and that the parents no longer had connection with these countries.  However, he did not then go on t</w:t>
      </w:r>
      <w:r w:rsidR="009F5E78">
        <w:rPr>
          <w:rFonts w:ascii="Book Antiqua" w:hAnsi="Book Antiqua" w:cs="Arial"/>
        </w:rPr>
        <w:t>o reach a reasoned conclusion as</w:t>
      </w:r>
      <w:r w:rsidR="00094E0C">
        <w:rPr>
          <w:rFonts w:ascii="Book Antiqua" w:hAnsi="Book Antiqua" w:cs="Arial"/>
        </w:rPr>
        <w:t xml:space="preserve"> to the significance of these</w:t>
      </w:r>
      <w:r w:rsidR="00A75E41">
        <w:rPr>
          <w:rFonts w:ascii="Book Antiqua" w:hAnsi="Book Antiqua" w:cs="Arial"/>
        </w:rPr>
        <w:t xml:space="preserve"> </w:t>
      </w:r>
      <w:r w:rsidR="00094E0C">
        <w:rPr>
          <w:rFonts w:ascii="Book Antiqua" w:hAnsi="Book Antiqua" w:cs="Arial"/>
        </w:rPr>
        <w:t>findings in the context of whether it was reasonable for the family to go and live in Bolivia or Peru.</w:t>
      </w:r>
    </w:p>
    <w:p w:rsidR="00094E0C" w:rsidRDefault="00094E0C" w:rsidP="00094E0C">
      <w:pPr>
        <w:pStyle w:val="ListParagraph"/>
        <w:rPr>
          <w:rFonts w:ascii="Book Antiqua" w:hAnsi="Book Antiqua" w:cs="Arial"/>
        </w:rPr>
      </w:pPr>
    </w:p>
    <w:p w:rsidR="00094E0C" w:rsidRDefault="00094E0C" w:rsidP="004F3AB3">
      <w:pPr>
        <w:numPr>
          <w:ilvl w:val="0"/>
          <w:numId w:val="3"/>
        </w:numPr>
        <w:ind w:left="567" w:hanging="567"/>
        <w:jc w:val="both"/>
        <w:rPr>
          <w:rFonts w:ascii="Book Antiqua" w:hAnsi="Book Antiqua" w:cs="Arial"/>
        </w:rPr>
      </w:pPr>
      <w:r>
        <w:rPr>
          <w:rFonts w:ascii="Book Antiqua" w:hAnsi="Book Antiqua" w:cs="Arial"/>
        </w:rPr>
        <w:t>Further, if he meant his findings to be a factor in favour of the appellants he immediately negated them by stating that being very young and yet to start school they ‘</w:t>
      </w:r>
      <w:r w:rsidRPr="00996138">
        <w:rPr>
          <w:rFonts w:ascii="Book Antiqua" w:hAnsi="Book Antiqua" w:cs="Arial"/>
          <w:i/>
        </w:rPr>
        <w:t>should be able to adapt more readily to a change in familial circumstances’</w:t>
      </w:r>
      <w:r>
        <w:rPr>
          <w:rFonts w:ascii="Book Antiqua" w:hAnsi="Book Antiqua" w:cs="Arial"/>
        </w:rPr>
        <w:t xml:space="preserve"> were </w:t>
      </w:r>
      <w:r w:rsidR="009F5E78">
        <w:rPr>
          <w:rFonts w:ascii="Book Antiqua" w:hAnsi="Book Antiqua" w:cs="Arial"/>
        </w:rPr>
        <w:t xml:space="preserve">they to be </w:t>
      </w:r>
      <w:r w:rsidR="00C244A0">
        <w:rPr>
          <w:rFonts w:ascii="Book Antiqua" w:hAnsi="Book Antiqua" w:cs="Arial"/>
        </w:rPr>
        <w:t>remov</w:t>
      </w:r>
      <w:r w:rsidR="00417BA9">
        <w:rPr>
          <w:rFonts w:ascii="Book Antiqua" w:hAnsi="Book Antiqua" w:cs="Arial"/>
        </w:rPr>
        <w:t>ed there.  The judge</w:t>
      </w:r>
      <w:r w:rsidR="009F5E78">
        <w:rPr>
          <w:rFonts w:ascii="Book Antiqua" w:hAnsi="Book Antiqua" w:cs="Arial"/>
        </w:rPr>
        <w:t xml:space="preserve"> failed</w:t>
      </w:r>
      <w:r w:rsidR="009E490D">
        <w:rPr>
          <w:rFonts w:ascii="Book Antiqua" w:hAnsi="Book Antiqua" w:cs="Arial"/>
        </w:rPr>
        <w:t xml:space="preserve"> to make clear</w:t>
      </w:r>
      <w:r>
        <w:rPr>
          <w:rFonts w:ascii="Book Antiqua" w:hAnsi="Book Antiqua" w:cs="Arial"/>
        </w:rPr>
        <w:t xml:space="preserve"> findings</w:t>
      </w:r>
      <w:r w:rsidR="00996138">
        <w:rPr>
          <w:rFonts w:ascii="Book Antiqua" w:hAnsi="Book Antiqua" w:cs="Arial"/>
        </w:rPr>
        <w:t xml:space="preserve"> and </w:t>
      </w:r>
      <w:r w:rsidR="009E490D">
        <w:rPr>
          <w:rFonts w:ascii="Book Antiqua" w:hAnsi="Book Antiqua" w:cs="Arial"/>
        </w:rPr>
        <w:t xml:space="preserve">reach </w:t>
      </w:r>
      <w:r w:rsidR="00996138">
        <w:rPr>
          <w:rFonts w:ascii="Book Antiqua" w:hAnsi="Book Antiqua" w:cs="Arial"/>
        </w:rPr>
        <w:t>a</w:t>
      </w:r>
      <w:r w:rsidR="009E490D">
        <w:rPr>
          <w:rFonts w:ascii="Book Antiqua" w:hAnsi="Book Antiqua" w:cs="Arial"/>
        </w:rPr>
        <w:t xml:space="preserve"> reasoned</w:t>
      </w:r>
      <w:r w:rsidR="00996138">
        <w:rPr>
          <w:rFonts w:ascii="Book Antiqua" w:hAnsi="Book Antiqua" w:cs="Arial"/>
        </w:rPr>
        <w:t xml:space="preserve"> conclusion</w:t>
      </w:r>
      <w:r>
        <w:rPr>
          <w:rFonts w:ascii="Book Antiqua" w:hAnsi="Book Antiqua" w:cs="Arial"/>
        </w:rPr>
        <w:t xml:space="preserve"> on this matter.</w:t>
      </w:r>
    </w:p>
    <w:p w:rsidR="00094E0C" w:rsidRDefault="00094E0C" w:rsidP="00094E0C">
      <w:pPr>
        <w:pStyle w:val="ListParagraph"/>
        <w:rPr>
          <w:rFonts w:ascii="Book Antiqua" w:hAnsi="Book Antiqua" w:cs="Arial"/>
        </w:rPr>
      </w:pPr>
    </w:p>
    <w:p w:rsidR="00D33F30" w:rsidRDefault="00094E0C" w:rsidP="004F3AB3">
      <w:pPr>
        <w:numPr>
          <w:ilvl w:val="0"/>
          <w:numId w:val="3"/>
        </w:numPr>
        <w:ind w:left="567" w:hanging="567"/>
        <w:jc w:val="both"/>
        <w:rPr>
          <w:rFonts w:ascii="Book Antiqua" w:hAnsi="Book Antiqua" w:cs="Arial"/>
        </w:rPr>
      </w:pPr>
      <w:r>
        <w:rPr>
          <w:rFonts w:ascii="Book Antiqua" w:hAnsi="Book Antiqua" w:cs="Arial"/>
        </w:rPr>
        <w:t xml:space="preserve">He then went on in the most detailed paragraph of </w:t>
      </w:r>
      <w:r w:rsidR="00D33F30">
        <w:rPr>
          <w:rFonts w:ascii="Book Antiqua" w:hAnsi="Book Antiqua" w:cs="Arial"/>
        </w:rPr>
        <w:t>his brief analysis to find that the first appellant had ‘</w:t>
      </w:r>
      <w:r w:rsidR="00D33F30" w:rsidRPr="00996138">
        <w:rPr>
          <w:rFonts w:ascii="Book Antiqua" w:hAnsi="Book Antiqua" w:cs="Arial"/>
          <w:i/>
        </w:rPr>
        <w:t>blatantly transgressed’</w:t>
      </w:r>
      <w:r w:rsidR="00D33F30">
        <w:rPr>
          <w:rFonts w:ascii="Book Antiqua" w:hAnsi="Book Antiqua" w:cs="Arial"/>
        </w:rPr>
        <w:t xml:space="preserve"> the immigration laws having entered on a visit visa in 2005 with the intention of not returning to Bolivia.  Also, that her partner was aware of her status when they met in 2011 when the relationship started and, thus, when they married later that year, and when they had the children t</w:t>
      </w:r>
      <w:r w:rsidR="009F5E78">
        <w:rPr>
          <w:rFonts w:ascii="Book Antiqua" w:hAnsi="Book Antiqua" w:cs="Arial"/>
        </w:rPr>
        <w:t>ogether in 2013 and 2014.  The j</w:t>
      </w:r>
      <w:r w:rsidR="00D33F30">
        <w:rPr>
          <w:rFonts w:ascii="Book Antiqua" w:hAnsi="Book Antiqua" w:cs="Arial"/>
        </w:rPr>
        <w:t>udge also noted that she did not seek to regularise her status for many years.</w:t>
      </w:r>
    </w:p>
    <w:p w:rsidR="00D33F30" w:rsidRDefault="00D33F30" w:rsidP="00D33F30">
      <w:pPr>
        <w:pStyle w:val="ListParagraph"/>
        <w:rPr>
          <w:rFonts w:ascii="Book Antiqua" w:hAnsi="Book Antiqua" w:cs="Arial"/>
        </w:rPr>
      </w:pPr>
    </w:p>
    <w:p w:rsidR="00D079E8" w:rsidRDefault="00505E18" w:rsidP="004F3AB3">
      <w:pPr>
        <w:numPr>
          <w:ilvl w:val="0"/>
          <w:numId w:val="3"/>
        </w:numPr>
        <w:ind w:left="567" w:hanging="567"/>
        <w:jc w:val="both"/>
        <w:rPr>
          <w:rFonts w:ascii="Book Antiqua" w:hAnsi="Book Antiqua" w:cs="Arial"/>
        </w:rPr>
      </w:pPr>
      <w:r>
        <w:rPr>
          <w:rFonts w:ascii="Book Antiqua" w:hAnsi="Book Antiqua" w:cs="Arial"/>
        </w:rPr>
        <w:t>Some factors</w:t>
      </w:r>
      <w:r w:rsidR="00A75E41">
        <w:rPr>
          <w:rFonts w:ascii="Book Antiqua" w:hAnsi="Book Antiqua" w:cs="Arial"/>
        </w:rPr>
        <w:t xml:space="preserve"> are heavily weighted. The most obvious example is the public policy in immigration control. The weight depends on the legislative and factual context. Whether someone is in the UK unlawfully or temporarily</w:t>
      </w:r>
      <w:r w:rsidR="00DD1EE7">
        <w:rPr>
          <w:rFonts w:ascii="Book Antiqua" w:hAnsi="Book Antiqua" w:cs="Arial"/>
        </w:rPr>
        <w:t xml:space="preserve"> and the reason for that circumstance will affect the weight to the public interest in his or her removal and the weight to be given to family/private life. The findings in respect of the first appellant’s immigration history</w:t>
      </w:r>
      <w:r w:rsidR="00D33F30">
        <w:rPr>
          <w:rFonts w:ascii="Book Antiqua" w:hAnsi="Book Antiqua" w:cs="Arial"/>
        </w:rPr>
        <w:t xml:space="preserve"> were</w:t>
      </w:r>
      <w:r w:rsidR="00DD1EE7">
        <w:rPr>
          <w:rFonts w:ascii="Book Antiqua" w:hAnsi="Book Antiqua" w:cs="Arial"/>
        </w:rPr>
        <w:t xml:space="preserve"> </w:t>
      </w:r>
      <w:r w:rsidR="00D33F30">
        <w:rPr>
          <w:rFonts w:ascii="Book Antiqua" w:hAnsi="Book Antiqua" w:cs="Arial"/>
        </w:rPr>
        <w:t>clearly significant negative factors in the balancing exercise.  Although he stated that he had borne in mind the ‘</w:t>
      </w:r>
      <w:r w:rsidR="00D33F30" w:rsidRPr="00C244A0">
        <w:rPr>
          <w:rFonts w:ascii="Book Antiqua" w:hAnsi="Book Antiqua" w:cs="Arial"/>
          <w:i/>
        </w:rPr>
        <w:t>strong public</w:t>
      </w:r>
      <w:r w:rsidR="00D33F30">
        <w:rPr>
          <w:rFonts w:ascii="Book Antiqua" w:hAnsi="Book Antiqua" w:cs="Arial"/>
        </w:rPr>
        <w:t xml:space="preserve"> </w:t>
      </w:r>
      <w:r w:rsidR="00D33F30" w:rsidRPr="00C244A0">
        <w:rPr>
          <w:rFonts w:ascii="Book Antiqua" w:hAnsi="Book Antiqua" w:cs="Arial"/>
          <w:i/>
        </w:rPr>
        <w:t xml:space="preserve">interest </w:t>
      </w:r>
      <w:r w:rsidR="00DD1EE7" w:rsidRPr="00C244A0">
        <w:rPr>
          <w:rFonts w:ascii="Book Antiqua" w:hAnsi="Book Antiqua" w:cs="Arial"/>
          <w:i/>
        </w:rPr>
        <w:t xml:space="preserve">in </w:t>
      </w:r>
      <w:r w:rsidR="00D33F30" w:rsidRPr="00C244A0">
        <w:rPr>
          <w:rFonts w:ascii="Book Antiqua" w:hAnsi="Book Antiqua" w:cs="Arial"/>
          <w:i/>
        </w:rPr>
        <w:t>maintaini</w:t>
      </w:r>
      <w:r w:rsidR="00DD1EE7" w:rsidRPr="00C244A0">
        <w:rPr>
          <w:rFonts w:ascii="Book Antiqua" w:hAnsi="Book Antiqua" w:cs="Arial"/>
          <w:i/>
        </w:rPr>
        <w:t xml:space="preserve">ng </w:t>
      </w:r>
      <w:r w:rsidR="00D33F30" w:rsidRPr="00C244A0">
        <w:rPr>
          <w:rFonts w:ascii="Book Antiqua" w:hAnsi="Book Antiqua" w:cs="Arial"/>
          <w:i/>
        </w:rPr>
        <w:t>immigration control’</w:t>
      </w:r>
      <w:r w:rsidR="00D33F30">
        <w:rPr>
          <w:rFonts w:ascii="Book Antiqua" w:hAnsi="Book Antiqua" w:cs="Arial"/>
        </w:rPr>
        <w:t xml:space="preserve"> it is not apparent that he did</w:t>
      </w:r>
      <w:r w:rsidR="00DD1EE7">
        <w:rPr>
          <w:rFonts w:ascii="Book Antiqua" w:hAnsi="Book Antiqua" w:cs="Arial"/>
        </w:rPr>
        <w:t>,</w:t>
      </w:r>
      <w:r w:rsidR="00D33F30">
        <w:rPr>
          <w:rFonts w:ascii="Book Antiqua" w:hAnsi="Book Antiqua" w:cs="Arial"/>
        </w:rPr>
        <w:t xml:space="preserve"> in fact</w:t>
      </w:r>
      <w:r w:rsidR="00DD1EE7">
        <w:rPr>
          <w:rFonts w:ascii="Book Antiqua" w:hAnsi="Book Antiqua" w:cs="Arial"/>
        </w:rPr>
        <w:t>,</w:t>
      </w:r>
      <w:r w:rsidR="00D33F30">
        <w:rPr>
          <w:rFonts w:ascii="Book Antiqua" w:hAnsi="Book Antiqua" w:cs="Arial"/>
        </w:rPr>
        <w:t xml:space="preserve"> give </w:t>
      </w:r>
      <w:r w:rsidR="00D079E8">
        <w:rPr>
          <w:rFonts w:ascii="Book Antiqua" w:hAnsi="Book Antiqua" w:cs="Arial"/>
        </w:rPr>
        <w:t xml:space="preserve">weight to the public interest given the history set out by him and when considered in the context of the other very limited findings which </w:t>
      </w:r>
      <w:r w:rsidR="00EE536E">
        <w:rPr>
          <w:rFonts w:ascii="Book Antiqua" w:hAnsi="Book Antiqua" w:cs="Arial"/>
        </w:rPr>
        <w:t>are</w:t>
      </w:r>
      <w:r w:rsidR="00D079E8">
        <w:rPr>
          <w:rFonts w:ascii="Book Antiqua" w:hAnsi="Book Antiqua" w:cs="Arial"/>
        </w:rPr>
        <w:t xml:space="preserve"> indicated in the previous contradictory paragraph.</w:t>
      </w:r>
    </w:p>
    <w:p w:rsidR="00D079E8" w:rsidRDefault="00D079E8" w:rsidP="00D079E8">
      <w:pPr>
        <w:pStyle w:val="ListParagraph"/>
        <w:rPr>
          <w:rFonts w:ascii="Book Antiqua" w:hAnsi="Book Antiqua" w:cs="Arial"/>
        </w:rPr>
      </w:pPr>
    </w:p>
    <w:p w:rsidR="00D079E8" w:rsidRDefault="00D079E8" w:rsidP="004F3AB3">
      <w:pPr>
        <w:numPr>
          <w:ilvl w:val="0"/>
          <w:numId w:val="3"/>
        </w:numPr>
        <w:ind w:left="567" w:hanging="567"/>
        <w:jc w:val="both"/>
        <w:rPr>
          <w:rFonts w:ascii="Book Antiqua" w:hAnsi="Book Antiqua" w:cs="Arial"/>
        </w:rPr>
      </w:pPr>
      <w:r>
        <w:rPr>
          <w:rFonts w:ascii="Book Antiqua" w:hAnsi="Book Antiqua" w:cs="Arial"/>
        </w:rPr>
        <w:t xml:space="preserve">The only </w:t>
      </w:r>
      <w:r w:rsidR="009F5E78">
        <w:rPr>
          <w:rFonts w:ascii="Book Antiqua" w:hAnsi="Book Antiqua" w:cs="Arial"/>
        </w:rPr>
        <w:t>other matter considered by the j</w:t>
      </w:r>
      <w:r>
        <w:rPr>
          <w:rFonts w:ascii="Book Antiqua" w:hAnsi="Book Antiqua" w:cs="Arial"/>
        </w:rPr>
        <w:t>udge was that the children’s father, having lawful leave to remain would fairly soon be able to apply for indefinite leave to remain (ILR) which if granted would then allow the children to apply for British citizenship.</w:t>
      </w:r>
      <w:r w:rsidR="00D33F30">
        <w:rPr>
          <w:rFonts w:ascii="Book Antiqua" w:hAnsi="Book Antiqua" w:cs="Arial"/>
        </w:rPr>
        <w:t xml:space="preserve">  </w:t>
      </w:r>
      <w:r w:rsidR="00094E0C">
        <w:rPr>
          <w:rFonts w:ascii="Book Antiqua" w:hAnsi="Book Antiqua" w:cs="Arial"/>
        </w:rPr>
        <w:t xml:space="preserve"> </w:t>
      </w:r>
    </w:p>
    <w:p w:rsidR="00D079E8" w:rsidRDefault="00D079E8" w:rsidP="00D079E8">
      <w:pPr>
        <w:pStyle w:val="ListParagraph"/>
        <w:rPr>
          <w:rFonts w:ascii="Book Antiqua" w:hAnsi="Book Antiqua" w:cs="Arial"/>
        </w:rPr>
      </w:pPr>
    </w:p>
    <w:p w:rsidR="00D079E8" w:rsidRDefault="009F5E78" w:rsidP="004F3AB3">
      <w:pPr>
        <w:numPr>
          <w:ilvl w:val="0"/>
          <w:numId w:val="3"/>
        </w:numPr>
        <w:ind w:left="567" w:hanging="567"/>
        <w:jc w:val="both"/>
        <w:rPr>
          <w:rFonts w:ascii="Book Antiqua" w:hAnsi="Book Antiqua" w:cs="Arial"/>
        </w:rPr>
      </w:pPr>
      <w:r>
        <w:rPr>
          <w:rFonts w:ascii="Book Antiqua" w:hAnsi="Book Antiqua" w:cs="Arial"/>
        </w:rPr>
        <w:t>Such clearly</w:t>
      </w:r>
      <w:r w:rsidR="00DD1EE7">
        <w:rPr>
          <w:rFonts w:ascii="Book Antiqua" w:hAnsi="Book Antiqua" w:cs="Arial"/>
        </w:rPr>
        <w:t>,</w:t>
      </w:r>
      <w:r>
        <w:rPr>
          <w:rFonts w:ascii="Book Antiqua" w:hAnsi="Book Antiqua" w:cs="Arial"/>
        </w:rPr>
        <w:t xml:space="preserve"> to the j</w:t>
      </w:r>
      <w:r w:rsidR="00D079E8">
        <w:rPr>
          <w:rFonts w:ascii="Book Antiqua" w:hAnsi="Book Antiqua" w:cs="Arial"/>
        </w:rPr>
        <w:t>udge</w:t>
      </w:r>
      <w:r w:rsidR="00DD1EE7">
        <w:rPr>
          <w:rFonts w:ascii="Book Antiqua" w:hAnsi="Book Antiqua" w:cs="Arial"/>
        </w:rPr>
        <w:t>,</w:t>
      </w:r>
      <w:r w:rsidR="00D079E8">
        <w:rPr>
          <w:rFonts w:ascii="Book Antiqua" w:hAnsi="Book Antiqua" w:cs="Arial"/>
        </w:rPr>
        <w:t xml:space="preserve"> weighed in the appellants’ favour in the balancing exercise.  However, I do not co</w:t>
      </w:r>
      <w:r>
        <w:rPr>
          <w:rFonts w:ascii="Book Antiqua" w:hAnsi="Book Antiqua" w:cs="Arial"/>
        </w:rPr>
        <w:t>nsider that it was open to the j</w:t>
      </w:r>
      <w:r w:rsidR="00D079E8">
        <w:rPr>
          <w:rFonts w:ascii="Book Antiqua" w:hAnsi="Book Antiqua" w:cs="Arial"/>
        </w:rPr>
        <w:t>udge to take</w:t>
      </w:r>
      <w:r w:rsidR="00C244A0">
        <w:rPr>
          <w:rFonts w:ascii="Book Antiqua" w:hAnsi="Book Antiqua" w:cs="Arial"/>
        </w:rPr>
        <w:t xml:space="preserve"> as</w:t>
      </w:r>
      <w:r w:rsidR="00D079E8">
        <w:rPr>
          <w:rFonts w:ascii="Book Antiqua" w:hAnsi="Book Antiqua" w:cs="Arial"/>
        </w:rPr>
        <w:t xml:space="preserve"> a factor in favour several hypothetical future events.</w:t>
      </w:r>
    </w:p>
    <w:p w:rsidR="00D079E8" w:rsidRDefault="00D079E8" w:rsidP="00D079E8">
      <w:pPr>
        <w:pStyle w:val="ListParagraph"/>
        <w:rPr>
          <w:rFonts w:ascii="Book Antiqua" w:hAnsi="Book Antiqua" w:cs="Arial"/>
        </w:rPr>
      </w:pPr>
    </w:p>
    <w:p w:rsidR="002A13BB" w:rsidRDefault="00D079E8" w:rsidP="004F3AB3">
      <w:pPr>
        <w:numPr>
          <w:ilvl w:val="0"/>
          <w:numId w:val="3"/>
        </w:numPr>
        <w:ind w:left="567" w:hanging="567"/>
        <w:jc w:val="both"/>
        <w:rPr>
          <w:rFonts w:ascii="Book Antiqua" w:hAnsi="Book Antiqua" w:cs="Arial"/>
        </w:rPr>
      </w:pPr>
      <w:r>
        <w:rPr>
          <w:rFonts w:ascii="Book Antiqua" w:hAnsi="Book Antiqua" w:cs="Arial"/>
        </w:rPr>
        <w:lastRenderedPageBreak/>
        <w:t xml:space="preserve">The final paragraph states that it is in the best interests of the children that </w:t>
      </w:r>
      <w:r w:rsidR="00EE536E">
        <w:rPr>
          <w:rFonts w:ascii="Book Antiqua" w:hAnsi="Book Antiqua" w:cs="Arial"/>
        </w:rPr>
        <w:t>t</w:t>
      </w:r>
      <w:r>
        <w:rPr>
          <w:rFonts w:ascii="Book Antiqua" w:hAnsi="Book Antiqua" w:cs="Arial"/>
        </w:rPr>
        <w:t>he appeals be allowed so that the children can remain living as a family un</w:t>
      </w:r>
      <w:r w:rsidR="009F5E78">
        <w:rPr>
          <w:rFonts w:ascii="Book Antiqua" w:hAnsi="Book Antiqua" w:cs="Arial"/>
        </w:rPr>
        <w:t>it with their parents.  As the j</w:t>
      </w:r>
      <w:r>
        <w:rPr>
          <w:rFonts w:ascii="Book Antiqua" w:hAnsi="Book Antiqua" w:cs="Arial"/>
        </w:rPr>
        <w:t>udge reached</w:t>
      </w:r>
      <w:r w:rsidR="002A13BB">
        <w:rPr>
          <w:rFonts w:ascii="Book Antiqua" w:hAnsi="Book Antiqua" w:cs="Arial"/>
        </w:rPr>
        <w:t xml:space="preserve"> limited and conflicting findings as to whether it was reasonable for the children to adapt to</w:t>
      </w:r>
      <w:r w:rsidR="003231A1">
        <w:rPr>
          <w:rFonts w:ascii="Book Antiqua" w:hAnsi="Book Antiqua" w:cs="Arial"/>
        </w:rPr>
        <w:t xml:space="preserve"> family</w:t>
      </w:r>
      <w:r w:rsidR="002A13BB">
        <w:rPr>
          <w:rFonts w:ascii="Book Antiqua" w:hAnsi="Book Antiqua" w:cs="Arial"/>
        </w:rPr>
        <w:t xml:space="preserve"> life in Bolivia that paragraph adds nothing.</w:t>
      </w:r>
    </w:p>
    <w:p w:rsidR="002A13BB" w:rsidRDefault="002A13BB" w:rsidP="002A13BB">
      <w:pPr>
        <w:pStyle w:val="ListParagraph"/>
        <w:rPr>
          <w:rFonts w:ascii="Book Antiqua" w:hAnsi="Book Antiqua" w:cs="Arial"/>
        </w:rPr>
      </w:pPr>
    </w:p>
    <w:p w:rsidR="002A13BB" w:rsidRDefault="002A13BB" w:rsidP="004F3AB3">
      <w:pPr>
        <w:numPr>
          <w:ilvl w:val="0"/>
          <w:numId w:val="3"/>
        </w:numPr>
        <w:ind w:left="567" w:hanging="567"/>
        <w:jc w:val="both"/>
        <w:rPr>
          <w:rFonts w:ascii="Book Antiqua" w:hAnsi="Book Antiqua" w:cs="Arial"/>
        </w:rPr>
      </w:pPr>
      <w:r>
        <w:rPr>
          <w:rFonts w:ascii="Book Antiqua" w:hAnsi="Book Antiqua" w:cs="Arial"/>
        </w:rPr>
        <w:t xml:space="preserve">In summary, </w:t>
      </w:r>
      <w:r w:rsidR="00A616E6">
        <w:rPr>
          <w:rFonts w:ascii="Book Antiqua" w:hAnsi="Book Antiqua" w:cs="Arial"/>
        </w:rPr>
        <w:t xml:space="preserve">to paraphrase Lord Thomas in </w:t>
      </w:r>
      <w:r w:rsidR="00A616E6" w:rsidRPr="00A616E6">
        <w:rPr>
          <w:rFonts w:ascii="Book Antiqua" w:hAnsi="Book Antiqua" w:cs="Arial"/>
          <w:b/>
          <w:i/>
          <w:u w:val="single"/>
        </w:rPr>
        <w:t>Hesham Ali (Iraq) v SSHD</w:t>
      </w:r>
      <w:r w:rsidR="00A616E6" w:rsidRPr="00A616E6">
        <w:rPr>
          <w:rFonts w:ascii="Book Antiqua" w:hAnsi="Book Antiqua" w:cs="Arial"/>
          <w:i/>
        </w:rPr>
        <w:t xml:space="preserve"> </w:t>
      </w:r>
      <w:r w:rsidR="00A616E6" w:rsidRPr="00A616E6">
        <w:rPr>
          <w:rFonts w:ascii="Book Antiqua" w:hAnsi="Book Antiqua" w:cs="Arial"/>
          <w:b/>
          <w:i/>
        </w:rPr>
        <w:t>[2016] UKSC</w:t>
      </w:r>
      <w:r w:rsidR="00A616E6">
        <w:rPr>
          <w:rFonts w:ascii="Book Antiqua" w:hAnsi="Book Antiqua" w:cs="Arial"/>
        </w:rPr>
        <w:t xml:space="preserve"> </w:t>
      </w:r>
      <w:r w:rsidR="00A616E6" w:rsidRPr="00A616E6">
        <w:rPr>
          <w:rFonts w:ascii="Book Antiqua" w:hAnsi="Book Antiqua" w:cs="Arial"/>
          <w:b/>
          <w:i/>
        </w:rPr>
        <w:t>60</w:t>
      </w:r>
      <w:r w:rsidR="00A616E6" w:rsidRPr="00A616E6">
        <w:rPr>
          <w:rFonts w:ascii="Book Antiqua" w:hAnsi="Book Antiqua" w:cs="Arial"/>
          <w:b/>
        </w:rPr>
        <w:t xml:space="preserve"> </w:t>
      </w:r>
      <w:r w:rsidR="00A616E6">
        <w:rPr>
          <w:rFonts w:ascii="Book Antiqua" w:hAnsi="Book Antiqua" w:cs="Arial"/>
        </w:rPr>
        <w:t>at [82-84] the proper approach</w:t>
      </w:r>
      <w:r w:rsidR="00417BA9">
        <w:rPr>
          <w:rFonts w:ascii="Book Antiqua" w:hAnsi="Book Antiqua" w:cs="Arial"/>
        </w:rPr>
        <w:t xml:space="preserve"> for the tribunal</w:t>
      </w:r>
      <w:r w:rsidR="00505E18">
        <w:rPr>
          <w:rFonts w:ascii="Book Antiqua" w:hAnsi="Book Antiqua" w:cs="Arial"/>
        </w:rPr>
        <w:t xml:space="preserve"> is to find the facts and having done so, set out those factors which weigh in favour of immigration control – ‘the cons’ – against those factors that weigh in favour of family/private life</w:t>
      </w:r>
      <w:r w:rsidR="00E064EE">
        <w:rPr>
          <w:rFonts w:ascii="Book Antiqua" w:hAnsi="Book Antiqua" w:cs="Arial"/>
        </w:rPr>
        <w:t xml:space="preserve"> – ‘the pros’ in the form of a balance sheet which it then uses within the framework of the tests being applied. Of course, the factors are not equally weighted and the tribunal must in its reasoning articulate the weight being attached to each factor. The First </w:t>
      </w:r>
      <w:proofErr w:type="gramStart"/>
      <w:r w:rsidR="00E064EE">
        <w:rPr>
          <w:rFonts w:ascii="Book Antiqua" w:hAnsi="Book Antiqua" w:cs="Arial"/>
        </w:rPr>
        <w:t>tier</w:t>
      </w:r>
      <w:proofErr w:type="gramEnd"/>
      <w:r w:rsidR="00417BA9">
        <w:rPr>
          <w:rFonts w:ascii="Book Antiqua" w:hAnsi="Book Antiqua" w:cs="Arial"/>
        </w:rPr>
        <w:t xml:space="preserve"> T</w:t>
      </w:r>
      <w:r w:rsidR="00C244A0">
        <w:rPr>
          <w:rFonts w:ascii="Book Antiqua" w:hAnsi="Book Antiqua" w:cs="Arial"/>
        </w:rPr>
        <w:t>ribunal</w:t>
      </w:r>
      <w:r w:rsidR="00E064EE">
        <w:rPr>
          <w:rFonts w:ascii="Book Antiqua" w:hAnsi="Book Antiqua" w:cs="Arial"/>
        </w:rPr>
        <w:t xml:space="preserve"> did not properly carry out that exercise. I</w:t>
      </w:r>
      <w:r>
        <w:rPr>
          <w:rFonts w:ascii="Book Antiqua" w:hAnsi="Book Antiqua" w:cs="Arial"/>
        </w:rPr>
        <w:t xml:space="preserve"> conclude</w:t>
      </w:r>
      <w:r w:rsidR="001A26C1">
        <w:rPr>
          <w:rFonts w:ascii="Book Antiqua" w:hAnsi="Book Antiqua" w:cs="Arial"/>
        </w:rPr>
        <w:t>d</w:t>
      </w:r>
      <w:r>
        <w:rPr>
          <w:rFonts w:ascii="Book Antiqua" w:hAnsi="Book Antiqua" w:cs="Arial"/>
        </w:rPr>
        <w:t xml:space="preserve"> that the failure to gi</w:t>
      </w:r>
      <w:r w:rsidR="001A26C1">
        <w:rPr>
          <w:rFonts w:ascii="Book Antiqua" w:hAnsi="Book Antiqua" w:cs="Arial"/>
        </w:rPr>
        <w:t>ve proper consideration to the a</w:t>
      </w:r>
      <w:r>
        <w:rPr>
          <w:rFonts w:ascii="Book Antiqua" w:hAnsi="Book Antiqua" w:cs="Arial"/>
        </w:rPr>
        <w:t>rticle 8 assessment amounted to a material error of law such that the decision had to be set aside.</w:t>
      </w:r>
    </w:p>
    <w:p w:rsidR="002A13BB" w:rsidRDefault="002A13BB" w:rsidP="002A13BB">
      <w:pPr>
        <w:pStyle w:val="ListParagraph"/>
        <w:rPr>
          <w:rFonts w:ascii="Book Antiqua" w:hAnsi="Book Antiqua" w:cs="Arial"/>
        </w:rPr>
      </w:pPr>
    </w:p>
    <w:p w:rsidR="002A13BB" w:rsidRDefault="002A13BB" w:rsidP="004F3AB3">
      <w:pPr>
        <w:numPr>
          <w:ilvl w:val="0"/>
          <w:numId w:val="3"/>
        </w:numPr>
        <w:ind w:left="567" w:hanging="567"/>
        <w:jc w:val="both"/>
        <w:rPr>
          <w:rFonts w:ascii="Book Antiqua" w:hAnsi="Book Antiqua" w:cs="Arial"/>
        </w:rPr>
      </w:pPr>
      <w:r>
        <w:rPr>
          <w:rFonts w:ascii="Book Antiqua" w:hAnsi="Book Antiqua" w:cs="Arial"/>
        </w:rPr>
        <w:t>I agreed with Mr Coleman</w:t>
      </w:r>
      <w:r w:rsidR="009F5E78">
        <w:rPr>
          <w:rFonts w:ascii="Book Antiqua" w:hAnsi="Book Antiqua" w:cs="Arial"/>
        </w:rPr>
        <w:t>,</w:t>
      </w:r>
      <w:r>
        <w:rPr>
          <w:rFonts w:ascii="Book Antiqua" w:hAnsi="Book Antiqua" w:cs="Arial"/>
        </w:rPr>
        <w:t xml:space="preserve"> who indicated that</w:t>
      </w:r>
      <w:r w:rsidR="00C244A0">
        <w:rPr>
          <w:rFonts w:ascii="Book Antiqua" w:hAnsi="Book Antiqua" w:cs="Arial"/>
        </w:rPr>
        <w:t xml:space="preserve"> he wished to lead</w:t>
      </w:r>
      <w:r w:rsidR="00D74875">
        <w:rPr>
          <w:rFonts w:ascii="Book Antiqua" w:hAnsi="Book Antiqua" w:cs="Arial"/>
        </w:rPr>
        <w:t xml:space="preserve"> further evidence</w:t>
      </w:r>
      <w:r w:rsidR="00511DC8">
        <w:rPr>
          <w:rFonts w:ascii="Book Antiqua" w:hAnsi="Book Antiqua" w:cs="Arial"/>
        </w:rPr>
        <w:t xml:space="preserve"> but was not in a position to do so on the day</w:t>
      </w:r>
      <w:r w:rsidR="009F5E78">
        <w:rPr>
          <w:rFonts w:ascii="Book Antiqua" w:hAnsi="Book Antiqua" w:cs="Arial"/>
        </w:rPr>
        <w:t>,</w:t>
      </w:r>
      <w:r w:rsidR="003231A1">
        <w:rPr>
          <w:rFonts w:ascii="Book Antiqua" w:hAnsi="Book Antiqua" w:cs="Arial"/>
        </w:rPr>
        <w:t xml:space="preserve"> </w:t>
      </w:r>
      <w:r>
        <w:rPr>
          <w:rFonts w:ascii="Book Antiqua" w:hAnsi="Book Antiqua" w:cs="Arial"/>
        </w:rPr>
        <w:t xml:space="preserve">that the appropriate course </w:t>
      </w:r>
      <w:r w:rsidR="00D74875">
        <w:rPr>
          <w:rFonts w:ascii="Book Antiqua" w:hAnsi="Book Antiqua" w:cs="Arial"/>
        </w:rPr>
        <w:t>was for the appeal to be remitted for rehearing</w:t>
      </w:r>
      <w:r>
        <w:rPr>
          <w:rFonts w:ascii="Book Antiqua" w:hAnsi="Book Antiqua" w:cs="Arial"/>
        </w:rPr>
        <w:t>.</w:t>
      </w:r>
    </w:p>
    <w:p w:rsidR="009F5E78" w:rsidRDefault="009F5E78" w:rsidP="009F5E78">
      <w:pPr>
        <w:ind w:left="567"/>
        <w:jc w:val="both"/>
        <w:rPr>
          <w:rFonts w:ascii="Book Antiqua" w:hAnsi="Book Antiqua" w:cs="Arial"/>
        </w:rPr>
      </w:pPr>
    </w:p>
    <w:p w:rsidR="002A13BB" w:rsidRPr="002A13BB" w:rsidRDefault="002A13BB" w:rsidP="002A13BB">
      <w:pPr>
        <w:pStyle w:val="ListParagraph"/>
        <w:ind w:left="0"/>
        <w:rPr>
          <w:rFonts w:ascii="Book Antiqua" w:hAnsi="Book Antiqua" w:cs="Arial"/>
          <w:b/>
          <w:u w:val="single"/>
        </w:rPr>
      </w:pPr>
      <w:r w:rsidRPr="002A13BB">
        <w:rPr>
          <w:rFonts w:ascii="Book Antiqua" w:hAnsi="Book Antiqua" w:cs="Arial"/>
          <w:b/>
          <w:u w:val="single"/>
        </w:rPr>
        <w:t>Notice of Decision</w:t>
      </w:r>
    </w:p>
    <w:p w:rsidR="002A13BB" w:rsidRDefault="002A13BB" w:rsidP="002A13BB">
      <w:pPr>
        <w:pStyle w:val="ListParagraph"/>
        <w:ind w:left="0"/>
        <w:rPr>
          <w:rFonts w:ascii="Book Antiqua" w:hAnsi="Book Antiqua" w:cs="Arial"/>
        </w:rPr>
      </w:pPr>
    </w:p>
    <w:p w:rsidR="00F25975" w:rsidRDefault="00094E0C" w:rsidP="004F3AB3">
      <w:pPr>
        <w:numPr>
          <w:ilvl w:val="0"/>
          <w:numId w:val="3"/>
        </w:numPr>
        <w:ind w:left="567" w:hanging="567"/>
        <w:jc w:val="both"/>
        <w:rPr>
          <w:rFonts w:ascii="Book Antiqua" w:hAnsi="Book Antiqua" w:cs="Arial"/>
        </w:rPr>
      </w:pPr>
      <w:r>
        <w:rPr>
          <w:rFonts w:ascii="Book Antiqua" w:hAnsi="Book Antiqua" w:cs="Arial"/>
        </w:rPr>
        <w:t xml:space="preserve"> </w:t>
      </w:r>
      <w:r w:rsidR="00EE536E">
        <w:rPr>
          <w:rFonts w:ascii="Book Antiqua" w:hAnsi="Book Antiqua" w:cs="Arial"/>
        </w:rPr>
        <w:t xml:space="preserve">The decision of the First-tier Tribunal is set aside.  </w:t>
      </w:r>
      <w:r w:rsidR="009F5E78">
        <w:rPr>
          <w:rFonts w:ascii="Book Antiqua" w:hAnsi="Book Antiqua" w:cs="Arial"/>
        </w:rPr>
        <w:t xml:space="preserve">No findings stand. </w:t>
      </w:r>
      <w:r w:rsidR="00EE536E">
        <w:rPr>
          <w:rFonts w:ascii="Book Antiqua" w:hAnsi="Book Antiqua" w:cs="Arial"/>
        </w:rPr>
        <w:t>The nature of the case is such that it is appropriate in terms of section 12(2)(b)(</w:t>
      </w:r>
      <w:proofErr w:type="spellStart"/>
      <w:r w:rsidR="00EE536E">
        <w:rPr>
          <w:rFonts w:ascii="Book Antiqua" w:hAnsi="Book Antiqua" w:cs="Arial"/>
        </w:rPr>
        <w:t>i</w:t>
      </w:r>
      <w:proofErr w:type="spellEnd"/>
      <w:r w:rsidR="00EE536E">
        <w:rPr>
          <w:rFonts w:ascii="Book Antiqua" w:hAnsi="Book Antiqua" w:cs="Arial"/>
        </w:rPr>
        <w:t xml:space="preserve">) of the 2007 Act and of Practice Statement 7.2 to remit the case to the First-tier Tribunal for a fresh hearing.  The member(s) of the First-tier Tribunal chosen to consider the case </w:t>
      </w:r>
      <w:r w:rsidR="00F25975">
        <w:rPr>
          <w:rFonts w:ascii="Book Antiqua" w:hAnsi="Book Antiqua" w:cs="Arial"/>
        </w:rPr>
        <w:t xml:space="preserve">are not to include Judge </w:t>
      </w:r>
      <w:proofErr w:type="spellStart"/>
      <w:r w:rsidR="00F25975">
        <w:rPr>
          <w:rFonts w:ascii="Book Antiqua" w:hAnsi="Book Antiqua" w:cs="Arial"/>
        </w:rPr>
        <w:t>Swinnerton</w:t>
      </w:r>
      <w:proofErr w:type="spellEnd"/>
      <w:r w:rsidR="00F25975">
        <w:rPr>
          <w:rFonts w:ascii="Book Antiqua" w:hAnsi="Book Antiqua" w:cs="Arial"/>
        </w:rPr>
        <w:t>.</w:t>
      </w:r>
    </w:p>
    <w:p w:rsidR="00F25975" w:rsidRDefault="00F25975" w:rsidP="00F25975">
      <w:pPr>
        <w:jc w:val="both"/>
        <w:rPr>
          <w:rFonts w:ascii="Book Antiqua" w:hAnsi="Book Antiqua" w:cs="Arial"/>
        </w:rPr>
      </w:pPr>
    </w:p>
    <w:p w:rsidR="00596B88" w:rsidRDefault="009F5E78" w:rsidP="004F3AB3">
      <w:pPr>
        <w:numPr>
          <w:ilvl w:val="0"/>
          <w:numId w:val="3"/>
        </w:numPr>
        <w:ind w:left="567" w:hanging="567"/>
        <w:jc w:val="both"/>
        <w:rPr>
          <w:rFonts w:ascii="Book Antiqua" w:hAnsi="Book Antiqua" w:cs="Arial"/>
        </w:rPr>
      </w:pPr>
      <w:r>
        <w:rPr>
          <w:rFonts w:ascii="Book Antiqua" w:hAnsi="Book Antiqua" w:cs="Arial"/>
        </w:rPr>
        <w:t>No anonymity order</w:t>
      </w:r>
      <w:r w:rsidR="00F25975">
        <w:rPr>
          <w:rFonts w:ascii="Book Antiqua" w:hAnsi="Book Antiqua" w:cs="Arial"/>
        </w:rPr>
        <w:t xml:space="preserve"> has been requested or made.</w:t>
      </w:r>
    </w:p>
    <w:p w:rsidR="008B65F6" w:rsidRDefault="008B65F6" w:rsidP="008B65F6">
      <w:pPr>
        <w:pStyle w:val="ListParagraph"/>
        <w:rPr>
          <w:rFonts w:ascii="Book Antiqua" w:hAnsi="Book Antiqua" w:cs="Arial"/>
        </w:rPr>
      </w:pPr>
    </w:p>
    <w:p w:rsidR="008B65F6" w:rsidRPr="00F97703" w:rsidRDefault="008B65F6" w:rsidP="00933B65">
      <w:pPr>
        <w:ind w:left="540" w:hanging="540"/>
        <w:jc w:val="both"/>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CD2C09">
        <w:rPr>
          <w:rFonts w:ascii="Book Antiqua" w:hAnsi="Book Antiqua" w:cs="Arial"/>
        </w:rPr>
        <w:t>: 25.5.18</w:t>
      </w:r>
    </w:p>
    <w:p w:rsidR="0034540B" w:rsidRDefault="0034540B" w:rsidP="0034540B">
      <w:pPr>
        <w:tabs>
          <w:tab w:val="left" w:pos="2520"/>
        </w:tabs>
        <w:rPr>
          <w:rFonts w:ascii="Book Antiqua" w:hAnsi="Book Antiqua" w:cs="Arial"/>
          <w:color w:val="000000"/>
        </w:rPr>
      </w:pPr>
    </w:p>
    <w:p w:rsidR="00933B65" w:rsidRPr="00F97703" w:rsidRDefault="00933B65" w:rsidP="0034540B">
      <w:pPr>
        <w:tabs>
          <w:tab w:val="left" w:pos="2520"/>
        </w:tabs>
        <w:rPr>
          <w:rFonts w:ascii="Book Antiqua" w:hAnsi="Book Antiqua" w:cs="Arial"/>
          <w:color w:val="000000"/>
        </w:rPr>
      </w:pPr>
      <w:r>
        <w:rPr>
          <w:rFonts w:ascii="Book Antiqua" w:hAnsi="Book Antiqua" w:cs="Arial"/>
          <w:color w:val="000000"/>
        </w:rPr>
        <w:t xml:space="preserve">Upper Tribunal </w:t>
      </w:r>
      <w:r w:rsidR="00025F0F">
        <w:rPr>
          <w:rFonts w:ascii="Book Antiqua" w:hAnsi="Book Antiqua" w:cs="Arial"/>
          <w:color w:val="000000"/>
        </w:rPr>
        <w:t>Judge Conway</w:t>
      </w:r>
    </w:p>
    <w:p w:rsidR="00BF2ED8" w:rsidRPr="000619F9" w:rsidRDefault="006C772F" w:rsidP="006C772F">
      <w:pPr>
        <w:rPr>
          <w:rFonts w:ascii="Book Antiqua" w:hAnsi="Book Antiqua" w:cs="Arial"/>
        </w:rPr>
      </w:pPr>
      <w:r w:rsidRPr="000619F9">
        <w:rPr>
          <w:rFonts w:ascii="Book Antiqua" w:hAnsi="Book Antiqua" w:cs="Arial"/>
        </w:rPr>
        <w:t xml:space="preserve"> </w:t>
      </w:r>
    </w:p>
    <w:p w:rsidR="00BF2ED8" w:rsidRPr="000619F9" w:rsidRDefault="00BF2ED8" w:rsidP="00BF2ED8">
      <w:pPr>
        <w:tabs>
          <w:tab w:val="left" w:pos="2520"/>
        </w:tabs>
        <w:ind w:left="540" w:hanging="540"/>
        <w:jc w:val="both"/>
        <w:rPr>
          <w:rFonts w:ascii="Book Antiqua" w:hAnsi="Book Antiqua" w:cs="Arial"/>
        </w:rPr>
      </w:pPr>
    </w:p>
    <w:p w:rsidR="00BF2ED8" w:rsidRPr="000619F9" w:rsidRDefault="00BF2ED8" w:rsidP="00BF2ED8">
      <w:pPr>
        <w:tabs>
          <w:tab w:val="left" w:pos="2520"/>
        </w:tabs>
        <w:jc w:val="both"/>
        <w:rPr>
          <w:rFonts w:ascii="Book Antiqua" w:hAnsi="Book Antiqua" w:cs="Arial"/>
        </w:rPr>
      </w:pPr>
    </w:p>
    <w:p w:rsidR="00BF2ED8" w:rsidRPr="000619F9" w:rsidRDefault="00BF2ED8" w:rsidP="00BF2ED8">
      <w:pPr>
        <w:tabs>
          <w:tab w:val="left" w:pos="2520"/>
        </w:tabs>
        <w:ind w:left="4508" w:hanging="539"/>
        <w:rPr>
          <w:rFonts w:ascii="Book Antiqua" w:hAnsi="Book Antiqua" w:cs="Arial"/>
          <w:color w:val="000000"/>
        </w:rPr>
      </w:pPr>
    </w:p>
    <w:p w:rsidR="00266FFE" w:rsidRDefault="00266FFE"/>
    <w:sectPr w:rsidR="00266FFE"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51C" w:rsidRDefault="00DA551C">
      <w:r>
        <w:separator/>
      </w:r>
    </w:p>
  </w:endnote>
  <w:endnote w:type="continuationSeparator" w:id="0">
    <w:p w:rsidR="00DA551C" w:rsidRDefault="00DA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593795" w:rsidRDefault="00631E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E50B2">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090CF9" w:rsidRDefault="00631E82" w:rsidP="00614E94">
    <w:pPr>
      <w:jc w:val="center"/>
      <w:rPr>
        <w:rFonts w:ascii="Arial" w:hAnsi="Arial" w:cs="Arial"/>
        <w:b/>
      </w:rPr>
    </w:pPr>
    <w:r w:rsidRPr="00090CF9">
      <w:rPr>
        <w:rFonts w:ascii="Arial" w:hAnsi="Arial" w:cs="Arial"/>
        <w:b/>
        <w:spacing w:val="-6"/>
      </w:rPr>
      <w:t>©</w:t>
    </w:r>
    <w:r w:rsidR="00A31716">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51C" w:rsidRDefault="00DA551C">
      <w:r>
        <w:separator/>
      </w:r>
    </w:p>
  </w:footnote>
  <w:footnote w:type="continuationSeparator" w:id="0">
    <w:p w:rsidR="00DA551C" w:rsidRDefault="00DA5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16" w:rsidRPr="00A31716" w:rsidRDefault="00A31716" w:rsidP="00A31716">
    <w:pPr>
      <w:tabs>
        <w:tab w:val="right" w:pos="9720"/>
      </w:tabs>
      <w:ind w:right="-82"/>
      <w:rPr>
        <w:rFonts w:ascii="Book Antiqua" w:hAnsi="Book Antiqua" w:cs="Arial"/>
        <w:color w:val="000000"/>
        <w:sz w:val="16"/>
        <w:szCs w:val="16"/>
      </w:rPr>
    </w:pPr>
    <w:r>
      <w:rPr>
        <w:rFonts w:ascii="Book Antiqua" w:hAnsi="Book Antiqua" w:cs="Arial"/>
        <w:sz w:val="16"/>
        <w:szCs w:val="16"/>
      </w:rPr>
      <w:tab/>
    </w:r>
    <w:r w:rsidR="00631E82" w:rsidRPr="00A31716">
      <w:rPr>
        <w:rFonts w:ascii="Book Antiqua" w:hAnsi="Book Antiqua" w:cs="Arial"/>
        <w:sz w:val="16"/>
        <w:szCs w:val="16"/>
      </w:rPr>
      <w:t>Appeal Number</w:t>
    </w:r>
    <w:r w:rsidRPr="00A31716">
      <w:rPr>
        <w:rFonts w:ascii="Book Antiqua" w:hAnsi="Book Antiqua" w:cs="Arial"/>
        <w:sz w:val="16"/>
        <w:szCs w:val="16"/>
      </w:rPr>
      <w:t>s</w:t>
    </w:r>
    <w:r w:rsidR="00631E82" w:rsidRPr="00A31716">
      <w:rPr>
        <w:rFonts w:ascii="Book Antiqua" w:hAnsi="Book Antiqua" w:cs="Arial"/>
        <w:sz w:val="16"/>
        <w:szCs w:val="16"/>
      </w:rPr>
      <w:t xml:space="preserve">: </w:t>
    </w:r>
    <w:r w:rsidRPr="00A31716">
      <w:rPr>
        <w:rFonts w:ascii="Book Antiqua" w:hAnsi="Book Antiqua" w:cs="Arial"/>
        <w:color w:val="000000"/>
        <w:sz w:val="16"/>
        <w:szCs w:val="16"/>
      </w:rPr>
      <w:t>HU/05045/2015</w:t>
    </w:r>
    <w:r>
      <w:rPr>
        <w:rFonts w:ascii="Book Antiqua" w:hAnsi="Book Antiqua" w:cs="Arial"/>
        <w:color w:val="000000"/>
        <w:sz w:val="16"/>
        <w:szCs w:val="16"/>
      </w:rPr>
      <w:t xml:space="preserve">, </w:t>
    </w:r>
    <w:r w:rsidRPr="00A31716">
      <w:rPr>
        <w:rFonts w:ascii="Book Antiqua" w:hAnsi="Book Antiqua" w:cs="Arial"/>
        <w:color w:val="000000"/>
        <w:sz w:val="16"/>
        <w:szCs w:val="16"/>
      </w:rPr>
      <w:t>HU/05046/2015</w:t>
    </w:r>
    <w:r>
      <w:rPr>
        <w:rFonts w:ascii="Book Antiqua" w:hAnsi="Book Antiqua" w:cs="Arial"/>
        <w:color w:val="000000"/>
        <w:sz w:val="16"/>
        <w:szCs w:val="16"/>
      </w:rPr>
      <w:t xml:space="preserve"> &amp; </w:t>
    </w:r>
    <w:r w:rsidRPr="00A31716">
      <w:rPr>
        <w:rFonts w:ascii="Book Antiqua" w:hAnsi="Book Antiqua" w:cs="Arial"/>
        <w:color w:val="000000"/>
        <w:sz w:val="16"/>
        <w:szCs w:val="16"/>
      </w:rPr>
      <w:t xml:space="preserve">HU/05047/2015 </w:t>
    </w:r>
  </w:p>
  <w:p w:rsidR="00A31716" w:rsidRPr="00F97703" w:rsidRDefault="00A31716" w:rsidP="00A31716">
    <w:pPr>
      <w:jc w:val="center"/>
      <w:rPr>
        <w:rFonts w:ascii="Book Antiqua" w:hAnsi="Book Antiqua" w:cs="Arial"/>
        <w:color w:val="000000"/>
      </w:rPr>
    </w:pPr>
  </w:p>
  <w:p w:rsidR="00631E82" w:rsidRPr="003C5CE5" w:rsidRDefault="00631E82" w:rsidP="00614E94">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14272"/>
    <w:multiLevelType w:val="hybridMultilevel"/>
    <w:tmpl w:val="AE7077EC"/>
    <w:lvl w:ilvl="0" w:tplc="FFB8F348">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5F0F"/>
    <w:rsid w:val="000367B9"/>
    <w:rsid w:val="00042283"/>
    <w:rsid w:val="00091185"/>
    <w:rsid w:val="00094E0C"/>
    <w:rsid w:val="000B5D22"/>
    <w:rsid w:val="00112B05"/>
    <w:rsid w:val="00126DF1"/>
    <w:rsid w:val="00163AA7"/>
    <w:rsid w:val="0017612F"/>
    <w:rsid w:val="00181DDC"/>
    <w:rsid w:val="001832F8"/>
    <w:rsid w:val="001874D7"/>
    <w:rsid w:val="001A26C1"/>
    <w:rsid w:val="001E1970"/>
    <w:rsid w:val="001F4013"/>
    <w:rsid w:val="002137C8"/>
    <w:rsid w:val="0022452C"/>
    <w:rsid w:val="00233A00"/>
    <w:rsid w:val="00266FFE"/>
    <w:rsid w:val="002A13BB"/>
    <w:rsid w:val="002A674E"/>
    <w:rsid w:val="002B3AC8"/>
    <w:rsid w:val="002C63AA"/>
    <w:rsid w:val="002F3BEB"/>
    <w:rsid w:val="00307C72"/>
    <w:rsid w:val="00320FD9"/>
    <w:rsid w:val="003231A1"/>
    <w:rsid w:val="00332DFB"/>
    <w:rsid w:val="0034540B"/>
    <w:rsid w:val="003D7DC1"/>
    <w:rsid w:val="003E73CF"/>
    <w:rsid w:val="004021B7"/>
    <w:rsid w:val="00404806"/>
    <w:rsid w:val="004171D0"/>
    <w:rsid w:val="00417BA9"/>
    <w:rsid w:val="00433BB9"/>
    <w:rsid w:val="0047063F"/>
    <w:rsid w:val="00470937"/>
    <w:rsid w:val="00497C6C"/>
    <w:rsid w:val="004A012D"/>
    <w:rsid w:val="004A289F"/>
    <w:rsid w:val="004C5989"/>
    <w:rsid w:val="004E50B2"/>
    <w:rsid w:val="004F3024"/>
    <w:rsid w:val="004F3AB3"/>
    <w:rsid w:val="00505E18"/>
    <w:rsid w:val="00505EDD"/>
    <w:rsid w:val="00511DC8"/>
    <w:rsid w:val="0052296F"/>
    <w:rsid w:val="0057020B"/>
    <w:rsid w:val="005858CB"/>
    <w:rsid w:val="00596B88"/>
    <w:rsid w:val="005D5183"/>
    <w:rsid w:val="00614E94"/>
    <w:rsid w:val="00622856"/>
    <w:rsid w:val="00631E82"/>
    <w:rsid w:val="006748D6"/>
    <w:rsid w:val="00680A32"/>
    <w:rsid w:val="006B3731"/>
    <w:rsid w:val="006C495F"/>
    <w:rsid w:val="006C73CE"/>
    <w:rsid w:val="006C772F"/>
    <w:rsid w:val="00711375"/>
    <w:rsid w:val="00714BC3"/>
    <w:rsid w:val="0076419F"/>
    <w:rsid w:val="007A7333"/>
    <w:rsid w:val="007E136A"/>
    <w:rsid w:val="007E4478"/>
    <w:rsid w:val="007F0995"/>
    <w:rsid w:val="007F2D17"/>
    <w:rsid w:val="00841BE5"/>
    <w:rsid w:val="008832E8"/>
    <w:rsid w:val="008A5FEF"/>
    <w:rsid w:val="008B65F6"/>
    <w:rsid w:val="008C1EFE"/>
    <w:rsid w:val="008F7496"/>
    <w:rsid w:val="009004B0"/>
    <w:rsid w:val="009067F6"/>
    <w:rsid w:val="009306E6"/>
    <w:rsid w:val="00933B65"/>
    <w:rsid w:val="00942951"/>
    <w:rsid w:val="00961CDC"/>
    <w:rsid w:val="009701EB"/>
    <w:rsid w:val="00972AB2"/>
    <w:rsid w:val="00996138"/>
    <w:rsid w:val="009A7216"/>
    <w:rsid w:val="009D328D"/>
    <w:rsid w:val="009E490D"/>
    <w:rsid w:val="009F5E78"/>
    <w:rsid w:val="00A10D1E"/>
    <w:rsid w:val="00A31716"/>
    <w:rsid w:val="00A375C8"/>
    <w:rsid w:val="00A42B65"/>
    <w:rsid w:val="00A616E6"/>
    <w:rsid w:val="00A75E41"/>
    <w:rsid w:val="00A86A8D"/>
    <w:rsid w:val="00A86B80"/>
    <w:rsid w:val="00AC5C04"/>
    <w:rsid w:val="00AF37C0"/>
    <w:rsid w:val="00B36BE4"/>
    <w:rsid w:val="00B402A2"/>
    <w:rsid w:val="00B50AD4"/>
    <w:rsid w:val="00B50C2E"/>
    <w:rsid w:val="00B67294"/>
    <w:rsid w:val="00B94499"/>
    <w:rsid w:val="00BB6FD5"/>
    <w:rsid w:val="00BE796B"/>
    <w:rsid w:val="00BF2E5E"/>
    <w:rsid w:val="00BF2ED8"/>
    <w:rsid w:val="00C05EC4"/>
    <w:rsid w:val="00C244A0"/>
    <w:rsid w:val="00C31AFF"/>
    <w:rsid w:val="00C52169"/>
    <w:rsid w:val="00C91C42"/>
    <w:rsid w:val="00CA0239"/>
    <w:rsid w:val="00CD2C09"/>
    <w:rsid w:val="00D079E8"/>
    <w:rsid w:val="00D33F30"/>
    <w:rsid w:val="00D44A14"/>
    <w:rsid w:val="00D74875"/>
    <w:rsid w:val="00DA551C"/>
    <w:rsid w:val="00DD1EE7"/>
    <w:rsid w:val="00DE58CA"/>
    <w:rsid w:val="00E064EE"/>
    <w:rsid w:val="00E430C0"/>
    <w:rsid w:val="00E81F53"/>
    <w:rsid w:val="00EE536E"/>
    <w:rsid w:val="00EF0FBA"/>
    <w:rsid w:val="00F12EB5"/>
    <w:rsid w:val="00F25975"/>
    <w:rsid w:val="00F648C0"/>
    <w:rsid w:val="00F84B21"/>
    <w:rsid w:val="00F907A2"/>
    <w:rsid w:val="00F954A5"/>
    <w:rsid w:val="00FA0A2E"/>
    <w:rsid w:val="00FB0516"/>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86AEC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4F3AB3"/>
    <w:pPr>
      <w:ind w:left="720"/>
    </w:pPr>
  </w:style>
  <w:style w:type="paragraph" w:styleId="BalloonText">
    <w:name w:val="Balloon Text"/>
    <w:basedOn w:val="Normal"/>
    <w:link w:val="BalloonTextChar"/>
    <w:rsid w:val="00C91C42"/>
    <w:rPr>
      <w:rFonts w:ascii="Segoe UI" w:hAnsi="Segoe UI" w:cs="Segoe UI"/>
      <w:sz w:val="18"/>
      <w:szCs w:val="18"/>
    </w:rPr>
  </w:style>
  <w:style w:type="character" w:customStyle="1" w:styleId="BalloonTextChar">
    <w:name w:val="Balloon Text Char"/>
    <w:link w:val="BalloonText"/>
    <w:rsid w:val="00C91C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1865</Words>
  <Characters>9067</Characters>
  <Application>Microsoft Office Word</Application>
  <DocSecurity>0</DocSecurity>
  <Lines>75</Lines>
  <Paragraphs>21</Paragraphs>
  <ScaleCrop>false</ScaleCrop>
  <Company/>
  <LinksUpToDate>false</LinksUpToDate>
  <CharactersWithSpaces>10911</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2018-06-19T15:37:00Z</dcterms:created>
  <dcterms:modified xsi:type="dcterms:W3CDTF">2018-06-19T15:37:00Z</dcterms:modified>
</cp:coreProperties>
</file>