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0413" w14:textId="6E1ED838" w:rsidR="00F97703" w:rsidRPr="00EE386F" w:rsidRDefault="00FF1E45" w:rsidP="00F97703">
      <w:pPr>
        <w:jc w:val="center"/>
        <w:rPr>
          <w:rFonts w:ascii="Sylfaen" w:hAnsi="Sylfaen" w:cs="Arial"/>
          <w:color w:val="000000"/>
          <w:sz w:val="16"/>
          <w:szCs w:val="16"/>
        </w:rPr>
      </w:pPr>
      <w:r w:rsidRPr="00EE386F">
        <w:rPr>
          <w:rFonts w:ascii="Sylfaen" w:hAnsi="Sylfaen"/>
          <w:noProof/>
          <w:sz w:val="16"/>
          <w:szCs w:val="16"/>
        </w:rPr>
        <w:drawing>
          <wp:inline distT="0" distB="0" distL="0" distR="0" wp14:anchorId="1126EF1B" wp14:editId="4F864C02">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4F585C7" w14:textId="77777777" w:rsidR="00EE386F" w:rsidRPr="00EE386F" w:rsidRDefault="00EE386F" w:rsidP="00EE386F">
      <w:pPr>
        <w:rPr>
          <w:rFonts w:ascii="Sylfaen" w:hAnsi="Sylfaen" w:cs="Arial"/>
          <w:color w:val="000000"/>
          <w:sz w:val="16"/>
          <w:szCs w:val="16"/>
        </w:rPr>
      </w:pPr>
    </w:p>
    <w:p w14:paraId="3AE91762" w14:textId="77777777"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14:paraId="1B32D336" w14:textId="77777777"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CB546F">
        <w:rPr>
          <w:rFonts w:ascii="Sylfaen" w:hAnsi="Sylfaen" w:cs="Arial"/>
          <w:b/>
          <w:caps/>
          <w:color w:val="000000"/>
        </w:rPr>
        <w:t>HU</w:t>
      </w:r>
      <w:r w:rsidR="00C67493">
        <w:rPr>
          <w:rFonts w:ascii="Sylfaen" w:hAnsi="Sylfaen" w:cs="Arial"/>
          <w:b/>
          <w:caps/>
          <w:color w:val="000000"/>
        </w:rPr>
        <w:t>/05143/20</w:t>
      </w:r>
      <w:r w:rsidR="007B1C37">
        <w:rPr>
          <w:rFonts w:ascii="Sylfaen" w:hAnsi="Sylfaen" w:cs="Arial"/>
          <w:b/>
          <w:caps/>
          <w:color w:val="000000"/>
        </w:rPr>
        <w:t>17</w:t>
      </w:r>
      <w:bookmarkEnd w:id="0"/>
    </w:p>
    <w:p w14:paraId="07DD7279" w14:textId="77777777" w:rsidR="00C345E1" w:rsidRPr="00A544A8" w:rsidRDefault="00C345E1" w:rsidP="00C345E1">
      <w:pPr>
        <w:jc w:val="center"/>
        <w:rPr>
          <w:rFonts w:ascii="Sylfaen" w:hAnsi="Sylfaen" w:cs="Arial"/>
          <w:color w:val="000000"/>
        </w:rPr>
      </w:pPr>
    </w:p>
    <w:p w14:paraId="557D33BE" w14:textId="77777777"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14:paraId="3F36EB2C" w14:textId="77777777"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858"/>
        <w:gridCol w:w="3780"/>
      </w:tblGrid>
      <w:tr w:rsidR="00D22636" w:rsidRPr="007A7CEE" w14:paraId="537783C1" w14:textId="77777777" w:rsidTr="007A7CEE">
        <w:tc>
          <w:tcPr>
            <w:tcW w:w="6048" w:type="dxa"/>
            <w:shd w:val="clear" w:color="auto" w:fill="auto"/>
          </w:tcPr>
          <w:p w14:paraId="38E8C715" w14:textId="77777777" w:rsidR="00D22636" w:rsidRPr="007A7CEE" w:rsidRDefault="00BD3A9C" w:rsidP="007A7CEE">
            <w:pPr>
              <w:ind w:left="540" w:hanging="540"/>
              <w:jc w:val="both"/>
              <w:rPr>
                <w:rFonts w:ascii="Sylfaen" w:hAnsi="Sylfaen" w:cs="Arial"/>
                <w:b/>
              </w:rPr>
            </w:pPr>
            <w:r w:rsidRPr="007A7CEE">
              <w:rPr>
                <w:rFonts w:ascii="Sylfaen" w:hAnsi="Sylfaen" w:cs="Arial"/>
              </w:rPr>
              <w:t>At</w:t>
            </w:r>
            <w:r w:rsidRPr="007A7CEE">
              <w:rPr>
                <w:rFonts w:ascii="Sylfaen" w:hAnsi="Sylfaen" w:cs="Arial"/>
                <w:b/>
              </w:rPr>
              <w:t xml:space="preserve">    </w:t>
            </w:r>
            <w:r w:rsidR="007C6AAA">
              <w:rPr>
                <w:rFonts w:ascii="Sylfaen" w:hAnsi="Sylfaen" w:cs="Arial"/>
                <w:b/>
              </w:rPr>
              <w:t>Royal Courts of Justice, Belfast</w:t>
            </w:r>
          </w:p>
        </w:tc>
        <w:tc>
          <w:tcPr>
            <w:tcW w:w="3780" w:type="dxa"/>
            <w:shd w:val="clear" w:color="auto" w:fill="auto"/>
          </w:tcPr>
          <w:p w14:paraId="552A5123" w14:textId="77777777" w:rsidR="00D22636" w:rsidRPr="007A7CEE" w:rsidRDefault="00A544A8" w:rsidP="007A7CEE">
            <w:pPr>
              <w:ind w:left="1872" w:hanging="1872"/>
              <w:jc w:val="both"/>
              <w:rPr>
                <w:rFonts w:ascii="Sylfaen" w:hAnsi="Sylfaen" w:cs="Arial"/>
                <w:b/>
                <w:color w:val="000000"/>
              </w:rPr>
            </w:pPr>
            <w:r w:rsidRPr="007A7CEE">
              <w:rPr>
                <w:rFonts w:ascii="Sylfaen" w:hAnsi="Sylfaen" w:cs="Arial"/>
                <w:color w:val="000000"/>
              </w:rPr>
              <w:t xml:space="preserve">Decision </w:t>
            </w:r>
            <w:r w:rsidR="00F07170" w:rsidRPr="007A7CEE">
              <w:rPr>
                <w:rFonts w:ascii="Sylfaen" w:hAnsi="Sylfaen" w:cs="Arial"/>
                <w:color w:val="000000"/>
              </w:rPr>
              <w:t>signed:</w:t>
            </w:r>
            <w:r w:rsidR="00F07170" w:rsidRPr="007A7CEE">
              <w:rPr>
                <w:rFonts w:ascii="Sylfaen" w:hAnsi="Sylfaen" w:cs="Arial"/>
                <w:b/>
                <w:color w:val="000000"/>
              </w:rPr>
              <w:t xml:space="preserve">   </w:t>
            </w:r>
            <w:r w:rsidR="007B1C37">
              <w:rPr>
                <w:rFonts w:ascii="Sylfaen" w:hAnsi="Sylfaen" w:cs="Arial"/>
                <w:b/>
                <w:color w:val="000000"/>
              </w:rPr>
              <w:t>25.07.2018</w:t>
            </w:r>
          </w:p>
        </w:tc>
      </w:tr>
      <w:tr w:rsidR="00D22636" w:rsidRPr="007A7CEE" w14:paraId="44BC4282" w14:textId="77777777" w:rsidTr="007A7CEE">
        <w:tc>
          <w:tcPr>
            <w:tcW w:w="6048" w:type="dxa"/>
            <w:shd w:val="clear" w:color="auto" w:fill="auto"/>
          </w:tcPr>
          <w:p w14:paraId="2B066D5D" w14:textId="77777777" w:rsidR="00D22636" w:rsidRPr="007A7CEE" w:rsidRDefault="00BD3A9C" w:rsidP="007A7CEE">
            <w:pPr>
              <w:jc w:val="both"/>
              <w:rPr>
                <w:rFonts w:ascii="Sylfaen" w:hAnsi="Sylfaen" w:cs="Arial"/>
                <w:b/>
              </w:rPr>
            </w:pPr>
            <w:r w:rsidRPr="007A7CEE">
              <w:rPr>
                <w:rFonts w:ascii="Sylfaen" w:hAnsi="Sylfaen" w:cs="Arial"/>
              </w:rPr>
              <w:t>on</w:t>
            </w:r>
            <w:r w:rsidRPr="007A7CEE">
              <w:rPr>
                <w:rFonts w:ascii="Sylfaen" w:hAnsi="Sylfaen" w:cs="Arial"/>
                <w:b/>
              </w:rPr>
              <w:t xml:space="preserve">    </w:t>
            </w:r>
            <w:r w:rsidR="007B1C37">
              <w:rPr>
                <w:rFonts w:ascii="Sylfaen" w:hAnsi="Sylfaen" w:cs="Arial"/>
                <w:b/>
              </w:rPr>
              <w:t>25.07.2018</w:t>
            </w:r>
          </w:p>
        </w:tc>
        <w:tc>
          <w:tcPr>
            <w:tcW w:w="3780" w:type="dxa"/>
            <w:shd w:val="clear" w:color="auto" w:fill="auto"/>
          </w:tcPr>
          <w:p w14:paraId="309E51FE" w14:textId="77777777" w:rsidR="00D22636" w:rsidRPr="007A7CEE" w:rsidRDefault="00F07170" w:rsidP="007A7CEE">
            <w:pPr>
              <w:ind w:left="1872" w:hanging="1872"/>
              <w:jc w:val="both"/>
              <w:rPr>
                <w:rFonts w:ascii="Sylfaen" w:hAnsi="Sylfaen" w:cs="Arial"/>
                <w:b/>
              </w:rPr>
            </w:pPr>
            <w:r w:rsidRPr="007A7CEE">
              <w:rPr>
                <w:rFonts w:ascii="Sylfaen" w:hAnsi="Sylfaen" w:cs="Arial"/>
                <w:color w:val="000000"/>
              </w:rPr>
              <w:t>sent out:</w:t>
            </w:r>
            <w:r w:rsidRPr="007A7CEE">
              <w:rPr>
                <w:rFonts w:ascii="Sylfaen" w:hAnsi="Sylfaen" w:cs="Arial"/>
                <w:b/>
                <w:color w:val="000000"/>
              </w:rPr>
              <w:t xml:space="preserve">                </w:t>
            </w:r>
            <w:r w:rsidR="00AD4602">
              <w:rPr>
                <w:rFonts w:ascii="Sylfaen" w:hAnsi="Sylfaen" w:cs="Arial"/>
                <w:b/>
                <w:color w:val="000000"/>
              </w:rPr>
              <w:t>02.08.2018</w:t>
            </w:r>
            <w:r w:rsidRPr="007A7CEE">
              <w:rPr>
                <w:rFonts w:ascii="Sylfaen" w:hAnsi="Sylfaen" w:cs="Arial"/>
                <w:b/>
                <w:color w:val="000000"/>
              </w:rPr>
              <w:fldChar w:fldCharType="begin">
                <w:ffData>
                  <w:name w:val="Text25"/>
                  <w:enabled/>
                  <w:calcOnExit w:val="0"/>
                  <w:textInput/>
                </w:ffData>
              </w:fldChar>
            </w:r>
            <w:bookmarkStart w:id="1" w:name="Text25"/>
            <w:r w:rsidRPr="007A7CEE">
              <w:rPr>
                <w:rFonts w:ascii="Sylfaen" w:hAnsi="Sylfaen" w:cs="Arial"/>
                <w:b/>
                <w:color w:val="000000"/>
              </w:rPr>
              <w:instrText xml:space="preserve"> FORMTEXT </w:instrText>
            </w:r>
            <w:r w:rsidRPr="007A7CEE">
              <w:rPr>
                <w:rFonts w:ascii="Sylfaen" w:hAnsi="Sylfaen" w:cs="Arial"/>
                <w:b/>
                <w:color w:val="000000"/>
              </w:rPr>
            </w:r>
            <w:r w:rsidRPr="007A7CEE">
              <w:rPr>
                <w:rFonts w:ascii="Sylfaen" w:hAnsi="Sylfaen" w:cs="Arial"/>
                <w:b/>
                <w:color w:val="000000"/>
              </w:rPr>
              <w:fldChar w:fldCharType="separate"/>
            </w:r>
            <w:r w:rsidR="00374981" w:rsidRPr="007A7CEE">
              <w:rPr>
                <w:rFonts w:ascii="Sylfaen" w:hAnsi="Sylfaen" w:cs="Arial"/>
                <w:b/>
                <w:noProof/>
                <w:color w:val="000000"/>
              </w:rPr>
              <w:t> </w:t>
            </w:r>
            <w:r w:rsidR="00374981" w:rsidRPr="007A7CEE">
              <w:rPr>
                <w:rFonts w:ascii="Sylfaen" w:hAnsi="Sylfaen" w:cs="Arial"/>
                <w:b/>
                <w:noProof/>
                <w:color w:val="000000"/>
              </w:rPr>
              <w:t> </w:t>
            </w:r>
            <w:r w:rsidR="00374981" w:rsidRPr="007A7CEE">
              <w:rPr>
                <w:rFonts w:ascii="Sylfaen" w:hAnsi="Sylfaen" w:cs="Arial"/>
                <w:b/>
                <w:noProof/>
                <w:color w:val="000000"/>
              </w:rPr>
              <w:t> </w:t>
            </w:r>
            <w:r w:rsidR="00374981" w:rsidRPr="007A7CEE">
              <w:rPr>
                <w:rFonts w:ascii="Sylfaen" w:hAnsi="Sylfaen" w:cs="Arial"/>
                <w:b/>
                <w:noProof/>
                <w:color w:val="000000"/>
              </w:rPr>
              <w:t> </w:t>
            </w:r>
            <w:r w:rsidR="00374981" w:rsidRPr="007A7CEE">
              <w:rPr>
                <w:rFonts w:ascii="Sylfaen" w:hAnsi="Sylfaen" w:cs="Arial"/>
                <w:b/>
                <w:noProof/>
                <w:color w:val="000000"/>
              </w:rPr>
              <w:t> </w:t>
            </w:r>
            <w:r w:rsidRPr="007A7CEE">
              <w:rPr>
                <w:rFonts w:ascii="Sylfaen" w:hAnsi="Sylfaen" w:cs="Arial"/>
                <w:b/>
                <w:color w:val="000000"/>
              </w:rPr>
              <w:fldChar w:fldCharType="end"/>
            </w:r>
            <w:bookmarkEnd w:id="1"/>
          </w:p>
        </w:tc>
      </w:tr>
    </w:tbl>
    <w:p w14:paraId="055048C7" w14:textId="77777777" w:rsidR="00F07170" w:rsidRDefault="00F07170" w:rsidP="00BD3A9C">
      <w:pPr>
        <w:rPr>
          <w:rFonts w:ascii="Sylfaen" w:hAnsi="Sylfaen" w:cs="Arial"/>
          <w:b/>
        </w:rPr>
      </w:pPr>
    </w:p>
    <w:p w14:paraId="74049BB5" w14:textId="77777777"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14:paraId="6FD66F67" w14:textId="77777777"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14:paraId="107CBDFA" w14:textId="77777777"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14:paraId="1C90E787" w14:textId="77777777"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14:paraId="7E0EF95C" w14:textId="3CE5325B" w:rsidR="00704B61" w:rsidRPr="00A544A8" w:rsidRDefault="007B1C37" w:rsidP="00A15234">
      <w:pPr>
        <w:jc w:val="center"/>
        <w:rPr>
          <w:rFonts w:ascii="Sylfaen" w:hAnsi="Sylfaen" w:cs="Arial"/>
          <w:b/>
        </w:rPr>
      </w:pPr>
      <w:r>
        <w:rPr>
          <w:rFonts w:ascii="Sylfaen" w:hAnsi="Sylfaen" w:cs="Arial"/>
          <w:b/>
        </w:rPr>
        <w:t xml:space="preserve">Wilfredo </w:t>
      </w:r>
      <w:r w:rsidR="00FA2113">
        <w:rPr>
          <w:rFonts w:ascii="Sylfaen" w:hAnsi="Sylfaen" w:cs="Arial"/>
          <w:b/>
        </w:rPr>
        <w:t>[</w:t>
      </w:r>
      <w:r>
        <w:rPr>
          <w:rFonts w:ascii="Sylfaen" w:hAnsi="Sylfaen" w:cs="Arial"/>
          <w:b/>
        </w:rPr>
        <w:t>B</w:t>
      </w:r>
      <w:r w:rsidR="00FA2113">
        <w:rPr>
          <w:rFonts w:ascii="Sylfaen" w:hAnsi="Sylfaen" w:cs="Arial"/>
          <w:b/>
        </w:rPr>
        <w:t>]</w:t>
      </w:r>
    </w:p>
    <w:p w14:paraId="1F813E07" w14:textId="77777777" w:rsidR="00704B61" w:rsidRPr="003860CF" w:rsidRDefault="00BD3A9C" w:rsidP="00704B61">
      <w:pPr>
        <w:jc w:val="right"/>
        <w:rPr>
          <w:rFonts w:ascii="Sylfaen" w:hAnsi="Sylfaen" w:cs="Arial"/>
        </w:rPr>
      </w:pPr>
      <w:r w:rsidRPr="003860CF">
        <w:rPr>
          <w:rFonts w:ascii="Sylfaen" w:hAnsi="Sylfaen" w:cs="Arial"/>
        </w:rPr>
        <w:t>appellant</w:t>
      </w:r>
    </w:p>
    <w:p w14:paraId="3C3552E8" w14:textId="77777777" w:rsidR="00704B61" w:rsidRPr="00A544A8" w:rsidRDefault="00DD5071" w:rsidP="00704B61">
      <w:pPr>
        <w:jc w:val="center"/>
        <w:rPr>
          <w:rFonts w:ascii="Sylfaen" w:hAnsi="Sylfaen" w:cs="Arial"/>
          <w:b/>
        </w:rPr>
      </w:pPr>
      <w:r w:rsidRPr="00A544A8">
        <w:rPr>
          <w:rFonts w:ascii="Sylfaen" w:hAnsi="Sylfaen" w:cs="Arial"/>
          <w:b/>
        </w:rPr>
        <w:t>and</w:t>
      </w:r>
    </w:p>
    <w:p w14:paraId="64BA693E" w14:textId="77777777" w:rsidR="00DD5071" w:rsidRPr="00A544A8" w:rsidRDefault="00DD5071" w:rsidP="00704B61">
      <w:pPr>
        <w:jc w:val="center"/>
        <w:rPr>
          <w:rFonts w:ascii="Sylfaen" w:hAnsi="Sylfaen" w:cs="Arial"/>
          <w:b/>
        </w:rPr>
      </w:pPr>
    </w:p>
    <w:bookmarkStart w:id="2" w:name="Dropdown1"/>
    <w:p w14:paraId="5E645CFE" w14:textId="77777777"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AF530F">
        <w:rPr>
          <w:rFonts w:ascii="Sylfaen" w:hAnsi="Sylfaen" w:cs="Arial"/>
          <w:b/>
        </w:rPr>
      </w:r>
      <w:r w:rsidR="00AF530F">
        <w:rPr>
          <w:rFonts w:ascii="Sylfaen" w:hAnsi="Sylfaen" w:cs="Arial"/>
          <w:b/>
        </w:rPr>
        <w:fldChar w:fldCharType="separate"/>
      </w:r>
      <w:r w:rsidRPr="00A544A8">
        <w:rPr>
          <w:rFonts w:ascii="Sylfaen" w:hAnsi="Sylfaen" w:cs="Arial"/>
          <w:b/>
        </w:rPr>
        <w:fldChar w:fldCharType="end"/>
      </w:r>
      <w:bookmarkEnd w:id="2"/>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3"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3"/>
    </w:p>
    <w:p w14:paraId="4B506493" w14:textId="77777777" w:rsidR="00DD5071" w:rsidRPr="003860CF" w:rsidRDefault="00BD3A9C" w:rsidP="00DD5071">
      <w:pPr>
        <w:jc w:val="right"/>
        <w:rPr>
          <w:rFonts w:ascii="Sylfaen" w:hAnsi="Sylfaen" w:cs="Arial"/>
        </w:rPr>
      </w:pPr>
      <w:r w:rsidRPr="003860CF">
        <w:rPr>
          <w:rFonts w:ascii="Sylfaen" w:hAnsi="Sylfaen" w:cs="Arial"/>
        </w:rPr>
        <w:t>respondent</w:t>
      </w:r>
    </w:p>
    <w:p w14:paraId="662F2F3F" w14:textId="77777777"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14:paraId="3B34678B"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7B1C37">
        <w:rPr>
          <w:rFonts w:ascii="Sylfaen" w:hAnsi="Sylfaen" w:cs="Arial"/>
        </w:rPr>
        <w:t xml:space="preserve">Mr Abed </w:t>
      </w:r>
      <w:proofErr w:type="spellStart"/>
      <w:r w:rsidR="007B1C37">
        <w:rPr>
          <w:rFonts w:ascii="Sylfaen" w:hAnsi="Sylfaen" w:cs="Arial"/>
        </w:rPr>
        <w:t>Natur</w:t>
      </w:r>
      <w:proofErr w:type="spellEnd"/>
      <w:r w:rsidR="007B1C37">
        <w:rPr>
          <w:rFonts w:ascii="Sylfaen" w:hAnsi="Sylfaen" w:cs="Arial"/>
        </w:rPr>
        <w:t xml:space="preserve">, solicitor, </w:t>
      </w:r>
      <w:proofErr w:type="spellStart"/>
      <w:r w:rsidR="007B1C37">
        <w:rPr>
          <w:rFonts w:ascii="Sylfaen" w:hAnsi="Sylfaen" w:cs="Arial"/>
        </w:rPr>
        <w:t>Dungannon</w:t>
      </w:r>
      <w:proofErr w:type="spellEnd"/>
    </w:p>
    <w:p w14:paraId="6475094C"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7B1C37">
        <w:rPr>
          <w:rFonts w:ascii="Sylfaen" w:hAnsi="Sylfaen" w:cs="Arial"/>
        </w:rPr>
        <w:t>Mr Miles Matthews</w:t>
      </w:r>
    </w:p>
    <w:p w14:paraId="78F2A596" w14:textId="77777777" w:rsidR="00DE7DB7" w:rsidRPr="00A544A8" w:rsidRDefault="00DE7DB7" w:rsidP="00402B9E">
      <w:pPr>
        <w:tabs>
          <w:tab w:val="left" w:pos="2520"/>
        </w:tabs>
        <w:jc w:val="center"/>
        <w:rPr>
          <w:rFonts w:ascii="Sylfaen" w:hAnsi="Sylfaen" w:cs="Arial"/>
        </w:rPr>
      </w:pPr>
    </w:p>
    <w:p w14:paraId="0FC76ACC" w14:textId="77777777"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14:paraId="7058DEF6" w14:textId="77777777"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4"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AF530F">
        <w:rPr>
          <w:rFonts w:ascii="Sylfaen" w:hAnsi="Sylfaen" w:cs="Arial"/>
        </w:rPr>
      </w:r>
      <w:r w:rsidR="00AF530F">
        <w:rPr>
          <w:rFonts w:ascii="Sylfaen" w:hAnsi="Sylfaen" w:cs="Arial"/>
        </w:rPr>
        <w:fldChar w:fldCharType="separate"/>
      </w:r>
      <w:r w:rsidR="00DE20CE">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7B1C37">
        <w:rPr>
          <w:rFonts w:ascii="Sylfaen" w:hAnsi="Sylfaen" w:cs="Arial"/>
        </w:rPr>
        <w:t xml:space="preserve">Francis </w:t>
      </w:r>
      <w:proofErr w:type="spellStart"/>
      <w:r w:rsidR="007B1C37">
        <w:rPr>
          <w:rFonts w:ascii="Sylfaen" w:hAnsi="Sylfaen" w:cs="Arial"/>
        </w:rPr>
        <w:t>Farrelly</w:t>
      </w:r>
      <w:proofErr w:type="spellEnd"/>
      <w:r w:rsidR="00194E6E">
        <w:rPr>
          <w:rFonts w:ascii="Sylfaen" w:hAnsi="Sylfaen" w:cs="Arial"/>
        </w:rPr>
        <w:t>)</w:t>
      </w:r>
      <w:r w:rsidR="00FE4D99">
        <w:rPr>
          <w:rFonts w:ascii="Sylfaen" w:hAnsi="Sylfaen" w:cs="Arial"/>
        </w:rPr>
        <w:t xml:space="preserve">, sitting at </w:t>
      </w:r>
      <w:r w:rsidR="007B1C37">
        <w:rPr>
          <w:rFonts w:ascii="Sylfaen" w:hAnsi="Sylfaen" w:cs="Arial"/>
        </w:rPr>
        <w:t>Belfast</w:t>
      </w:r>
      <w:r w:rsidR="00FE4D99">
        <w:rPr>
          <w:rFonts w:ascii="Sylfaen" w:hAnsi="Sylfaen" w:cs="Arial"/>
        </w:rPr>
        <w:t xml:space="preserve"> on </w:t>
      </w:r>
      <w:r w:rsidR="007B1C37">
        <w:rPr>
          <w:rFonts w:ascii="Sylfaen" w:hAnsi="Sylfaen" w:cs="Arial"/>
        </w:rPr>
        <w:t>21 July 2017</w:t>
      </w:r>
      <w:r w:rsidR="00FE4D99">
        <w:rPr>
          <w:rFonts w:ascii="Sylfaen" w:hAnsi="Sylfaen" w:cs="Arial"/>
        </w:rPr>
        <w:t xml:space="preserve">, to </w:t>
      </w:r>
      <w:bookmarkStart w:id="5"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AF530F">
        <w:rPr>
          <w:rFonts w:ascii="Sylfaen" w:hAnsi="Sylfaen" w:cs="Arial"/>
        </w:rPr>
      </w:r>
      <w:r w:rsidR="00AF530F">
        <w:rPr>
          <w:rFonts w:ascii="Sylfaen" w:hAnsi="Sylfaen" w:cs="Arial"/>
        </w:rPr>
        <w:fldChar w:fldCharType="separate"/>
      </w:r>
      <w:r w:rsidR="004617F0">
        <w:rPr>
          <w:rFonts w:ascii="Sylfaen" w:hAnsi="Sylfaen" w:cs="Arial"/>
        </w:rPr>
        <w:fldChar w:fldCharType="end"/>
      </w:r>
      <w:bookmarkEnd w:id="5"/>
      <w:r w:rsidR="00FE4D99">
        <w:rPr>
          <w:rFonts w:ascii="Sylfaen" w:hAnsi="Sylfaen" w:cs="Arial"/>
        </w:rPr>
        <w:t xml:space="preserve"> </w:t>
      </w:r>
      <w:r w:rsidR="007B1C37">
        <w:rPr>
          <w:rFonts w:ascii="Sylfaen" w:hAnsi="Sylfaen" w:cs="Arial"/>
        </w:rPr>
        <w:t>a deportation</w:t>
      </w:r>
      <w:r w:rsidR="00FE4D99">
        <w:rPr>
          <w:rFonts w:ascii="Sylfaen" w:hAnsi="Sylfaen" w:cs="Arial"/>
        </w:rPr>
        <w:t xml:space="preserve"> appeal by a citizen of </w:t>
      </w:r>
      <w:r w:rsidR="007B1C37">
        <w:rPr>
          <w:rFonts w:ascii="Sylfaen" w:hAnsi="Sylfaen" w:cs="Arial"/>
        </w:rPr>
        <w:t>Chile</w:t>
      </w:r>
      <w:r w:rsidR="00102EBC">
        <w:rPr>
          <w:rFonts w:ascii="Sylfaen" w:hAnsi="Sylfaen" w:cs="Arial"/>
        </w:rPr>
        <w:t xml:space="preserve">, born </w:t>
      </w:r>
      <w:r w:rsidR="007B1C37">
        <w:rPr>
          <w:rFonts w:ascii="Sylfaen" w:hAnsi="Sylfaen" w:cs="Arial"/>
        </w:rPr>
        <w:t>1984</w:t>
      </w:r>
      <w:r w:rsidR="00FE4D99">
        <w:rPr>
          <w:rFonts w:ascii="Sylfaen" w:hAnsi="Sylfaen" w:cs="Arial"/>
        </w:rPr>
        <w:t>.</w:t>
      </w:r>
    </w:p>
    <w:p w14:paraId="1C6E6ED1" w14:textId="77777777" w:rsidR="004617F0" w:rsidRDefault="007B1C37"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had arrived in </w:t>
      </w:r>
      <w:r w:rsidRPr="007B1C37">
        <w:rPr>
          <w:rFonts w:ascii="Sylfaen" w:hAnsi="Sylfaen" w:cs="Arial"/>
          <w:color w:val="000000"/>
          <w:szCs w:val="28"/>
        </w:rPr>
        <w:t>Northern Ireland</w:t>
      </w:r>
      <w:r>
        <w:rPr>
          <w:rFonts w:ascii="Sylfaen" w:hAnsi="Sylfaen" w:cs="Arial"/>
          <w:color w:val="000000"/>
          <w:szCs w:val="28"/>
        </w:rPr>
        <w:t xml:space="preserve"> </w:t>
      </w:r>
      <w:r>
        <w:rPr>
          <w:rFonts w:ascii="Sylfaen" w:hAnsi="Sylfaen" w:cs="Arial"/>
        </w:rPr>
        <w:t xml:space="preserve">from the Republic of Ireland in 2008, but did not come to the notice of the </w:t>
      </w:r>
      <w:r w:rsidR="006047DD">
        <w:rPr>
          <w:rFonts w:ascii="Sylfaen" w:hAnsi="Sylfaen" w:cs="Arial"/>
        </w:rPr>
        <w:t>UK authorities till met with by immigration officers at the port of Liverpool in 2016</w:t>
      </w:r>
      <w:r w:rsidR="007C5F1C">
        <w:rPr>
          <w:rFonts w:ascii="Sylfaen" w:hAnsi="Sylfaen" w:cs="Arial"/>
        </w:rPr>
        <w:t>, when he was detained as an illegal entrant</w:t>
      </w:r>
      <w:r w:rsidR="006047DD">
        <w:rPr>
          <w:rFonts w:ascii="Sylfaen" w:hAnsi="Sylfaen" w:cs="Arial"/>
        </w:rPr>
        <w:t xml:space="preserve">. He told them about his family life over here, which I shall come back to; but further inquiries showed he had been convicted of robbery in Chile in 2004, and sentenced to five years and a day’s imprisonment. On 5 July 2016 he was served with a decision to deport him, as someone whose presence was not conducive to the public good. As the judge was well aware, his foreign </w:t>
      </w:r>
      <w:r w:rsidR="006047DD" w:rsidRPr="006047DD">
        <w:rPr>
          <w:rFonts w:ascii="Sylfaen" w:hAnsi="Sylfaen" w:cs="Arial"/>
        </w:rPr>
        <w:t>conviction</w:t>
      </w:r>
      <w:r w:rsidR="006047DD">
        <w:rPr>
          <w:rFonts w:ascii="Sylfaen" w:hAnsi="Sylfaen" w:cs="Arial"/>
        </w:rPr>
        <w:t xml:space="preserve"> did not make him a ‘foreign criminal’. The appellant made </w:t>
      </w:r>
      <w:r w:rsidR="00AD4602">
        <w:rPr>
          <w:rFonts w:ascii="Sylfaen" w:hAnsi="Sylfaen" w:cs="Arial"/>
        </w:rPr>
        <w:t>a human right</w:t>
      </w:r>
      <w:r w:rsidR="006047DD">
        <w:rPr>
          <w:rFonts w:ascii="Sylfaen" w:hAnsi="Sylfaen" w:cs="Arial"/>
        </w:rPr>
        <w:t xml:space="preserve"> </w:t>
      </w:r>
      <w:r w:rsidR="006047DD">
        <w:rPr>
          <w:rFonts w:ascii="Sylfaen" w:hAnsi="Sylfaen" w:cs="Arial"/>
        </w:rPr>
        <w:lastRenderedPageBreak/>
        <w:t xml:space="preserve">claim in response to the deportation notice, which was refused in another decision, served on him </w:t>
      </w:r>
      <w:r w:rsidR="007C5F1C">
        <w:rPr>
          <w:rFonts w:ascii="Sylfaen" w:hAnsi="Sylfaen" w:cs="Arial"/>
        </w:rPr>
        <w:t>on 14 April 2017.</w:t>
      </w:r>
    </w:p>
    <w:p w14:paraId="539E0DAF" w14:textId="7350528B" w:rsidR="007C5F1C" w:rsidRDefault="007C5F1C"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Meanwhile the appellant had met a British/Irish citizen called </w:t>
      </w:r>
      <w:r w:rsidR="00FA2113">
        <w:rPr>
          <w:rFonts w:ascii="Sylfaen" w:hAnsi="Sylfaen" w:cs="Arial"/>
        </w:rPr>
        <w:t>[</w:t>
      </w:r>
      <w:r>
        <w:rPr>
          <w:rFonts w:ascii="Sylfaen" w:hAnsi="Sylfaen" w:cs="Arial"/>
        </w:rPr>
        <w:t>AM</w:t>
      </w:r>
      <w:r w:rsidR="00FA2113">
        <w:rPr>
          <w:rFonts w:ascii="Sylfaen" w:hAnsi="Sylfaen" w:cs="Arial"/>
        </w:rPr>
        <w:t>]</w:t>
      </w:r>
      <w:r>
        <w:rPr>
          <w:rFonts w:ascii="Sylfaen" w:hAnsi="Sylfaen" w:cs="Arial"/>
        </w:rPr>
        <w:t xml:space="preserve">, and they had had two children, C in 2012 and L in 2013:  already had R, born 2004, by a previous relationship. By the date of the hearing before the judge, the appellant and </w:t>
      </w:r>
      <w:r w:rsidR="00FA2113">
        <w:rPr>
          <w:rFonts w:ascii="Sylfaen" w:hAnsi="Sylfaen" w:cs="Arial"/>
        </w:rPr>
        <w:t>[AM]</w:t>
      </w:r>
      <w:r>
        <w:rPr>
          <w:rFonts w:ascii="Sylfaen" w:hAnsi="Sylfaen" w:cs="Arial"/>
        </w:rPr>
        <w:t xml:space="preserve"> and </w:t>
      </w:r>
      <w:r w:rsidR="00392F76">
        <w:rPr>
          <w:rFonts w:ascii="Sylfaen" w:hAnsi="Sylfaen" w:cs="Arial"/>
        </w:rPr>
        <w:t xml:space="preserve">the </w:t>
      </w:r>
      <w:r>
        <w:rPr>
          <w:rFonts w:ascii="Sylfaen" w:hAnsi="Sylfaen" w:cs="Arial"/>
        </w:rPr>
        <w:t>children were living apart; but in his witness statement he asserted their intention of getting back together. Both C and L had problems, C with chronic asthma and L with speech difficulties.</w:t>
      </w:r>
      <w:r w:rsidR="00896FD0">
        <w:rPr>
          <w:rFonts w:ascii="Sylfaen" w:hAnsi="Sylfaen" w:cs="Arial"/>
        </w:rPr>
        <w:t xml:space="preserve"> The judge</w:t>
      </w:r>
      <w:r w:rsidR="00392F76">
        <w:rPr>
          <w:rFonts w:ascii="Sylfaen" w:hAnsi="Sylfaen" w:cs="Arial"/>
        </w:rPr>
        <w:t xml:space="preserve"> also </w:t>
      </w:r>
      <w:r w:rsidR="00896FD0">
        <w:rPr>
          <w:rFonts w:ascii="Sylfaen" w:hAnsi="Sylfaen" w:cs="Arial"/>
        </w:rPr>
        <w:t xml:space="preserve">had </w:t>
      </w:r>
      <w:r w:rsidR="00392F76">
        <w:rPr>
          <w:rFonts w:ascii="Sylfaen" w:hAnsi="Sylfaen" w:cs="Arial"/>
        </w:rPr>
        <w:t>a ‘grounding affidavit’</w:t>
      </w:r>
      <w:r w:rsidR="00896FD0">
        <w:rPr>
          <w:rFonts w:ascii="Sylfaen" w:hAnsi="Sylfaen" w:cs="Arial"/>
        </w:rPr>
        <w:t xml:space="preserve"> </w:t>
      </w:r>
      <w:r w:rsidR="00392F76">
        <w:rPr>
          <w:rFonts w:ascii="Sylfaen" w:hAnsi="Sylfaen" w:cs="Arial"/>
        </w:rPr>
        <w:t xml:space="preserve">by </w:t>
      </w:r>
      <w:r w:rsidR="00FA2113">
        <w:rPr>
          <w:rFonts w:ascii="Sylfaen" w:hAnsi="Sylfaen" w:cs="Arial"/>
        </w:rPr>
        <w:t>[AM]</w:t>
      </w:r>
      <w:r w:rsidR="00896FD0">
        <w:rPr>
          <w:rFonts w:ascii="Sylfaen" w:hAnsi="Sylfaen" w:cs="Arial"/>
        </w:rPr>
        <w:t>, sworn in January 2016 in the judicial review proceedings which followed the appellant’s detention.</w:t>
      </w:r>
    </w:p>
    <w:p w14:paraId="717FD088" w14:textId="70AAF821" w:rsidR="007C5F1C" w:rsidRPr="00896FD0" w:rsidRDefault="00392F76"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On 20 July 2017, the day before the hearing, </w:t>
      </w:r>
      <w:r w:rsidR="00896FD0">
        <w:rPr>
          <w:rFonts w:ascii="Sylfaen" w:hAnsi="Sylfaen" w:cs="Arial"/>
        </w:rPr>
        <w:t xml:space="preserve">the appellant’s solicitors e-mailed the Tribunal to say that </w:t>
      </w:r>
      <w:r w:rsidR="00FA2113">
        <w:rPr>
          <w:rFonts w:ascii="Sylfaen" w:hAnsi="Sylfaen" w:cs="Arial"/>
        </w:rPr>
        <w:t>[AM]</w:t>
      </w:r>
      <w:r w:rsidR="00896FD0">
        <w:rPr>
          <w:rFonts w:ascii="Sylfaen" w:hAnsi="Sylfaen" w:cs="Arial"/>
        </w:rPr>
        <w:t xml:space="preserve">, who had previously told them she would be there, had sent them a text to say that she couldn’t, as her mother was ill and her sister-in-law on holiday. Mr </w:t>
      </w:r>
      <w:proofErr w:type="spellStart"/>
      <w:r w:rsidR="00896FD0">
        <w:rPr>
          <w:rFonts w:ascii="Sylfaen" w:hAnsi="Sylfaen" w:cs="Arial"/>
        </w:rPr>
        <w:t>Natur</w:t>
      </w:r>
      <w:proofErr w:type="spellEnd"/>
      <w:r w:rsidR="00896FD0">
        <w:rPr>
          <w:rFonts w:ascii="Sylfaen" w:hAnsi="Sylfaen" w:cs="Arial"/>
        </w:rPr>
        <w:t xml:space="preserve"> repeated this application before the judge, who dealt with it at paragraphs 9, 10 (where he dealt with </w:t>
      </w:r>
      <w:hyperlink r:id="rId8" w:history="1">
        <w:proofErr w:type="spellStart"/>
        <w:r w:rsidR="00896FD0" w:rsidRPr="00896FD0">
          <w:rPr>
            <w:rFonts w:ascii="Sylfaen" w:hAnsi="Sylfaen" w:cs="Arial"/>
            <w:i/>
            <w:color w:val="000000"/>
          </w:rPr>
          <w:t>Nwaigwe</w:t>
        </w:r>
        <w:proofErr w:type="spellEnd"/>
        <w:r w:rsidR="00896FD0" w:rsidRPr="00896FD0">
          <w:rPr>
            <w:rFonts w:ascii="Sylfaen" w:hAnsi="Sylfaen" w:cs="Arial"/>
            <w:color w:val="000000"/>
          </w:rPr>
          <w:t xml:space="preserve"> (adjournment: fairness) [2014] UKUT 418 (IAC)</w:t>
        </w:r>
      </w:hyperlink>
      <w:r w:rsidR="00896FD0">
        <w:rPr>
          <w:rFonts w:ascii="Sylfaen" w:hAnsi="Sylfaen" w:cs="Arial"/>
          <w:color w:val="000000"/>
        </w:rPr>
        <w:t xml:space="preserve"> and the Procedure Rules, and 11, where he gave his reasons as follows:</w:t>
      </w:r>
    </w:p>
    <w:p w14:paraId="4F6FE911" w14:textId="4BD02CC4" w:rsidR="00896FD0" w:rsidRPr="00C97973" w:rsidRDefault="00896FD0" w:rsidP="00C97973">
      <w:pPr>
        <w:numPr>
          <w:ilvl w:val="0"/>
          <w:numId w:val="4"/>
        </w:numPr>
        <w:spacing w:after="120"/>
        <w:ind w:left="1134" w:hanging="567"/>
        <w:jc w:val="both"/>
        <w:rPr>
          <w:rFonts w:ascii="Sylfaen" w:hAnsi="Sylfaen" w:cs="Arial"/>
        </w:rPr>
      </w:pPr>
      <w:r w:rsidRPr="00C97973">
        <w:rPr>
          <w:rFonts w:ascii="Sylfaen" w:hAnsi="Sylfaen" w:cs="Arial"/>
          <w:color w:val="000000"/>
        </w:rPr>
        <w:t>the children could have been brought to the hearing</w:t>
      </w:r>
      <w:r w:rsidR="00C97973">
        <w:rPr>
          <w:rFonts w:ascii="Sylfaen" w:hAnsi="Sylfaen" w:cs="Arial"/>
          <w:color w:val="000000"/>
        </w:rPr>
        <w:t>;</w:t>
      </w:r>
    </w:p>
    <w:p w14:paraId="134D0E2A" w14:textId="1FF1D033" w:rsidR="00C97973" w:rsidRDefault="00C97973" w:rsidP="00C97973">
      <w:pPr>
        <w:numPr>
          <w:ilvl w:val="0"/>
          <w:numId w:val="4"/>
        </w:numPr>
        <w:spacing w:after="120"/>
        <w:ind w:left="1134" w:hanging="567"/>
        <w:jc w:val="both"/>
        <w:rPr>
          <w:rFonts w:ascii="Sylfaen" w:hAnsi="Sylfaen" w:cs="Arial"/>
        </w:rPr>
      </w:pPr>
      <w:r>
        <w:rPr>
          <w:rFonts w:ascii="Sylfaen" w:hAnsi="Sylfaen" w:cs="Arial"/>
        </w:rPr>
        <w:t xml:space="preserve">there was no evidence that </w:t>
      </w:r>
      <w:r w:rsidR="00FA2113">
        <w:rPr>
          <w:rFonts w:ascii="Sylfaen" w:hAnsi="Sylfaen" w:cs="Arial"/>
        </w:rPr>
        <w:t>[AM]</w:t>
      </w:r>
      <w:r>
        <w:rPr>
          <w:rFonts w:ascii="Sylfaen" w:hAnsi="Sylfaen" w:cs="Arial"/>
        </w:rPr>
        <w:t>’s mother was critically ill;</w:t>
      </w:r>
    </w:p>
    <w:p w14:paraId="0E2524B2" w14:textId="71B43BBA" w:rsidR="00C97973" w:rsidRDefault="00C97973" w:rsidP="00C97973">
      <w:pPr>
        <w:numPr>
          <w:ilvl w:val="0"/>
          <w:numId w:val="4"/>
        </w:numPr>
        <w:spacing w:after="120"/>
        <w:ind w:left="1134" w:hanging="567"/>
        <w:jc w:val="both"/>
        <w:rPr>
          <w:rFonts w:ascii="Sylfaen" w:hAnsi="Sylfaen" w:cs="Arial"/>
        </w:rPr>
      </w:pPr>
      <w:r>
        <w:rPr>
          <w:rFonts w:ascii="Sylfaen" w:hAnsi="Sylfaen" w:cs="Arial"/>
        </w:rPr>
        <w:t xml:space="preserve">it was not clear that </w:t>
      </w:r>
      <w:r w:rsidR="00FA2113">
        <w:rPr>
          <w:rFonts w:ascii="Sylfaen" w:hAnsi="Sylfaen" w:cs="Arial"/>
        </w:rPr>
        <w:t>[AM]</w:t>
      </w:r>
      <w:r>
        <w:rPr>
          <w:rFonts w:ascii="Sylfaen" w:hAnsi="Sylfaen" w:cs="Arial"/>
        </w:rPr>
        <w:t xml:space="preserve"> would come to give evidence at any adjourned hearing; and </w:t>
      </w:r>
    </w:p>
    <w:p w14:paraId="41FD866C" w14:textId="7DD7DB33" w:rsidR="00C97973" w:rsidRDefault="00C97973" w:rsidP="00C97973">
      <w:pPr>
        <w:numPr>
          <w:ilvl w:val="0"/>
          <w:numId w:val="4"/>
        </w:numPr>
        <w:spacing w:after="120"/>
        <w:ind w:left="1134" w:hanging="567"/>
        <w:jc w:val="both"/>
        <w:rPr>
          <w:rFonts w:ascii="Sylfaen" w:hAnsi="Sylfaen" w:cs="Arial"/>
        </w:rPr>
      </w:pPr>
      <w:r>
        <w:rPr>
          <w:rFonts w:ascii="Sylfaen" w:hAnsi="Sylfaen" w:cs="Arial"/>
        </w:rPr>
        <w:t>her evidence was not essential to the appellant’s case.</w:t>
      </w:r>
    </w:p>
    <w:p w14:paraId="361ABB32" w14:textId="77777777" w:rsidR="00857066" w:rsidRDefault="00857066" w:rsidP="00857066">
      <w:pPr>
        <w:numPr>
          <w:ilvl w:val="0"/>
          <w:numId w:val="1"/>
        </w:numPr>
        <w:tabs>
          <w:tab w:val="clear" w:pos="757"/>
          <w:tab w:val="num" w:pos="567"/>
        </w:tabs>
        <w:spacing w:after="120"/>
        <w:ind w:left="567" w:hanging="567"/>
        <w:jc w:val="both"/>
        <w:rPr>
          <w:rFonts w:ascii="Sylfaen" w:hAnsi="Sylfaen" w:cs="Arial"/>
        </w:rPr>
      </w:pPr>
      <w:r>
        <w:rPr>
          <w:rFonts w:ascii="Sylfaen" w:hAnsi="Sylfaen" w:cs="Arial"/>
        </w:rPr>
        <w:t>Mr Matthews conceded at the start of the hearing before me that, while points (a) and (b) were, as he saw it, perfectly valid, the same was not the case with (c) or (d), and in his view the appeal must be allowed, with a direction for a fresh hearing. I take the same view, for reasons which I shall explain.</w:t>
      </w:r>
    </w:p>
    <w:p w14:paraId="3A8C3E76" w14:textId="22DEDAF9" w:rsidR="00857066" w:rsidRDefault="00FA2113" w:rsidP="00857066">
      <w:pPr>
        <w:numPr>
          <w:ilvl w:val="0"/>
          <w:numId w:val="1"/>
        </w:numPr>
        <w:tabs>
          <w:tab w:val="clear" w:pos="757"/>
          <w:tab w:val="num" w:pos="567"/>
        </w:tabs>
        <w:spacing w:after="120"/>
        <w:ind w:left="567" w:hanging="567"/>
        <w:jc w:val="both"/>
        <w:rPr>
          <w:rFonts w:ascii="Sylfaen" w:hAnsi="Sylfaen" w:cs="Arial"/>
        </w:rPr>
      </w:pPr>
      <w:r>
        <w:rPr>
          <w:rFonts w:ascii="Sylfaen" w:hAnsi="Sylfaen" w:cs="Arial"/>
        </w:rPr>
        <w:t>[AM]</w:t>
      </w:r>
      <w:r w:rsidR="007C6AAA">
        <w:rPr>
          <w:rFonts w:ascii="Sylfaen" w:hAnsi="Sylfaen" w:cs="Arial"/>
        </w:rPr>
        <w:t xml:space="preserve"> had supported the appellant’s case in the judicial review proceedings, and her affidavit from those was before the judge: she had been in touch with the appellant’s solicitors in advance of the hearing, and, whatever the judge thought of her reasons for not coming this time, there was no real basis for taking the view that she would not come to an adjourned hearing. </w:t>
      </w:r>
    </w:p>
    <w:p w14:paraId="314511C8" w14:textId="77777777" w:rsidR="007C6AAA" w:rsidRPr="00724CC1" w:rsidRDefault="007C6AAA" w:rsidP="00857066">
      <w:pPr>
        <w:numPr>
          <w:ilvl w:val="0"/>
          <w:numId w:val="1"/>
        </w:numPr>
        <w:tabs>
          <w:tab w:val="clear" w:pos="757"/>
          <w:tab w:val="num" w:pos="567"/>
        </w:tabs>
        <w:spacing w:after="120"/>
        <w:ind w:left="567" w:hanging="567"/>
        <w:jc w:val="both"/>
        <w:rPr>
          <w:rFonts w:ascii="Sylfaen" w:hAnsi="Sylfaen" w:cs="Arial"/>
        </w:rPr>
      </w:pPr>
      <w:r>
        <w:rPr>
          <w:rFonts w:ascii="Sylfaen" w:hAnsi="Sylfaen" w:cs="Arial"/>
        </w:rPr>
        <w:t xml:space="preserve">So far as the importance of her evidence is concerned, the judge was perfectly justified, in this case of an overseas sentence, in considering by way of analogy the provisions of s.117C of the </w:t>
      </w:r>
      <w:hyperlink r:id="rId9" w:history="1">
        <w:r w:rsidRPr="007C6AAA">
          <w:rPr>
            <w:rFonts w:ascii="Sylfaen" w:hAnsi="Sylfaen" w:cs="Arial"/>
            <w:color w:val="000000"/>
          </w:rPr>
          <w:t>Nationality, Immigration and Asylum Act 2002</w:t>
        </w:r>
      </w:hyperlink>
      <w:r>
        <w:rPr>
          <w:rFonts w:ascii="Sylfaen" w:hAnsi="Sylfaen" w:cs="Arial"/>
          <w:color w:val="000000"/>
        </w:rPr>
        <w:t xml:space="preserve"> about those sentenced to imprisonment for four years or more. On the other hand, </w:t>
      </w:r>
      <w:r w:rsidR="00724CC1">
        <w:rPr>
          <w:rFonts w:ascii="Sylfaen" w:hAnsi="Sylfaen" w:cs="Arial"/>
          <w:color w:val="000000"/>
        </w:rPr>
        <w:t xml:space="preserve">he was not obliged by those provisions, since this appellant was not a ‘foreign criminal’ in their terms, to require him to show </w:t>
      </w:r>
      <w:r w:rsidR="00724CC1" w:rsidRPr="00724CC1">
        <w:rPr>
          <w:rFonts w:ascii="Sylfaen" w:hAnsi="Sylfaen" w:cs="Arial"/>
          <w:color w:val="000000"/>
        </w:rPr>
        <w:t>‘very compelling circumstances over and above those described in Exceptions 1 and 2’</w:t>
      </w:r>
      <w:r w:rsidR="00724CC1">
        <w:rPr>
          <w:rFonts w:ascii="Sylfaen" w:hAnsi="Sylfaen" w:cs="Arial"/>
          <w:color w:val="000000"/>
        </w:rPr>
        <w:t xml:space="preserve"> if his deportation were not to be in the public interest.</w:t>
      </w:r>
    </w:p>
    <w:p w14:paraId="41C7E220" w14:textId="66401B89" w:rsidR="00724CC1" w:rsidRPr="00724CC1" w:rsidRDefault="00724CC1" w:rsidP="00857066">
      <w:pPr>
        <w:numPr>
          <w:ilvl w:val="0"/>
          <w:numId w:val="1"/>
        </w:numPr>
        <w:tabs>
          <w:tab w:val="clear" w:pos="757"/>
          <w:tab w:val="num" w:pos="567"/>
        </w:tabs>
        <w:spacing w:after="120"/>
        <w:ind w:left="567" w:hanging="567"/>
        <w:jc w:val="both"/>
        <w:rPr>
          <w:rFonts w:ascii="Sylfaen" w:hAnsi="Sylfaen" w:cs="Arial"/>
        </w:rPr>
      </w:pPr>
      <w:r>
        <w:rPr>
          <w:rFonts w:ascii="Sylfaen" w:hAnsi="Sylfaen" w:cs="Arial"/>
          <w:color w:val="000000"/>
        </w:rPr>
        <w:t xml:space="preserve">Both the appellant and </w:t>
      </w:r>
      <w:r w:rsidR="00FA2113">
        <w:rPr>
          <w:rFonts w:ascii="Sylfaen" w:hAnsi="Sylfaen" w:cs="Arial"/>
        </w:rPr>
        <w:t>[AM]</w:t>
      </w:r>
      <w:r>
        <w:rPr>
          <w:rFonts w:ascii="Sylfaen" w:hAnsi="Sylfaen" w:cs="Arial"/>
          <w:color w:val="000000"/>
        </w:rPr>
        <w:t xml:space="preserve"> had expressed the intention of getting back together again: their children had some </w:t>
      </w:r>
      <w:r w:rsidRPr="00724CC1">
        <w:rPr>
          <w:rFonts w:ascii="Sylfaen" w:hAnsi="Sylfaen" w:cs="Arial"/>
          <w:color w:val="000000"/>
        </w:rPr>
        <w:t>significant</w:t>
      </w:r>
      <w:r>
        <w:rPr>
          <w:rFonts w:ascii="Sylfaen" w:hAnsi="Sylfaen" w:cs="Arial"/>
          <w:color w:val="000000"/>
        </w:rPr>
        <w:t xml:space="preserve"> health problems, and, if this appeal were to be meaningful, then the judge needed to take a view, on her evidence as well as his, about the likelihood and necessity of his providing </w:t>
      </w:r>
      <w:r w:rsidRPr="00724CC1">
        <w:rPr>
          <w:rFonts w:ascii="Sylfaen" w:hAnsi="Sylfaen" w:cs="Arial"/>
          <w:color w:val="000000"/>
        </w:rPr>
        <w:t>significant</w:t>
      </w:r>
      <w:r>
        <w:rPr>
          <w:rFonts w:ascii="Sylfaen" w:hAnsi="Sylfaen" w:cs="Arial"/>
          <w:color w:val="000000"/>
        </w:rPr>
        <w:t xml:space="preserve"> support for her and them, and to weigh it against his Chilean conviction from 2004 in the light of the relevant law.</w:t>
      </w:r>
    </w:p>
    <w:p w14:paraId="2C3AAF81" w14:textId="77777777" w:rsidR="00724CC1" w:rsidRPr="00724CC1" w:rsidRDefault="00724CC1" w:rsidP="00857066">
      <w:pPr>
        <w:numPr>
          <w:ilvl w:val="0"/>
          <w:numId w:val="1"/>
        </w:numPr>
        <w:tabs>
          <w:tab w:val="clear" w:pos="757"/>
          <w:tab w:val="num" w:pos="567"/>
        </w:tabs>
        <w:spacing w:after="120"/>
        <w:ind w:left="567" w:hanging="567"/>
        <w:jc w:val="both"/>
        <w:rPr>
          <w:rFonts w:ascii="Sylfaen" w:hAnsi="Sylfaen" w:cs="Arial"/>
        </w:rPr>
      </w:pPr>
      <w:r>
        <w:rPr>
          <w:rFonts w:ascii="Sylfaen" w:hAnsi="Sylfaen" w:cs="Arial"/>
          <w:color w:val="000000"/>
        </w:rPr>
        <w:lastRenderedPageBreak/>
        <w:t>For these reasons there will need to be a fresh hearing.</w:t>
      </w:r>
    </w:p>
    <w:p w14:paraId="626BC572" w14:textId="77777777" w:rsidR="009F5220" w:rsidRDefault="008F23F4" w:rsidP="00780F86">
      <w:pPr>
        <w:ind w:left="540" w:hanging="540"/>
        <w:jc w:val="both"/>
        <w:rPr>
          <w:rFonts w:ascii="Sylfaen" w:hAnsi="Sylfaen" w:cs="Arial"/>
          <w:b/>
        </w:rPr>
      </w:pPr>
      <w:r>
        <w:rPr>
          <w:rFonts w:ascii="Sylfaen" w:hAnsi="Sylfaen" w:cs="Arial"/>
          <w:b/>
        </w:rPr>
        <w:t xml:space="preserve">Appeal </w:t>
      </w:r>
      <w:r w:rsidR="00724CC1">
        <w:rPr>
          <w:rFonts w:ascii="Sylfaen" w:hAnsi="Sylfaen" w:cs="Arial"/>
          <w:b/>
        </w:rPr>
        <w:fldChar w:fldCharType="begin">
          <w:ffData>
            <w:name w:val="Dropdown3"/>
            <w:enabled/>
            <w:calcOnExit w:val="0"/>
            <w:ddList>
              <w:listEntry w:val="allowed"/>
              <w:listEntry w:val="dismissed"/>
            </w:ddList>
          </w:ffData>
        </w:fldChar>
      </w:r>
      <w:bookmarkStart w:id="6" w:name="Dropdown3"/>
      <w:r w:rsidR="00724CC1">
        <w:rPr>
          <w:rFonts w:ascii="Sylfaen" w:hAnsi="Sylfaen" w:cs="Arial"/>
          <w:b/>
        </w:rPr>
        <w:instrText xml:space="preserve"> FORMDROPDOWN </w:instrText>
      </w:r>
      <w:r w:rsidR="00AF530F">
        <w:rPr>
          <w:rFonts w:ascii="Sylfaen" w:hAnsi="Sylfaen" w:cs="Arial"/>
          <w:b/>
        </w:rPr>
      </w:r>
      <w:r w:rsidR="00AF530F">
        <w:rPr>
          <w:rFonts w:ascii="Sylfaen" w:hAnsi="Sylfaen" w:cs="Arial"/>
          <w:b/>
        </w:rPr>
        <w:fldChar w:fldCharType="separate"/>
      </w:r>
      <w:r w:rsidR="00724CC1">
        <w:rPr>
          <w:rFonts w:ascii="Sylfaen" w:hAnsi="Sylfaen" w:cs="Arial"/>
          <w:b/>
        </w:rPr>
        <w:fldChar w:fldCharType="end"/>
      </w:r>
      <w:bookmarkEnd w:id="6"/>
      <w:r w:rsidR="00724CC1">
        <w:rPr>
          <w:rFonts w:ascii="Sylfaen" w:hAnsi="Sylfaen" w:cs="Arial"/>
          <w:b/>
        </w:rPr>
        <w:t>: first-tier decision set aside</w:t>
      </w:r>
    </w:p>
    <w:p w14:paraId="5B82A198" w14:textId="77777777" w:rsidR="00724CC1" w:rsidRPr="008F23F4" w:rsidRDefault="00724CC1" w:rsidP="00780F86">
      <w:pPr>
        <w:ind w:left="540" w:hanging="540"/>
        <w:jc w:val="both"/>
        <w:rPr>
          <w:rFonts w:ascii="Sylfaen" w:hAnsi="Sylfaen" w:cs="Arial"/>
          <w:b/>
        </w:rPr>
      </w:pPr>
      <w:r>
        <w:rPr>
          <w:rFonts w:ascii="Sylfaen" w:hAnsi="Sylfaen" w:cs="Arial"/>
          <w:b/>
        </w:rPr>
        <w:t xml:space="preserve">Fresh hearing in First-Tier Tribunal at Belfast, not before </w:t>
      </w:r>
      <w:r w:rsidR="00FB4200" w:rsidRPr="00FB4200">
        <w:rPr>
          <w:rFonts w:ascii="Sylfaen" w:hAnsi="Sylfaen" w:cs="Arial"/>
          <w:b/>
        </w:rPr>
        <w:t xml:space="preserve">Judge </w:t>
      </w:r>
      <w:proofErr w:type="spellStart"/>
      <w:r w:rsidR="00FB4200" w:rsidRPr="00FB4200">
        <w:rPr>
          <w:rFonts w:ascii="Sylfaen" w:hAnsi="Sylfaen" w:cs="Arial"/>
          <w:b/>
        </w:rPr>
        <w:t>Farrelly</w:t>
      </w:r>
      <w:proofErr w:type="spellEnd"/>
    </w:p>
    <w:p w14:paraId="3D7E35BC" w14:textId="06948D4A" w:rsidR="00B95326" w:rsidRDefault="00FF1E45" w:rsidP="00F07170">
      <w:pPr>
        <w:ind w:left="4508" w:hanging="539"/>
        <w:rPr>
          <w:rFonts w:ascii="Sylfaen" w:hAnsi="Sylfaen" w:cs="Arial"/>
          <w:color w:val="000000"/>
        </w:rPr>
      </w:pPr>
      <w:r w:rsidRPr="00A544A8">
        <w:rPr>
          <w:rFonts w:ascii="Sylfaen" w:hAnsi="Sylfaen" w:cs="Arial"/>
          <w:b/>
          <w:noProof/>
        </w:rPr>
        <w:drawing>
          <wp:inline distT="0" distB="0" distL="0" distR="0" wp14:anchorId="1DAF89F8" wp14:editId="487333BC">
            <wp:extent cx="214312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AD4602">
        <w:rPr>
          <w:rFonts w:ascii="Sylfaen" w:hAnsi="Sylfaen" w:cs="Arial"/>
        </w:rPr>
        <w:t xml:space="preserve">    </w:t>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p w14:paraId="2DE04E41" w14:textId="77777777" w:rsidR="00AD4602" w:rsidRPr="00A544A8" w:rsidRDefault="00AD4602" w:rsidP="00F07170">
      <w:pPr>
        <w:ind w:left="4508" w:hanging="539"/>
        <w:rPr>
          <w:rFonts w:ascii="Sylfaen" w:hAnsi="Sylfaen" w:cs="Arial"/>
          <w:color w:val="000000"/>
        </w:rPr>
      </w:pPr>
      <w:r>
        <w:rPr>
          <w:rFonts w:ascii="Sylfaen" w:hAnsi="Sylfaen" w:cs="Arial"/>
          <w:b/>
        </w:rPr>
        <w:tab/>
      </w:r>
      <w:r>
        <w:rPr>
          <w:rFonts w:ascii="Sylfaen" w:hAnsi="Sylfaen" w:cs="Arial"/>
          <w:b/>
        </w:rPr>
        <w:tab/>
      </w:r>
      <w:r>
        <w:rPr>
          <w:rFonts w:ascii="Sylfaen" w:hAnsi="Sylfaen" w:cs="Arial"/>
          <w:b/>
        </w:rPr>
        <w:tab/>
      </w:r>
      <w:r>
        <w:rPr>
          <w:rFonts w:ascii="Sylfaen" w:hAnsi="Sylfaen" w:cs="Arial"/>
          <w:b/>
        </w:rPr>
        <w:tab/>
      </w:r>
      <w:r>
        <w:rPr>
          <w:rFonts w:ascii="Sylfaen" w:hAnsi="Sylfaen" w:cs="Arial"/>
          <w:b/>
        </w:rPr>
        <w:tab/>
        <w:t>Date: 25 July 2018</w:t>
      </w:r>
    </w:p>
    <w:sectPr w:rsidR="00AD4602"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27E8" w14:textId="77777777" w:rsidR="00A01790" w:rsidRDefault="00A01790">
      <w:r>
        <w:separator/>
      </w:r>
    </w:p>
  </w:endnote>
  <w:endnote w:type="continuationSeparator" w:id="0">
    <w:p w14:paraId="26DBBF5B" w14:textId="77777777" w:rsidR="00A01790" w:rsidRDefault="00A0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AD07" w14:textId="4DFD63EB" w:rsidR="00374981" w:rsidRPr="00EE386F" w:rsidRDefault="00374981" w:rsidP="00593795">
    <w:pPr>
      <w:pStyle w:val="Footer"/>
      <w:jc w:val="center"/>
      <w:rPr>
        <w:rFonts w:ascii="Sylfaen" w:hAnsi="Sylfaen" w:cs="Arial"/>
        <w:sz w:val="20"/>
        <w:szCs w:val="22"/>
      </w:rPr>
    </w:pPr>
    <w:r w:rsidRPr="00EE386F">
      <w:rPr>
        <w:rStyle w:val="PageNumber"/>
        <w:rFonts w:ascii="Sylfaen" w:hAnsi="Sylfaen" w:cs="Arial"/>
        <w:sz w:val="20"/>
        <w:szCs w:val="22"/>
      </w:rPr>
      <w:fldChar w:fldCharType="begin"/>
    </w:r>
    <w:r w:rsidRPr="00EE386F">
      <w:rPr>
        <w:rStyle w:val="PageNumber"/>
        <w:rFonts w:ascii="Sylfaen" w:hAnsi="Sylfaen" w:cs="Arial"/>
        <w:sz w:val="20"/>
        <w:szCs w:val="22"/>
      </w:rPr>
      <w:instrText xml:space="preserve"> PAGE </w:instrText>
    </w:r>
    <w:r w:rsidRPr="00EE386F">
      <w:rPr>
        <w:rStyle w:val="PageNumber"/>
        <w:rFonts w:ascii="Sylfaen" w:hAnsi="Sylfaen" w:cs="Arial"/>
        <w:sz w:val="20"/>
        <w:szCs w:val="22"/>
      </w:rPr>
      <w:fldChar w:fldCharType="separate"/>
    </w:r>
    <w:r w:rsidR="00AF530F">
      <w:rPr>
        <w:rStyle w:val="PageNumber"/>
        <w:rFonts w:ascii="Sylfaen" w:hAnsi="Sylfaen" w:cs="Arial"/>
        <w:noProof/>
        <w:sz w:val="20"/>
        <w:szCs w:val="22"/>
      </w:rPr>
      <w:t>3</w:t>
    </w:r>
    <w:r w:rsidRPr="00EE386F">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75E0" w14:textId="77777777"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14:paraId="5D0A0BE8" w14:textId="77777777"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14:paraId="386B0653" w14:textId="77777777" w:rsidR="00EE386F" w:rsidRDefault="00EE386F" w:rsidP="00090CF9">
    <w:pPr>
      <w:jc w:val="center"/>
      <w:rPr>
        <w:rFonts w:ascii="Sylfaen" w:hAnsi="Sylfaen" w:cs="Arial"/>
        <w:i/>
        <w:spacing w:val="-6"/>
        <w:sz w:val="22"/>
        <w:szCs w:val="22"/>
      </w:rPr>
    </w:pPr>
  </w:p>
  <w:p w14:paraId="6577B4F2" w14:textId="3E756330" w:rsidR="00374981" w:rsidRPr="00EE386F" w:rsidRDefault="00374981" w:rsidP="00090CF9">
    <w:pPr>
      <w:jc w:val="center"/>
      <w:rPr>
        <w:rFonts w:ascii="Sylfaen" w:hAnsi="Sylfaen" w:cs="Arial"/>
        <w:b/>
        <w:i/>
        <w:szCs w:val="22"/>
      </w:rPr>
    </w:pPr>
    <w:r w:rsidRPr="00EE386F">
      <w:rPr>
        <w:rFonts w:ascii="Sylfaen" w:hAnsi="Sylfaen" w:cs="Arial"/>
        <w:b/>
        <w:i/>
        <w:spacing w:val="-6"/>
        <w:szCs w:val="22"/>
      </w:rPr>
      <w:t>©</w:t>
    </w:r>
    <w:r w:rsidRPr="00EE386F">
      <w:rPr>
        <w:rFonts w:ascii="Sylfaen" w:hAnsi="Sylfaen" w:cs="Arial"/>
        <w:b/>
        <w:i/>
        <w:szCs w:val="22"/>
      </w:rPr>
      <w:t xml:space="preserve"> CROWN COPYRIGHT 201</w:t>
    </w:r>
    <w:r w:rsidR="00990B37" w:rsidRPr="00EE386F">
      <w:rPr>
        <w:rFonts w:ascii="Sylfaen" w:hAnsi="Sylfaen" w:cs="Arial"/>
        <w:b/>
        <w:i/>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7F986" w14:textId="77777777" w:rsidR="00A01790" w:rsidRDefault="00A01790">
      <w:r>
        <w:separator/>
      </w:r>
    </w:p>
  </w:footnote>
  <w:footnote w:type="continuationSeparator" w:id="0">
    <w:p w14:paraId="50246C70" w14:textId="77777777" w:rsidR="00A01790" w:rsidRDefault="00A01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9E05" w14:textId="77777777" w:rsidR="00990B37" w:rsidRPr="00EE386F" w:rsidRDefault="00AD4602" w:rsidP="00AD4602">
    <w:pPr>
      <w:pStyle w:val="Header"/>
      <w:jc w:val="right"/>
      <w:rPr>
        <w:sz w:val="20"/>
        <w:szCs w:val="20"/>
      </w:rPr>
    </w:pPr>
    <w:r w:rsidRPr="00EE386F">
      <w:rPr>
        <w:rFonts w:ascii="Sylfaen" w:hAnsi="Sylfaen" w:cs="Arial"/>
        <w:color w:val="000000"/>
        <w:sz w:val="20"/>
        <w:szCs w:val="20"/>
      </w:rPr>
      <w:t xml:space="preserve">Appeal no: </w:t>
    </w:r>
    <w:r w:rsidRPr="00EE386F">
      <w:rPr>
        <w:rFonts w:ascii="Sylfaen" w:hAnsi="Sylfaen" w:cs="Arial"/>
        <w:b/>
        <w:caps/>
        <w:color w:val="000000"/>
        <w:sz w:val="20"/>
        <w:szCs w:val="20"/>
      </w:rPr>
      <w:t>HU/05143/2017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4E6"/>
    <w:multiLevelType w:val="hybridMultilevel"/>
    <w:tmpl w:val="E83AB65E"/>
    <w:lvl w:ilvl="0" w:tplc="802ED018">
      <w:start w:val="1"/>
      <w:numFmt w:val="lowerLetter"/>
      <w:lvlText w:val="(%1)"/>
      <w:lvlJc w:val="left"/>
      <w:pPr>
        <w:ind w:left="2062" w:hanging="360"/>
      </w:pPr>
      <w:rPr>
        <w:rFonts w:hint="default"/>
        <w:color w:val="000000"/>
      </w:rPr>
    </w:lvl>
    <w:lvl w:ilvl="1" w:tplc="08090019">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7982E1F"/>
    <w:multiLevelType w:val="hybridMultilevel"/>
    <w:tmpl w:val="CB4C9E2E"/>
    <w:lvl w:ilvl="0" w:tplc="6F1E4B64">
      <w:start w:val="1"/>
      <w:numFmt w:val="lowerLetter"/>
      <w:lvlText w:val="(%1)"/>
      <w:lvlJc w:val="left"/>
      <w:pPr>
        <w:ind w:left="1638" w:hanging="360"/>
      </w:pPr>
      <w:rPr>
        <w:rFonts w:hint="default"/>
        <w:color w:val="000000"/>
      </w:rPr>
    </w:lvl>
    <w:lvl w:ilvl="1" w:tplc="08090019" w:tentative="1">
      <w:start w:val="1"/>
      <w:numFmt w:val="lowerLetter"/>
      <w:lvlText w:val="%2."/>
      <w:lvlJc w:val="left"/>
      <w:pPr>
        <w:ind w:left="2358" w:hanging="360"/>
      </w:pPr>
    </w:lvl>
    <w:lvl w:ilvl="2" w:tplc="0809001B" w:tentative="1">
      <w:start w:val="1"/>
      <w:numFmt w:val="lowerRoman"/>
      <w:lvlText w:val="%3."/>
      <w:lvlJc w:val="right"/>
      <w:pPr>
        <w:ind w:left="3078" w:hanging="180"/>
      </w:pPr>
    </w:lvl>
    <w:lvl w:ilvl="3" w:tplc="0809000F" w:tentative="1">
      <w:start w:val="1"/>
      <w:numFmt w:val="decimal"/>
      <w:lvlText w:val="%4."/>
      <w:lvlJc w:val="left"/>
      <w:pPr>
        <w:ind w:left="3798" w:hanging="360"/>
      </w:pPr>
    </w:lvl>
    <w:lvl w:ilvl="4" w:tplc="08090019" w:tentative="1">
      <w:start w:val="1"/>
      <w:numFmt w:val="lowerLetter"/>
      <w:lvlText w:val="%5."/>
      <w:lvlJc w:val="left"/>
      <w:pPr>
        <w:ind w:left="4518" w:hanging="360"/>
      </w:pPr>
    </w:lvl>
    <w:lvl w:ilvl="5" w:tplc="0809001B" w:tentative="1">
      <w:start w:val="1"/>
      <w:numFmt w:val="lowerRoman"/>
      <w:lvlText w:val="%6."/>
      <w:lvlJc w:val="right"/>
      <w:pPr>
        <w:ind w:left="5238" w:hanging="180"/>
      </w:pPr>
    </w:lvl>
    <w:lvl w:ilvl="6" w:tplc="0809000F" w:tentative="1">
      <w:start w:val="1"/>
      <w:numFmt w:val="decimal"/>
      <w:lvlText w:val="%7."/>
      <w:lvlJc w:val="left"/>
      <w:pPr>
        <w:ind w:left="5958" w:hanging="360"/>
      </w:pPr>
    </w:lvl>
    <w:lvl w:ilvl="7" w:tplc="08090019" w:tentative="1">
      <w:start w:val="1"/>
      <w:numFmt w:val="lowerLetter"/>
      <w:lvlText w:val="%8."/>
      <w:lvlJc w:val="left"/>
      <w:pPr>
        <w:ind w:left="6678" w:hanging="360"/>
      </w:pPr>
    </w:lvl>
    <w:lvl w:ilvl="8" w:tplc="0809001B" w:tentative="1">
      <w:start w:val="1"/>
      <w:numFmt w:val="lowerRoman"/>
      <w:lvlText w:val="%9."/>
      <w:lvlJc w:val="right"/>
      <w:pPr>
        <w:ind w:left="7398" w:hanging="180"/>
      </w:pPr>
    </w:lvl>
  </w:abstractNum>
  <w:abstractNum w:abstractNumId="3"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6F"/>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24E0E"/>
    <w:rsid w:val="001435AF"/>
    <w:rsid w:val="00167D3A"/>
    <w:rsid w:val="00194E6E"/>
    <w:rsid w:val="001A3082"/>
    <w:rsid w:val="001A5D86"/>
    <w:rsid w:val="001B186A"/>
    <w:rsid w:val="001B2F75"/>
    <w:rsid w:val="001E6DE8"/>
    <w:rsid w:val="001F114E"/>
    <w:rsid w:val="001F2716"/>
    <w:rsid w:val="00206F6B"/>
    <w:rsid w:val="00207617"/>
    <w:rsid w:val="0023134B"/>
    <w:rsid w:val="0026015E"/>
    <w:rsid w:val="002667BE"/>
    <w:rsid w:val="00270E13"/>
    <w:rsid w:val="00283659"/>
    <w:rsid w:val="002B5149"/>
    <w:rsid w:val="002C6BD4"/>
    <w:rsid w:val="002D68BF"/>
    <w:rsid w:val="002F6B98"/>
    <w:rsid w:val="00310B90"/>
    <w:rsid w:val="00336CBF"/>
    <w:rsid w:val="00343FE3"/>
    <w:rsid w:val="003546C8"/>
    <w:rsid w:val="00374981"/>
    <w:rsid w:val="003860CF"/>
    <w:rsid w:val="00392F76"/>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A1848"/>
    <w:rsid w:val="004A6F4A"/>
    <w:rsid w:val="004C5C63"/>
    <w:rsid w:val="004E4717"/>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047DD"/>
    <w:rsid w:val="00611011"/>
    <w:rsid w:val="00653E97"/>
    <w:rsid w:val="00676204"/>
    <w:rsid w:val="00684A74"/>
    <w:rsid w:val="00686C0C"/>
    <w:rsid w:val="00690B8A"/>
    <w:rsid w:val="0069160E"/>
    <w:rsid w:val="00696018"/>
    <w:rsid w:val="00696D3B"/>
    <w:rsid w:val="006B058B"/>
    <w:rsid w:val="006F2CF1"/>
    <w:rsid w:val="007038ED"/>
    <w:rsid w:val="00703BC3"/>
    <w:rsid w:val="00704B61"/>
    <w:rsid w:val="00724CC1"/>
    <w:rsid w:val="007334B3"/>
    <w:rsid w:val="00741157"/>
    <w:rsid w:val="007420F1"/>
    <w:rsid w:val="00742454"/>
    <w:rsid w:val="00750745"/>
    <w:rsid w:val="007552A9"/>
    <w:rsid w:val="00761858"/>
    <w:rsid w:val="00767D59"/>
    <w:rsid w:val="00776E97"/>
    <w:rsid w:val="00780F86"/>
    <w:rsid w:val="007912AD"/>
    <w:rsid w:val="007A37E8"/>
    <w:rsid w:val="007A7CEE"/>
    <w:rsid w:val="007B0824"/>
    <w:rsid w:val="007B1C37"/>
    <w:rsid w:val="007B5D3C"/>
    <w:rsid w:val="007B67B0"/>
    <w:rsid w:val="007C5F1C"/>
    <w:rsid w:val="007C6AAA"/>
    <w:rsid w:val="00821B72"/>
    <w:rsid w:val="00823EF2"/>
    <w:rsid w:val="008303B8"/>
    <w:rsid w:val="00833DCE"/>
    <w:rsid w:val="00857066"/>
    <w:rsid w:val="00871D34"/>
    <w:rsid w:val="00896FD0"/>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0B37"/>
    <w:rsid w:val="00996FBB"/>
    <w:rsid w:val="009A11E8"/>
    <w:rsid w:val="009C5F92"/>
    <w:rsid w:val="009E30EE"/>
    <w:rsid w:val="009F3381"/>
    <w:rsid w:val="009F5220"/>
    <w:rsid w:val="00A01790"/>
    <w:rsid w:val="00A11F19"/>
    <w:rsid w:val="00A15234"/>
    <w:rsid w:val="00A201AB"/>
    <w:rsid w:val="00A240AA"/>
    <w:rsid w:val="00A253BF"/>
    <w:rsid w:val="00A31C8B"/>
    <w:rsid w:val="00A509FA"/>
    <w:rsid w:val="00A544A8"/>
    <w:rsid w:val="00A845DC"/>
    <w:rsid w:val="00A8721C"/>
    <w:rsid w:val="00AD4602"/>
    <w:rsid w:val="00AE226C"/>
    <w:rsid w:val="00AF530F"/>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67493"/>
    <w:rsid w:val="00C97973"/>
    <w:rsid w:val="00CB546F"/>
    <w:rsid w:val="00CB6E35"/>
    <w:rsid w:val="00CC0CC9"/>
    <w:rsid w:val="00CE1A46"/>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66DE"/>
    <w:rsid w:val="00E07F57"/>
    <w:rsid w:val="00E30683"/>
    <w:rsid w:val="00E31697"/>
    <w:rsid w:val="00E453D8"/>
    <w:rsid w:val="00E50BCE"/>
    <w:rsid w:val="00E574BF"/>
    <w:rsid w:val="00E61292"/>
    <w:rsid w:val="00E74B5A"/>
    <w:rsid w:val="00E77C4D"/>
    <w:rsid w:val="00E80AD9"/>
    <w:rsid w:val="00E81D01"/>
    <w:rsid w:val="00E862ED"/>
    <w:rsid w:val="00EE386F"/>
    <w:rsid w:val="00EE43F3"/>
    <w:rsid w:val="00EE45D8"/>
    <w:rsid w:val="00F07170"/>
    <w:rsid w:val="00F118C6"/>
    <w:rsid w:val="00F22EDA"/>
    <w:rsid w:val="00F556F2"/>
    <w:rsid w:val="00F97703"/>
    <w:rsid w:val="00FA2113"/>
    <w:rsid w:val="00FA48DC"/>
    <w:rsid w:val="00FB4200"/>
    <w:rsid w:val="00FC5AE2"/>
    <w:rsid w:val="00FD79ED"/>
    <w:rsid w:val="00FE4D99"/>
    <w:rsid w:val="00FF1E45"/>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44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markup.cgi?doc=/uk/cases/UKUT/IAC/2014/%5b2014%5d_UKUT_418_iac.html&amp;query=title+(+nwaigwe+)&amp;method=boole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markup.cgi?doc=/uk/legis/num_act/2002/ukpga_20020041_en_1.html&amp;query=title+(+Immigration+)&amp;method=boo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4367</Characters>
  <Application>Microsoft Office Word</Application>
  <DocSecurity>0</DocSecurity>
  <Lines>36</Lines>
  <Paragraphs>10</Paragraphs>
  <ScaleCrop>false</ScaleCrop>
  <Company/>
  <LinksUpToDate>false</LinksUpToDate>
  <CharactersWithSpaces>5187</CharactersWithSpaces>
  <SharedDoc>false</SharedDoc>
  <HLinks>
    <vt:vector size="12" baseType="variant">
      <vt:variant>
        <vt:i4>4128886</vt:i4>
      </vt:variant>
      <vt:variant>
        <vt:i4>15</vt:i4>
      </vt:variant>
      <vt:variant>
        <vt:i4>0</vt:i4>
      </vt:variant>
      <vt:variant>
        <vt:i4>5</vt:i4>
      </vt:variant>
      <vt:variant>
        <vt:lpwstr>http://www.bailii.org/cgi-bin/markup.cgi?doc=/uk/legis/num_act/2002/ukpga_20020041_en_1.html&amp;query=title+(+Immigration+)&amp;method=boolean</vt:lpwstr>
      </vt:variant>
      <vt:variant>
        <vt:lpwstr/>
      </vt:variant>
      <vt:variant>
        <vt:i4>2359296</vt:i4>
      </vt:variant>
      <vt:variant>
        <vt:i4>12</vt:i4>
      </vt:variant>
      <vt:variant>
        <vt:i4>0</vt:i4>
      </vt:variant>
      <vt:variant>
        <vt:i4>5</vt:i4>
      </vt:variant>
      <vt:variant>
        <vt:lpwstr>http://www.bailii.org/cgi-bin/markup.cgi?doc=/uk/cases/UKUT/IAC/2014/%5b2014%5d_UKUT_418_iac.html&amp;query=title+(+nwaigwe+)&amp;method=boolean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2018-08-17T14:35:00Z</dcterms:created>
  <dcterms:modified xsi:type="dcterms:W3CDTF">2018-08-17T14:35:00Z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