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D655E7" w:rsidP="0010335F">
      <w:pPr>
        <w:jc w:val="center"/>
        <w:rPr>
          <w:rFonts w:ascii="Book Antiqua" w:hAnsi="Book Antiqua" w:cs="Arial"/>
          <w:caps/>
          <w:color w:val="000000"/>
          <w:sz w:val="16"/>
          <w:szCs w:val="16"/>
        </w:rPr>
      </w:pPr>
      <w:r>
        <w:rPr>
          <w:noProof/>
        </w:rPr>
        <w:drawing>
          <wp:inline distT="0" distB="0" distL="0" distR="0" wp14:anchorId="5FE66181" wp14:editId="24377D9D">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0D6211">
        <w:rPr>
          <w:rFonts w:ascii="Book Antiqua" w:hAnsi="Book Antiqua" w:cs="Arial"/>
          <w:b/>
          <w:color w:val="000000"/>
        </w:rPr>
        <w:t xml:space="preserve">   </w:t>
      </w:r>
      <w:proofErr w:type="gramEnd"/>
      <w:r w:rsidR="000D6211">
        <w:rPr>
          <w:rFonts w:ascii="Book Antiqua" w:hAnsi="Book Antiqua" w:cs="Arial"/>
          <w:b/>
          <w:color w:val="000000"/>
        </w:rPr>
        <w:t xml:space="preserve">                    </w:t>
      </w:r>
      <w:r w:rsidR="00B3524D" w:rsidRPr="000D6211">
        <w:rPr>
          <w:rFonts w:ascii="Book Antiqua" w:hAnsi="Book Antiqua" w:cs="Arial"/>
          <w:b/>
          <w:color w:val="000000"/>
        </w:rPr>
        <w:t>Appeal Number</w:t>
      </w:r>
      <w:r w:rsidR="00D53769" w:rsidRPr="000D6211">
        <w:rPr>
          <w:rFonts w:ascii="Book Antiqua" w:hAnsi="Book Antiqua" w:cs="Arial"/>
          <w:b/>
          <w:color w:val="000000"/>
        </w:rPr>
        <w:t>:</w:t>
      </w:r>
      <w:r w:rsidR="00B3524D" w:rsidRPr="000D6211">
        <w:rPr>
          <w:rFonts w:ascii="Book Antiqua" w:hAnsi="Book Antiqua" w:cs="Arial"/>
          <w:b/>
          <w:color w:val="000000"/>
        </w:rPr>
        <w:t xml:space="preserve"> </w:t>
      </w:r>
      <w:r w:rsidR="00C222A3" w:rsidRPr="000D6211">
        <w:rPr>
          <w:rFonts w:ascii="Book Antiqua" w:hAnsi="Book Antiqua" w:cs="Arial"/>
          <w:b/>
          <w:caps/>
          <w:color w:val="000000"/>
        </w:rPr>
        <w:t>HU/05195/2016</w:t>
      </w: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1C5703" w:rsidTr="000D6211">
        <w:tc>
          <w:tcPr>
            <w:tcW w:w="5245"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C222A3">
              <w:rPr>
                <w:rFonts w:ascii="Book Antiqua" w:hAnsi="Book Antiqua" w:cs="Arial"/>
                <w:b/>
              </w:rPr>
              <w:t>Glasgow</w:t>
            </w:r>
          </w:p>
        </w:tc>
        <w:tc>
          <w:tcPr>
            <w:tcW w:w="4763" w:type="dxa"/>
          </w:tcPr>
          <w:p w:rsidR="00D22636" w:rsidRPr="001C5703" w:rsidRDefault="000D6211" w:rsidP="00093D4D">
            <w:pPr>
              <w:jc w:val="both"/>
              <w:rPr>
                <w:rFonts w:ascii="Book Antiqua" w:hAnsi="Book Antiqua" w:cs="Arial"/>
                <w:b/>
                <w:color w:val="000000"/>
              </w:rPr>
            </w:pPr>
            <w:r>
              <w:rPr>
                <w:rFonts w:ascii="Book Antiqua" w:hAnsi="Book Antiqua" w:cs="Arial"/>
                <w:b/>
                <w:color w:val="000000"/>
              </w:rPr>
              <w:t xml:space="preserve"> </w:t>
            </w:r>
            <w:r w:rsidR="00207D73">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rsidTr="000D6211">
        <w:tc>
          <w:tcPr>
            <w:tcW w:w="5245"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C222A3">
              <w:rPr>
                <w:rFonts w:ascii="Book Antiqua" w:hAnsi="Book Antiqua" w:cs="Arial"/>
                <w:b/>
              </w:rPr>
              <w:t>10</w:t>
            </w:r>
            <w:r w:rsidR="00FE5320" w:rsidRPr="00FE5320">
              <w:rPr>
                <w:rFonts w:ascii="Book Antiqua" w:hAnsi="Book Antiqua" w:cs="Arial"/>
                <w:b/>
                <w:vertAlign w:val="superscript"/>
              </w:rPr>
              <w:t>th</w:t>
            </w:r>
            <w:r w:rsidR="00FE5320">
              <w:rPr>
                <w:rFonts w:ascii="Book Antiqua" w:hAnsi="Book Antiqua" w:cs="Arial"/>
                <w:b/>
              </w:rPr>
              <w:t xml:space="preserve"> </w:t>
            </w:r>
            <w:r w:rsidR="00C222A3">
              <w:rPr>
                <w:rFonts w:ascii="Book Antiqua" w:hAnsi="Book Antiqua" w:cs="Arial"/>
                <w:b/>
              </w:rPr>
              <w:t>August 2018</w:t>
            </w:r>
          </w:p>
        </w:tc>
        <w:tc>
          <w:tcPr>
            <w:tcW w:w="4763" w:type="dxa"/>
          </w:tcPr>
          <w:p w:rsidR="00D22636" w:rsidRPr="001C5703" w:rsidRDefault="000D6211" w:rsidP="004A1848">
            <w:pPr>
              <w:jc w:val="both"/>
              <w:rPr>
                <w:rFonts w:ascii="Book Antiqua" w:hAnsi="Book Antiqua" w:cs="Arial"/>
                <w:b/>
              </w:rPr>
            </w:pPr>
            <w:r>
              <w:rPr>
                <w:rFonts w:ascii="Book Antiqua" w:hAnsi="Book Antiqua" w:cs="Arial"/>
                <w:b/>
              </w:rPr>
              <w:t xml:space="preserve"> </w:t>
            </w:r>
            <w:r w:rsidR="00FE5320">
              <w:rPr>
                <w:rFonts w:ascii="Book Antiqua" w:hAnsi="Book Antiqua" w:cs="Arial"/>
                <w:b/>
              </w:rPr>
              <w:t>On 27</w:t>
            </w:r>
            <w:r w:rsidR="00FE5320" w:rsidRPr="00FE5320">
              <w:rPr>
                <w:rFonts w:ascii="Book Antiqua" w:hAnsi="Book Antiqua" w:cs="Arial"/>
                <w:b/>
                <w:vertAlign w:val="superscript"/>
              </w:rPr>
              <w:t>th</w:t>
            </w:r>
            <w:r w:rsidR="00FE5320">
              <w:rPr>
                <w:rFonts w:ascii="Book Antiqua" w:hAnsi="Book Antiqua" w:cs="Arial"/>
                <w:b/>
              </w:rPr>
              <w:t xml:space="preserve"> September 2018</w:t>
            </w:r>
          </w:p>
        </w:tc>
      </w:tr>
      <w:tr w:rsidR="00D22636" w:rsidRPr="001C5703" w:rsidTr="000D6211">
        <w:tc>
          <w:tcPr>
            <w:tcW w:w="5245" w:type="dxa"/>
          </w:tcPr>
          <w:p w:rsidR="00D22636" w:rsidRPr="001C5703" w:rsidRDefault="00D22636" w:rsidP="004A1848">
            <w:pPr>
              <w:jc w:val="both"/>
              <w:rPr>
                <w:rFonts w:ascii="Book Antiqua" w:hAnsi="Book Antiqua" w:cs="Arial"/>
                <w:b/>
              </w:rPr>
            </w:pPr>
          </w:p>
        </w:tc>
        <w:tc>
          <w:tcPr>
            <w:tcW w:w="4763" w:type="dxa"/>
          </w:tcPr>
          <w:p w:rsidR="00D22636" w:rsidRPr="001C5703" w:rsidRDefault="00D22636" w:rsidP="004A1848">
            <w:pPr>
              <w:jc w:val="both"/>
              <w:rPr>
                <w:rFonts w:ascii="Book Antiqua" w:hAnsi="Book Antiqua" w:cs="Arial"/>
                <w:b/>
              </w:rPr>
            </w:pPr>
          </w:p>
        </w:tc>
      </w:tr>
    </w:tbl>
    <w:p w:rsidR="00A15234"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273559">
        <w:rPr>
          <w:rFonts w:ascii="Book Antiqua" w:hAnsi="Book Antiqua" w:cs="Arial"/>
          <w:b/>
          <w:color w:val="000000"/>
        </w:rPr>
        <w:t xml:space="preserve"> JUDGE DAWSON</w:t>
      </w:r>
    </w:p>
    <w:p w:rsidR="00A845DC" w:rsidRPr="001C5703" w:rsidRDefault="00A845DC"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Default="00A845DC" w:rsidP="00A15234">
      <w:pPr>
        <w:jc w:val="center"/>
        <w:rPr>
          <w:rFonts w:ascii="Book Antiqua" w:hAnsi="Book Antiqua" w:cs="Arial"/>
          <w:b/>
        </w:rPr>
      </w:pPr>
    </w:p>
    <w:p w:rsidR="000D6211" w:rsidRDefault="000D6211" w:rsidP="00A15234">
      <w:pPr>
        <w:jc w:val="center"/>
        <w:rPr>
          <w:rFonts w:ascii="Book Antiqua" w:hAnsi="Book Antiqua" w:cs="Arial"/>
          <w:b/>
        </w:rPr>
      </w:pPr>
      <w:r>
        <w:rPr>
          <w:rFonts w:ascii="Book Antiqua" w:hAnsi="Book Antiqua" w:cs="Arial"/>
          <w:b/>
        </w:rPr>
        <w:t>THE SECRETARY OF STATE FOR THE HOME DEPARTMENT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0D6211" w:rsidRDefault="000D6211" w:rsidP="00704B61">
      <w:pPr>
        <w:jc w:val="center"/>
        <w:rPr>
          <w:rFonts w:ascii="Book Antiqua" w:hAnsi="Book Antiqua" w:cs="Arial"/>
          <w:b/>
        </w:rPr>
      </w:pP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DB0F7C" w:rsidRDefault="00DB0F7C" w:rsidP="00DB0F7C">
      <w:pPr>
        <w:jc w:val="center"/>
        <w:rPr>
          <w:rFonts w:ascii="Book Antiqua" w:hAnsi="Book Antiqua" w:cs="Arial"/>
          <w:b/>
          <w:caps/>
        </w:rPr>
      </w:pPr>
      <w:r>
        <w:rPr>
          <w:rFonts w:ascii="Book Antiqua" w:hAnsi="Book Antiqua" w:cs="Arial"/>
          <w:b/>
          <w:caps/>
        </w:rPr>
        <w:t>bilal muhammad yaqub</w:t>
      </w:r>
    </w:p>
    <w:p w:rsidR="00D23EB0" w:rsidRPr="001C5703" w:rsidRDefault="00C222A3" w:rsidP="00DA2F5C">
      <w:pPr>
        <w:jc w:val="right"/>
        <w:rPr>
          <w:rFonts w:ascii="Book Antiqua" w:hAnsi="Book Antiqua" w:cs="Arial"/>
          <w:u w:val="single"/>
        </w:rPr>
      </w:pPr>
      <w:r>
        <w:rPr>
          <w:rFonts w:ascii="Book Antiqua" w:hAnsi="Book Antiqua" w:cs="Arial"/>
          <w:u w:val="single"/>
        </w:rPr>
        <w:t>Claimant</w:t>
      </w:r>
    </w:p>
    <w:p w:rsidR="000D6211" w:rsidRDefault="000D6211" w:rsidP="00DD5071">
      <w:pPr>
        <w:rPr>
          <w:rFonts w:ascii="Book Antiqua" w:hAnsi="Book Antiqua" w:cs="Arial"/>
          <w:b/>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DB0F7C">
        <w:rPr>
          <w:rFonts w:ascii="Book Antiqua" w:hAnsi="Book Antiqua" w:cs="Arial"/>
        </w:rPr>
        <w:t>Mr Govan, Senior Presenting Officer</w:t>
      </w:r>
    </w:p>
    <w:p w:rsidR="00DE7DB7" w:rsidRPr="001C5703" w:rsidRDefault="00DE7DB7" w:rsidP="00DE7DB7">
      <w:pPr>
        <w:tabs>
          <w:tab w:val="left" w:pos="2520"/>
        </w:tabs>
        <w:rPr>
          <w:rFonts w:ascii="Book Antiqua" w:hAnsi="Book Antiqua" w:cs="Arial"/>
        </w:rPr>
      </w:pPr>
      <w:r w:rsidRPr="001C5703">
        <w:rPr>
          <w:rFonts w:ascii="Book Antiqua" w:hAnsi="Book Antiqua" w:cs="Arial"/>
        </w:rPr>
        <w:t xml:space="preserve">For the </w:t>
      </w:r>
      <w:r w:rsidR="00C222A3">
        <w:rPr>
          <w:rFonts w:ascii="Book Antiqua" w:hAnsi="Book Antiqua" w:cs="Arial"/>
        </w:rPr>
        <w:t>Claimant</w:t>
      </w:r>
      <w:r w:rsidRPr="001C5703">
        <w:rPr>
          <w:rFonts w:ascii="Book Antiqua" w:hAnsi="Book Antiqua" w:cs="Arial"/>
        </w:rPr>
        <w:t>:</w:t>
      </w:r>
      <w:r w:rsidRPr="001C5703">
        <w:rPr>
          <w:rFonts w:ascii="Book Antiqua" w:hAnsi="Book Antiqua" w:cs="Arial"/>
        </w:rPr>
        <w:tab/>
      </w:r>
      <w:r w:rsidR="009032D2">
        <w:rPr>
          <w:rFonts w:ascii="Book Antiqua" w:hAnsi="Book Antiqua" w:cs="Arial"/>
        </w:rPr>
        <w:t>Ms Alam, Sponsor</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402B9E" w:rsidRPr="001C5703" w:rsidRDefault="00207D73" w:rsidP="007E3B27">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367483" w:rsidRDefault="00367483" w:rsidP="00367483">
      <w:pPr>
        <w:pStyle w:val="Body"/>
        <w:spacing w:before="240" w:after="240"/>
        <w:jc w:val="both"/>
        <w:rPr>
          <w:rFonts w:ascii="Book Antiqua" w:hAnsi="Book Antiqua"/>
        </w:rPr>
      </w:pPr>
      <w:r>
        <w:rPr>
          <w:rFonts w:ascii="Book Antiqua" w:hAnsi="Book Antiqua"/>
        </w:rPr>
        <w:t xml:space="preserve">INTRODUCTION </w:t>
      </w:r>
    </w:p>
    <w:p w:rsidR="00D655E7" w:rsidRDefault="00D655E7" w:rsidP="00D655E7">
      <w:pPr>
        <w:pStyle w:val="Body"/>
        <w:numPr>
          <w:ilvl w:val="0"/>
          <w:numId w:val="4"/>
        </w:numPr>
        <w:spacing w:before="240" w:after="240"/>
        <w:jc w:val="both"/>
        <w:rPr>
          <w:rFonts w:ascii="Book Antiqua" w:hAnsi="Book Antiqua"/>
        </w:rPr>
      </w:pPr>
      <w:r>
        <w:rPr>
          <w:rFonts w:ascii="Book Antiqua" w:hAnsi="Book Antiqua"/>
        </w:rPr>
        <w:t xml:space="preserve">The Secretary of State appeals against the decision of Designated Judge of the First-tier Tribunal J G Macdonald who allowed the appeal by Mr Yaqub (the claimant) on human rights grounds against the decision by the Entry Clearance Officer refusing his application made in his country of nationality (Pakistan) to visit his wife (the sponsor) and their children who live in the United Kingdom and who are British nationals.  </w:t>
      </w:r>
    </w:p>
    <w:p w:rsidR="00D655E7" w:rsidRDefault="00D655E7" w:rsidP="00D655E7">
      <w:pPr>
        <w:pStyle w:val="Body"/>
        <w:numPr>
          <w:ilvl w:val="0"/>
          <w:numId w:val="4"/>
        </w:numPr>
        <w:spacing w:before="240" w:after="240"/>
        <w:jc w:val="both"/>
        <w:rPr>
          <w:rFonts w:ascii="Book Antiqua" w:hAnsi="Book Antiqua"/>
        </w:rPr>
      </w:pPr>
      <w:r>
        <w:rPr>
          <w:rFonts w:ascii="Book Antiqua" w:hAnsi="Book Antiqua"/>
        </w:rPr>
        <w:t xml:space="preserve">The Entry Clearance Officer was not satisfied that the claimant was seeking a genuine visit or that he intended to leave the United Kingdom at its end with reference to paragraph V4.2 (a) and (c).  This was because the claimant had submitted no supporting evidence as to who would take care of his mother during the prolonged visit (six months) and no explanation of how he would conduct his business affairs for </w:t>
      </w:r>
      <w:r>
        <w:rPr>
          <w:rFonts w:ascii="Book Antiqua" w:hAnsi="Book Antiqua"/>
        </w:rPr>
        <w:lastRenderedPageBreak/>
        <w:t>that extended period.  In addition, the claimant did not submit any documentation to show how his mother would be provided for during his absence.  The Entry Clearance Officer also refused with reference to Article 8 on the basis that interference with the claimant’s family life was proportionate.</w:t>
      </w:r>
    </w:p>
    <w:p w:rsidR="00D655E7" w:rsidRDefault="00D655E7" w:rsidP="00D655E7">
      <w:pPr>
        <w:pStyle w:val="Body"/>
        <w:numPr>
          <w:ilvl w:val="0"/>
          <w:numId w:val="4"/>
        </w:numPr>
        <w:spacing w:before="240" w:after="240"/>
        <w:jc w:val="both"/>
        <w:rPr>
          <w:rFonts w:ascii="Book Antiqua" w:hAnsi="Book Antiqua"/>
        </w:rPr>
      </w:pPr>
      <w:r>
        <w:rPr>
          <w:rFonts w:ascii="Book Antiqua" w:hAnsi="Book Antiqua"/>
        </w:rPr>
        <w:t>The FtT decision</w:t>
      </w:r>
      <w:r>
        <w:rPr>
          <w:rFonts w:ascii="Book Antiqua" w:hAnsi="Book Antiqua"/>
          <w:lang w:val="pt-PT"/>
        </w:rPr>
        <w:t xml:space="preserve"> record</w:t>
      </w:r>
      <w:r>
        <w:rPr>
          <w:rFonts w:ascii="Book Antiqua" w:hAnsi="Book Antiqua"/>
        </w:rPr>
        <w:t xml:space="preserve">s that the claimant had married </w:t>
      </w:r>
      <w:proofErr w:type="spellStart"/>
      <w:r w:rsidR="002043EF">
        <w:rPr>
          <w:rFonts w:ascii="Book Antiqua" w:hAnsi="Book Antiqua"/>
        </w:rPr>
        <w:t>Ms</w:t>
      </w:r>
      <w:proofErr w:type="spellEnd"/>
      <w:r w:rsidR="002043EF">
        <w:rPr>
          <w:rFonts w:ascii="Book Antiqua" w:hAnsi="Book Antiqua"/>
        </w:rPr>
        <w:t xml:space="preserve"> </w:t>
      </w:r>
      <w:proofErr w:type="spellStart"/>
      <w:r w:rsidR="002043EF">
        <w:rPr>
          <w:rFonts w:ascii="Book Antiqua" w:hAnsi="Book Antiqua"/>
        </w:rPr>
        <w:t>Alam</w:t>
      </w:r>
      <w:proofErr w:type="spellEnd"/>
      <w:r w:rsidR="002043EF">
        <w:rPr>
          <w:rFonts w:ascii="Book Antiqua" w:hAnsi="Book Antiqua"/>
        </w:rPr>
        <w:t xml:space="preserve"> </w:t>
      </w:r>
      <w:r>
        <w:rPr>
          <w:rFonts w:ascii="Book Antiqua" w:hAnsi="Book Antiqua"/>
        </w:rPr>
        <w:t xml:space="preserve">on 28 November 2016 and they had two children born 2017 and 2009.  They had lived together in Pakistan but she had returned to the United Kingdom in 2015 when they had last seen each other.  Ms Alam was unaware who would look after the claimant’s business whilst absent although had thought it might be a brother or relative.  Their intentions were to live together at some point but they were waiting for their daughter to get older.  The judge </w:t>
      </w:r>
      <w:r w:rsidR="00D71D6A">
        <w:rPr>
          <w:rFonts w:ascii="Book Antiqua" w:hAnsi="Book Antiqua"/>
        </w:rPr>
        <w:t>expressed</w:t>
      </w:r>
      <w:r>
        <w:rPr>
          <w:rFonts w:ascii="Book Antiqua" w:hAnsi="Book Antiqua"/>
        </w:rPr>
        <w:t xml:space="preserve"> these conclusions at [7] to [10]:</w:t>
      </w:r>
    </w:p>
    <w:p w:rsidR="00D655E7" w:rsidRDefault="00D655E7" w:rsidP="00D655E7">
      <w:pPr>
        <w:pStyle w:val="Body"/>
        <w:spacing w:before="240" w:after="240"/>
        <w:ind w:left="1701" w:hanging="567"/>
        <w:jc w:val="both"/>
        <w:rPr>
          <w:rFonts w:ascii="Book Antiqua" w:eastAsia="Book Antiqua" w:hAnsi="Book Antiqua" w:cs="Book Antiqua"/>
          <w:sz w:val="22"/>
          <w:szCs w:val="22"/>
        </w:rPr>
      </w:pPr>
      <w:r>
        <w:rPr>
          <w:rFonts w:ascii="Book Antiqua" w:hAnsi="Book Antiqua"/>
          <w:sz w:val="22"/>
          <w:szCs w:val="22"/>
        </w:rPr>
        <w:t>“7.</w:t>
      </w:r>
      <w:r>
        <w:rPr>
          <w:rFonts w:ascii="Book Antiqua" w:hAnsi="Book Antiqua"/>
          <w:sz w:val="22"/>
          <w:szCs w:val="22"/>
        </w:rPr>
        <w:tab/>
        <w:t xml:space="preserve">As acknowledged by the Entry Clearance Officer (ECO) he was satisfied that the sponsor was </w:t>
      </w:r>
      <w:proofErr w:type="gramStart"/>
      <w:r>
        <w:rPr>
          <w:rFonts w:ascii="Book Antiqua" w:hAnsi="Book Antiqua"/>
          <w:sz w:val="22"/>
          <w:szCs w:val="22"/>
        </w:rPr>
        <w:t>in a position to</w:t>
      </w:r>
      <w:proofErr w:type="gramEnd"/>
      <w:r>
        <w:rPr>
          <w:rFonts w:ascii="Book Antiqua" w:hAnsi="Book Antiqua"/>
          <w:sz w:val="22"/>
          <w:szCs w:val="22"/>
        </w:rPr>
        <w:t xml:space="preserve"> pay for the maintenance and accommodation expenses whilst the appellant was in the United Kingdom.  He also noted that the appellant had previously travelled here and had provided full details to satisfy the ECO at that time that he had met the requirements of the Immigration Rules as a visitor.  As it transpired the appellant’s mother lives with extended family members in their home in Islamabad and it is a small step to conclude that other family members can properly look after his mother whilst he is away.</w:t>
      </w:r>
    </w:p>
    <w:p w:rsidR="00D655E7" w:rsidRDefault="00D655E7" w:rsidP="00D655E7">
      <w:pPr>
        <w:pStyle w:val="Body"/>
        <w:spacing w:before="240" w:after="240"/>
        <w:ind w:left="1701" w:hanging="567"/>
        <w:jc w:val="both"/>
        <w:rPr>
          <w:rFonts w:ascii="Book Antiqua" w:eastAsia="Book Antiqua" w:hAnsi="Book Antiqua" w:cs="Book Antiqua"/>
          <w:sz w:val="22"/>
          <w:szCs w:val="22"/>
        </w:rPr>
      </w:pPr>
      <w:r>
        <w:rPr>
          <w:rFonts w:ascii="Book Antiqua" w:hAnsi="Book Antiqua"/>
          <w:sz w:val="22"/>
          <w:szCs w:val="22"/>
        </w:rPr>
        <w:t>8.</w:t>
      </w:r>
      <w:r>
        <w:rPr>
          <w:rFonts w:ascii="Book Antiqua" w:hAnsi="Book Antiqua"/>
          <w:sz w:val="22"/>
          <w:szCs w:val="22"/>
        </w:rPr>
        <w:tab/>
        <w:t>A more worrying feature is that neither the appellant nor the sponsor has been fit to respond to the refusal of the ECO relating to the explanation of who will conduct his business and affairs while he is away.  The sponsor, who was clearly a truthful witness, said she did not know who would look after the business and speculated it might be a brother or a relative.  The ECO was not satisfied that the visit was therefore a genuine one or that he intended to leave the United Kingdom at the end of the visit.</w:t>
      </w:r>
    </w:p>
    <w:p w:rsidR="00D655E7" w:rsidRDefault="00D655E7" w:rsidP="00D655E7">
      <w:pPr>
        <w:pStyle w:val="Body"/>
        <w:spacing w:before="240" w:after="240"/>
        <w:ind w:left="1701" w:hanging="567"/>
        <w:jc w:val="both"/>
        <w:rPr>
          <w:rFonts w:ascii="Book Antiqua" w:eastAsia="Book Antiqua" w:hAnsi="Book Antiqua" w:cs="Book Antiqua"/>
          <w:sz w:val="22"/>
          <w:szCs w:val="22"/>
        </w:rPr>
      </w:pPr>
      <w:r>
        <w:rPr>
          <w:rFonts w:ascii="Book Antiqua" w:hAnsi="Book Antiqua"/>
          <w:sz w:val="22"/>
          <w:szCs w:val="22"/>
        </w:rPr>
        <w:t>9.</w:t>
      </w:r>
      <w:r>
        <w:rPr>
          <w:rFonts w:ascii="Book Antiqua" w:hAnsi="Book Antiqua"/>
          <w:sz w:val="22"/>
          <w:szCs w:val="22"/>
        </w:rPr>
        <w:tab/>
        <w:t xml:space="preserve">In </w:t>
      </w:r>
      <w:proofErr w:type="gramStart"/>
      <w:r>
        <w:rPr>
          <w:rFonts w:ascii="Book Antiqua" w:hAnsi="Book Antiqua"/>
          <w:sz w:val="22"/>
          <w:szCs w:val="22"/>
        </w:rPr>
        <w:t>fact</w:t>
      </w:r>
      <w:proofErr w:type="gramEnd"/>
      <w:r>
        <w:rPr>
          <w:rFonts w:ascii="Book Antiqua" w:hAnsi="Book Antiqua"/>
          <w:sz w:val="22"/>
          <w:szCs w:val="22"/>
        </w:rPr>
        <w:t xml:space="preserve"> there seems to me to be compelling reasons why the appellant would return to Pakistan even though who would look after his business affairs is uncertain.  I have regard to the fact that he has his extended family there as well as his business commitments.  I believe the sponsor when she said that, at some point, she and the appellant will live together but that is to be a later date.  I therefore have no doubt that the appellant will return to Pakistan as he has done previously after his short visit.</w:t>
      </w:r>
    </w:p>
    <w:p w:rsidR="00D655E7" w:rsidRDefault="00D655E7" w:rsidP="00D655E7">
      <w:pPr>
        <w:pStyle w:val="Body"/>
        <w:spacing w:before="240" w:after="240"/>
        <w:ind w:left="1701" w:hanging="567"/>
        <w:jc w:val="both"/>
        <w:rPr>
          <w:rFonts w:ascii="Book Antiqua" w:eastAsia="Book Antiqua" w:hAnsi="Book Antiqua" w:cs="Book Antiqua"/>
          <w:sz w:val="22"/>
          <w:szCs w:val="22"/>
        </w:rPr>
      </w:pPr>
      <w:r>
        <w:rPr>
          <w:rFonts w:ascii="Book Antiqua" w:hAnsi="Book Antiqua"/>
          <w:sz w:val="22"/>
          <w:szCs w:val="22"/>
        </w:rPr>
        <w:t>10.</w:t>
      </w:r>
      <w:r>
        <w:rPr>
          <w:rFonts w:ascii="Book Antiqua" w:hAnsi="Book Antiqua"/>
          <w:sz w:val="22"/>
          <w:szCs w:val="22"/>
        </w:rPr>
        <w:tab/>
        <w:t>The key issue in this case seems to me to relate to a letter written by the sponsor saying that their children are missing their dad intensely and the sponsor believes that her children are being affected by the absence of their father.  It is clearly in the best interests of the children that they have actual contact with their father.  I therefore consider, on a balance of probabilities, that there is a strong claim that allowing this appeal on human rights grounds in terms of Article 8 ECHR as in the carrying out of the balancing exercise it would be disproportionate to do otherwise.”</w:t>
      </w:r>
    </w:p>
    <w:p w:rsidR="00D655E7" w:rsidRDefault="00D655E7" w:rsidP="00D655E7">
      <w:pPr>
        <w:pStyle w:val="Body"/>
        <w:numPr>
          <w:ilvl w:val="0"/>
          <w:numId w:val="4"/>
        </w:numPr>
        <w:spacing w:before="240" w:after="240"/>
        <w:jc w:val="both"/>
        <w:rPr>
          <w:rFonts w:ascii="Book Antiqua" w:hAnsi="Book Antiqua"/>
        </w:rPr>
      </w:pPr>
      <w:r>
        <w:rPr>
          <w:rFonts w:ascii="Book Antiqua" w:hAnsi="Book Antiqua"/>
        </w:rPr>
        <w:t xml:space="preserve">The </w:t>
      </w:r>
      <w:r w:rsidR="00857288">
        <w:rPr>
          <w:rFonts w:ascii="Book Antiqua" w:hAnsi="Book Antiqua"/>
        </w:rPr>
        <w:t xml:space="preserve">first </w:t>
      </w:r>
      <w:r>
        <w:rPr>
          <w:rFonts w:ascii="Book Antiqua" w:hAnsi="Book Antiqua"/>
        </w:rPr>
        <w:t xml:space="preserve">ground of challenge is that no human rights claim had been made in this case and that the Tribunal had materially erred in law in hearing the appeal and had no jurisdiction to do so.  </w:t>
      </w:r>
      <w:r w:rsidR="00857288">
        <w:rPr>
          <w:rFonts w:ascii="Book Antiqua" w:hAnsi="Book Antiqua"/>
        </w:rPr>
        <w:t>The second ground is that</w:t>
      </w:r>
      <w:r>
        <w:rPr>
          <w:rFonts w:ascii="Book Antiqua" w:hAnsi="Book Antiqua"/>
        </w:rPr>
        <w:t xml:space="preserve"> the Secretary of State did not accept that there was scope for Article 8 engagement in “such bare visit applications”.  In addition, there was inadequate reasoning as to the obstacles </w:t>
      </w:r>
      <w:r w:rsidR="00B17BF9">
        <w:rPr>
          <w:rFonts w:ascii="Book Antiqua" w:hAnsi="Book Antiqua"/>
        </w:rPr>
        <w:t xml:space="preserve">and </w:t>
      </w:r>
      <w:r>
        <w:rPr>
          <w:rFonts w:ascii="Book Antiqua" w:hAnsi="Book Antiqua"/>
        </w:rPr>
        <w:t xml:space="preserve">why the claimant’s </w:t>
      </w:r>
      <w:r>
        <w:rPr>
          <w:rFonts w:ascii="Book Antiqua" w:hAnsi="Book Antiqua"/>
        </w:rPr>
        <w:lastRenderedPageBreak/>
        <w:t>wife and children could not visit him in Pakistan</w:t>
      </w:r>
      <w:r w:rsidR="00B17BF9">
        <w:rPr>
          <w:rFonts w:ascii="Book Antiqua" w:hAnsi="Book Antiqua"/>
        </w:rPr>
        <w:t>,</w:t>
      </w:r>
      <w:r>
        <w:rPr>
          <w:rFonts w:ascii="Book Antiqua" w:hAnsi="Book Antiqua"/>
        </w:rPr>
        <w:t xml:space="preserve"> and there was an absent of medical evidence concerning their daughter’s allergy which prevented her from doing so.  The First-tier Tribunal had failed to identify compelling circumstances such as to justify consideration whether there would be a breach of Article 8.</w:t>
      </w:r>
    </w:p>
    <w:p w:rsidR="00D655E7" w:rsidRDefault="00D655E7" w:rsidP="00D655E7">
      <w:pPr>
        <w:pStyle w:val="Body"/>
        <w:numPr>
          <w:ilvl w:val="0"/>
          <w:numId w:val="4"/>
        </w:numPr>
        <w:spacing w:before="240" w:after="240"/>
        <w:jc w:val="both"/>
        <w:rPr>
          <w:rFonts w:ascii="Book Antiqua" w:hAnsi="Book Antiqua"/>
        </w:rPr>
      </w:pPr>
      <w:r>
        <w:rPr>
          <w:rFonts w:ascii="Book Antiqua" w:hAnsi="Book Antiqua"/>
        </w:rPr>
        <w:t>In granting permission, DJFtT Woodcraft considered that the grounds appeared to argue that the reasoning of the FtT was inadequate and added the point that the decision appeared to conflict with</w:t>
      </w:r>
      <w:r w:rsidR="001760FE">
        <w:rPr>
          <w:rFonts w:ascii="Book Antiqua" w:hAnsi="Book Antiqua"/>
        </w:rPr>
        <w:t xml:space="preserve"> </w:t>
      </w:r>
      <w:r w:rsidR="00503467" w:rsidRPr="00503467">
        <w:rPr>
          <w:rFonts w:ascii="Book Antiqua" w:hAnsi="Book Antiqua"/>
          <w:i/>
        </w:rPr>
        <w:t xml:space="preserve">SSHD </w:t>
      </w:r>
      <w:r w:rsidR="00503467">
        <w:rPr>
          <w:rFonts w:ascii="Book Antiqua" w:hAnsi="Book Antiqua"/>
        </w:rPr>
        <w:t xml:space="preserve">v </w:t>
      </w:r>
      <w:r>
        <w:rPr>
          <w:rFonts w:ascii="Book Antiqua" w:hAnsi="Book Antiqua"/>
          <w:i/>
          <w:iCs/>
        </w:rPr>
        <w:t xml:space="preserve">Onuorah </w:t>
      </w:r>
      <w:r>
        <w:rPr>
          <w:rFonts w:ascii="Book Antiqua" w:hAnsi="Book Antiqua"/>
        </w:rPr>
        <w:t>[2017]</w:t>
      </w:r>
      <w:r w:rsidR="00503467">
        <w:rPr>
          <w:rFonts w:ascii="Book Antiqua" w:hAnsi="Book Antiqua"/>
        </w:rPr>
        <w:t xml:space="preserve"> </w:t>
      </w:r>
      <w:r>
        <w:rPr>
          <w:rFonts w:ascii="Book Antiqua" w:hAnsi="Book Antiqua"/>
        </w:rPr>
        <w:t xml:space="preserve">EWCA Civ 1757. </w:t>
      </w:r>
    </w:p>
    <w:p w:rsidR="00587979" w:rsidRDefault="00587979" w:rsidP="00587979">
      <w:pPr>
        <w:pStyle w:val="Body"/>
        <w:spacing w:before="240" w:after="240"/>
        <w:jc w:val="both"/>
        <w:rPr>
          <w:rFonts w:ascii="Book Antiqua" w:hAnsi="Book Antiqua"/>
        </w:rPr>
      </w:pPr>
      <w:r>
        <w:rPr>
          <w:rFonts w:ascii="Book Antiqua" w:hAnsi="Book Antiqua"/>
        </w:rPr>
        <w:t xml:space="preserve">THE HEARING </w:t>
      </w:r>
    </w:p>
    <w:p w:rsidR="00D655E7" w:rsidRDefault="00D655E7" w:rsidP="00D655E7">
      <w:pPr>
        <w:pStyle w:val="Body"/>
        <w:numPr>
          <w:ilvl w:val="0"/>
          <w:numId w:val="4"/>
        </w:numPr>
        <w:spacing w:before="240" w:after="240"/>
        <w:jc w:val="both"/>
        <w:rPr>
          <w:rFonts w:ascii="Book Antiqua" w:hAnsi="Book Antiqua"/>
        </w:rPr>
      </w:pPr>
      <w:r>
        <w:rPr>
          <w:rFonts w:ascii="Book Antiqua" w:hAnsi="Book Antiqua"/>
        </w:rPr>
        <w:t>The claimant’s wife came to the hearing</w:t>
      </w:r>
      <w:r w:rsidR="00B42498">
        <w:rPr>
          <w:rFonts w:ascii="Book Antiqua" w:hAnsi="Book Antiqua"/>
        </w:rPr>
        <w:t xml:space="preserve">. </w:t>
      </w:r>
      <w:r>
        <w:rPr>
          <w:rFonts w:ascii="Book Antiqua" w:hAnsi="Book Antiqua"/>
        </w:rPr>
        <w:t xml:space="preserve"> I explained to her the issues in the case</w:t>
      </w:r>
      <w:r w:rsidR="00E929ED">
        <w:rPr>
          <w:rFonts w:ascii="Book Antiqua" w:hAnsi="Book Antiqua"/>
        </w:rPr>
        <w:t>,</w:t>
      </w:r>
      <w:r>
        <w:rPr>
          <w:rFonts w:ascii="Book Antiqua" w:hAnsi="Book Antiqua"/>
        </w:rPr>
        <w:t xml:space="preserve"> </w:t>
      </w:r>
      <w:r w:rsidR="00D94BA9">
        <w:rPr>
          <w:rFonts w:ascii="Book Antiqua" w:hAnsi="Book Antiqua"/>
        </w:rPr>
        <w:t>during</w:t>
      </w:r>
      <w:r w:rsidR="00DB0F7C">
        <w:rPr>
          <w:rFonts w:ascii="Book Antiqua" w:hAnsi="Book Antiqua"/>
        </w:rPr>
        <w:t xml:space="preserve"> </w:t>
      </w:r>
      <w:r>
        <w:rPr>
          <w:rFonts w:ascii="Book Antiqua" w:hAnsi="Book Antiqua"/>
        </w:rPr>
        <w:t xml:space="preserve">which Mr Govan confirmed an earlier indication that he did not intend to pursue the jurisdiction </w:t>
      </w:r>
      <w:r w:rsidR="00D94BA9">
        <w:rPr>
          <w:rFonts w:ascii="Book Antiqua" w:hAnsi="Book Antiqua"/>
        </w:rPr>
        <w:t>ground</w:t>
      </w:r>
      <w:r>
        <w:rPr>
          <w:rFonts w:ascii="Book Antiqua" w:hAnsi="Book Antiqua"/>
        </w:rPr>
        <w:t xml:space="preserve">. </w:t>
      </w:r>
      <w:r w:rsidR="00DB0F7C">
        <w:rPr>
          <w:rFonts w:ascii="Book Antiqua" w:hAnsi="Book Antiqua"/>
        </w:rPr>
        <w:t xml:space="preserve"> </w:t>
      </w:r>
      <w:r>
        <w:rPr>
          <w:rFonts w:ascii="Book Antiqua" w:hAnsi="Book Antiqua"/>
        </w:rPr>
        <w:t xml:space="preserve">I gave him and Ms Alam a copy of the detailed </w:t>
      </w:r>
      <w:r w:rsidR="00485C5D">
        <w:rPr>
          <w:rFonts w:ascii="Book Antiqua" w:hAnsi="Book Antiqua"/>
        </w:rPr>
        <w:t>skeleton argument</w:t>
      </w:r>
      <w:r>
        <w:rPr>
          <w:rFonts w:ascii="Book Antiqua" w:hAnsi="Book Antiqua"/>
        </w:rPr>
        <w:t xml:space="preserve"> that the claimant and his lawyers in Pakistan had provided</w:t>
      </w:r>
      <w:r w:rsidR="00B42498">
        <w:rPr>
          <w:rFonts w:ascii="Book Antiqua" w:hAnsi="Book Antiqua"/>
        </w:rPr>
        <w:t xml:space="preserve"> by email</w:t>
      </w:r>
      <w:r w:rsidR="00EA7075">
        <w:rPr>
          <w:rFonts w:ascii="Book Antiqua" w:hAnsi="Book Antiqua"/>
        </w:rPr>
        <w:t xml:space="preserve">. </w:t>
      </w:r>
      <w:proofErr w:type="spellStart"/>
      <w:r w:rsidR="00490FE1">
        <w:rPr>
          <w:rFonts w:ascii="Book Antiqua" w:hAnsi="Book Antiqua"/>
        </w:rPr>
        <w:t>Ms</w:t>
      </w:r>
      <w:proofErr w:type="spellEnd"/>
      <w:r w:rsidR="00490FE1">
        <w:rPr>
          <w:rFonts w:ascii="Book Antiqua" w:hAnsi="Book Antiqua"/>
        </w:rPr>
        <w:t xml:space="preserve"> </w:t>
      </w:r>
      <w:proofErr w:type="spellStart"/>
      <w:r w:rsidR="00490FE1">
        <w:rPr>
          <w:rFonts w:ascii="Book Antiqua" w:hAnsi="Book Antiqua"/>
        </w:rPr>
        <w:t>Alam</w:t>
      </w:r>
      <w:proofErr w:type="spellEnd"/>
      <w:r w:rsidR="00490FE1">
        <w:rPr>
          <w:rFonts w:ascii="Book Antiqua" w:hAnsi="Book Antiqua"/>
        </w:rPr>
        <w:t xml:space="preserve"> </w:t>
      </w:r>
      <w:r>
        <w:rPr>
          <w:rFonts w:ascii="Book Antiqua" w:hAnsi="Book Antiqua"/>
        </w:rPr>
        <w:t xml:space="preserve">confirmed she understood the issue regarding the application of the Human Rights </w:t>
      </w:r>
      <w:r w:rsidR="00DB0F7C">
        <w:rPr>
          <w:rFonts w:ascii="Book Antiqua" w:hAnsi="Book Antiqua"/>
        </w:rPr>
        <w:t>C</w:t>
      </w:r>
      <w:r>
        <w:rPr>
          <w:rFonts w:ascii="Book Antiqua" w:hAnsi="Book Antiqua"/>
        </w:rPr>
        <w:t xml:space="preserve">onvention despite its technicality and </w:t>
      </w:r>
      <w:proofErr w:type="gramStart"/>
      <w:r>
        <w:rPr>
          <w:rFonts w:ascii="Book Antiqua" w:hAnsi="Book Antiqua"/>
        </w:rPr>
        <w:t>in order to</w:t>
      </w:r>
      <w:proofErr w:type="gramEnd"/>
      <w:r>
        <w:rPr>
          <w:rFonts w:ascii="Book Antiqua" w:hAnsi="Book Antiqua"/>
        </w:rPr>
        <w:t xml:space="preserve"> obtain some background and</w:t>
      </w:r>
      <w:r w:rsidR="00490FE1">
        <w:rPr>
          <w:rFonts w:ascii="Book Antiqua" w:hAnsi="Book Antiqua"/>
        </w:rPr>
        <w:t xml:space="preserve"> ensure</w:t>
      </w:r>
      <w:r>
        <w:rPr>
          <w:rFonts w:ascii="Book Antiqua" w:hAnsi="Book Antiqua"/>
        </w:rPr>
        <w:t xml:space="preserve"> her involvement in the proceedings</w:t>
      </w:r>
      <w:r w:rsidR="00490FE1">
        <w:rPr>
          <w:rFonts w:ascii="Book Antiqua" w:hAnsi="Book Antiqua"/>
        </w:rPr>
        <w:t>,</w:t>
      </w:r>
      <w:r w:rsidR="00561E35">
        <w:rPr>
          <w:rFonts w:ascii="Book Antiqua" w:hAnsi="Book Antiqua"/>
        </w:rPr>
        <w:t xml:space="preserve"> </w:t>
      </w:r>
      <w:r>
        <w:rPr>
          <w:rFonts w:ascii="Book Antiqua" w:hAnsi="Book Antiqua"/>
        </w:rPr>
        <w:t xml:space="preserve">I provided her with a bundle of core </w:t>
      </w:r>
      <w:r w:rsidR="00561E35">
        <w:rPr>
          <w:rFonts w:ascii="Book Antiqua" w:hAnsi="Book Antiqua"/>
        </w:rPr>
        <w:t>papers</w:t>
      </w:r>
      <w:r>
        <w:rPr>
          <w:rFonts w:ascii="Book Antiqua" w:hAnsi="Book Antiqua"/>
        </w:rPr>
        <w:t xml:space="preserve">. </w:t>
      </w:r>
      <w:r w:rsidR="00DB0F7C">
        <w:rPr>
          <w:rFonts w:ascii="Book Antiqua" w:hAnsi="Book Antiqua"/>
        </w:rPr>
        <w:t xml:space="preserve"> </w:t>
      </w:r>
      <w:r>
        <w:rPr>
          <w:rFonts w:ascii="Book Antiqua" w:hAnsi="Book Antiqua"/>
        </w:rPr>
        <w:t xml:space="preserve">I asked her some questions. </w:t>
      </w:r>
      <w:r w:rsidR="00DB0F7C">
        <w:rPr>
          <w:rFonts w:ascii="Book Antiqua" w:hAnsi="Book Antiqua"/>
        </w:rPr>
        <w:t xml:space="preserve"> </w:t>
      </w:r>
      <w:r>
        <w:rPr>
          <w:rFonts w:ascii="Book Antiqua" w:hAnsi="Book Antiqua"/>
        </w:rPr>
        <w:t xml:space="preserve">Her replies revealed additional matters not covered in the </w:t>
      </w:r>
      <w:proofErr w:type="spellStart"/>
      <w:r>
        <w:rPr>
          <w:rFonts w:ascii="Book Antiqua" w:hAnsi="Book Antiqua"/>
        </w:rPr>
        <w:t>FtT</w:t>
      </w:r>
      <w:proofErr w:type="spellEnd"/>
      <w:r>
        <w:rPr>
          <w:rFonts w:ascii="Book Antiqua" w:hAnsi="Book Antiqua"/>
        </w:rPr>
        <w:t xml:space="preserve"> decision including </w:t>
      </w:r>
      <w:r w:rsidR="00561E35">
        <w:rPr>
          <w:rFonts w:ascii="Book Antiqua" w:hAnsi="Book Antiqua"/>
        </w:rPr>
        <w:t>aspects</w:t>
      </w:r>
      <w:r>
        <w:rPr>
          <w:rFonts w:ascii="Book Antiqua" w:hAnsi="Book Antiqua"/>
        </w:rPr>
        <w:t xml:space="preserve"> that differed from the decision record. </w:t>
      </w:r>
      <w:r w:rsidR="00DB0F7C">
        <w:rPr>
          <w:rFonts w:ascii="Book Antiqua" w:hAnsi="Book Antiqua"/>
        </w:rPr>
        <w:t xml:space="preserve"> </w:t>
      </w:r>
      <w:r>
        <w:rPr>
          <w:rFonts w:ascii="Book Antiqua" w:hAnsi="Book Antiqua"/>
        </w:rPr>
        <w:t>Ms Alam had been born and</w:t>
      </w:r>
      <w:r w:rsidR="00E304EF">
        <w:rPr>
          <w:rFonts w:ascii="Book Antiqua" w:hAnsi="Book Antiqua"/>
        </w:rPr>
        <w:t xml:space="preserve"> raised </w:t>
      </w:r>
      <w:r>
        <w:rPr>
          <w:rFonts w:ascii="Book Antiqua" w:hAnsi="Book Antiqua"/>
        </w:rPr>
        <w:t xml:space="preserve">in Glasgow. </w:t>
      </w:r>
      <w:r w:rsidR="00DB0F7C">
        <w:rPr>
          <w:rFonts w:ascii="Book Antiqua" w:hAnsi="Book Antiqua"/>
        </w:rPr>
        <w:t xml:space="preserve"> </w:t>
      </w:r>
      <w:r>
        <w:rPr>
          <w:rFonts w:ascii="Book Antiqua" w:hAnsi="Book Antiqua"/>
        </w:rPr>
        <w:t>She had married the claimant when he was in Scotland as a student and working in 2006.</w:t>
      </w:r>
      <w:r w:rsidR="00DB0F7C">
        <w:rPr>
          <w:rFonts w:ascii="Book Antiqua" w:hAnsi="Book Antiqua"/>
        </w:rPr>
        <w:t xml:space="preserve"> </w:t>
      </w:r>
      <w:r>
        <w:rPr>
          <w:rFonts w:ascii="Book Antiqua" w:hAnsi="Book Antiqua"/>
        </w:rPr>
        <w:t xml:space="preserve"> He had returned to Pakistan in 2008 when the</w:t>
      </w:r>
      <w:r w:rsidR="00DB0F7C">
        <w:rPr>
          <w:rFonts w:ascii="Book Antiqua" w:hAnsi="Book Antiqua"/>
        </w:rPr>
        <w:t>i</w:t>
      </w:r>
      <w:r>
        <w:rPr>
          <w:rFonts w:ascii="Book Antiqua" w:hAnsi="Book Antiqua"/>
        </w:rPr>
        <w:t xml:space="preserve">r eldest child was 7 months old. </w:t>
      </w:r>
      <w:r w:rsidR="00DB0F7C">
        <w:rPr>
          <w:rFonts w:ascii="Book Antiqua" w:hAnsi="Book Antiqua"/>
        </w:rPr>
        <w:t xml:space="preserve"> </w:t>
      </w:r>
      <w:r>
        <w:rPr>
          <w:rFonts w:ascii="Book Antiqua" w:hAnsi="Book Antiqua"/>
        </w:rPr>
        <w:t>Their second child</w:t>
      </w:r>
      <w:r w:rsidR="00065998">
        <w:rPr>
          <w:rFonts w:ascii="Book Antiqua" w:hAnsi="Book Antiqua"/>
        </w:rPr>
        <w:t>,</w:t>
      </w:r>
      <w:r>
        <w:rPr>
          <w:rFonts w:ascii="Book Antiqua" w:hAnsi="Book Antiqua"/>
        </w:rPr>
        <w:t xml:space="preserve"> a boy</w:t>
      </w:r>
      <w:r w:rsidR="00065998">
        <w:rPr>
          <w:rFonts w:ascii="Book Antiqua" w:hAnsi="Book Antiqua"/>
        </w:rPr>
        <w:t>,</w:t>
      </w:r>
      <w:r>
        <w:rPr>
          <w:rFonts w:ascii="Book Antiqua" w:hAnsi="Book Antiqua"/>
        </w:rPr>
        <w:t xml:space="preserve"> was born in 2009. </w:t>
      </w:r>
      <w:r w:rsidR="00DB0F7C">
        <w:rPr>
          <w:rFonts w:ascii="Book Antiqua" w:hAnsi="Book Antiqua"/>
        </w:rPr>
        <w:t xml:space="preserve"> </w:t>
      </w:r>
      <w:r>
        <w:rPr>
          <w:rFonts w:ascii="Book Antiqua" w:hAnsi="Book Antiqua"/>
        </w:rPr>
        <w:t>She has last seen the claimant in 2015 having lived in Pakistan on and off since 2008 before her return to the UK.</w:t>
      </w:r>
      <w:r w:rsidR="00DB0F7C">
        <w:rPr>
          <w:rFonts w:ascii="Book Antiqua" w:hAnsi="Book Antiqua"/>
        </w:rPr>
        <w:t xml:space="preserve"> </w:t>
      </w:r>
      <w:r>
        <w:rPr>
          <w:rFonts w:ascii="Book Antiqua" w:hAnsi="Book Antiqua"/>
        </w:rPr>
        <w:t xml:space="preserve"> The main reason not to stay in Pakistan had been because her daughter had suffered unexplained but serious allergies there which evaporated on return to Scotland. </w:t>
      </w:r>
      <w:r w:rsidR="00DB0F7C">
        <w:rPr>
          <w:rFonts w:ascii="Book Antiqua" w:hAnsi="Book Antiqua"/>
        </w:rPr>
        <w:t xml:space="preserve"> </w:t>
      </w:r>
      <w:r>
        <w:rPr>
          <w:rFonts w:ascii="Book Antiqua" w:hAnsi="Book Antiqua"/>
        </w:rPr>
        <w:t xml:space="preserve">Her daughter had been unable </w:t>
      </w:r>
      <w:r w:rsidR="00E929ED">
        <w:rPr>
          <w:rFonts w:ascii="Book Antiqua" w:hAnsi="Book Antiqua"/>
        </w:rPr>
        <w:t xml:space="preserve">as </w:t>
      </w:r>
      <w:r>
        <w:rPr>
          <w:rFonts w:ascii="Book Antiqua" w:hAnsi="Book Antiqua"/>
        </w:rPr>
        <w:t xml:space="preserve">a result to do her best in Pakistan at school which was intense. </w:t>
      </w:r>
    </w:p>
    <w:p w:rsidR="00D655E7" w:rsidRDefault="00D655E7" w:rsidP="00D655E7">
      <w:pPr>
        <w:pStyle w:val="Body"/>
        <w:numPr>
          <w:ilvl w:val="0"/>
          <w:numId w:val="4"/>
        </w:numPr>
        <w:spacing w:before="240" w:after="240"/>
        <w:jc w:val="both"/>
        <w:rPr>
          <w:rFonts w:ascii="Book Antiqua" w:hAnsi="Book Antiqua"/>
        </w:rPr>
      </w:pPr>
      <w:r>
        <w:rPr>
          <w:rFonts w:ascii="Book Antiqua" w:hAnsi="Book Antiqua"/>
        </w:rPr>
        <w:t xml:space="preserve">Following submissions from Mr Govan, Ms Alam added evidence regarding how she approached her responsibility as a mother for her children and that she was supporting them. </w:t>
      </w:r>
      <w:r w:rsidR="001760FE">
        <w:rPr>
          <w:rFonts w:ascii="Book Antiqua" w:hAnsi="Book Antiqua"/>
        </w:rPr>
        <w:t xml:space="preserve"> </w:t>
      </w:r>
      <w:r>
        <w:rPr>
          <w:rFonts w:ascii="Book Antiqua" w:hAnsi="Book Antiqua"/>
        </w:rPr>
        <w:t xml:space="preserve"> She referred to her independence and ability to manage without the need for anyone else.</w:t>
      </w:r>
      <w:r w:rsidR="001760FE">
        <w:rPr>
          <w:rFonts w:ascii="Book Antiqua" w:hAnsi="Book Antiqua"/>
        </w:rPr>
        <w:t xml:space="preserve"> </w:t>
      </w:r>
      <w:r>
        <w:rPr>
          <w:rFonts w:ascii="Book Antiqua" w:hAnsi="Book Antiqua"/>
        </w:rPr>
        <w:t xml:space="preserve"> She works as a cashier in a convenience store. </w:t>
      </w:r>
      <w:r w:rsidR="001760FE">
        <w:rPr>
          <w:rFonts w:ascii="Book Antiqua" w:hAnsi="Book Antiqua"/>
        </w:rPr>
        <w:t xml:space="preserve"> </w:t>
      </w:r>
      <w:r w:rsidR="00C01E34">
        <w:rPr>
          <w:rFonts w:ascii="Book Antiqua" w:hAnsi="Book Antiqua"/>
        </w:rPr>
        <w:t xml:space="preserve">She said that </w:t>
      </w:r>
      <w:r w:rsidR="003546EC">
        <w:rPr>
          <w:rFonts w:ascii="Book Antiqua" w:hAnsi="Book Antiqua"/>
        </w:rPr>
        <w:t>“i</w:t>
      </w:r>
      <w:r>
        <w:rPr>
          <w:rFonts w:ascii="Book Antiqua" w:hAnsi="Book Antiqua"/>
        </w:rPr>
        <w:t>n truth</w:t>
      </w:r>
      <w:r w:rsidR="003546EC">
        <w:rPr>
          <w:rFonts w:ascii="Book Antiqua" w:hAnsi="Book Antiqua"/>
        </w:rPr>
        <w:t>”</w:t>
      </w:r>
      <w:r>
        <w:rPr>
          <w:rFonts w:ascii="Book Antiqua" w:hAnsi="Book Antiqua"/>
        </w:rPr>
        <w:t xml:space="preserve"> her husband is not providing financial support </w:t>
      </w:r>
      <w:proofErr w:type="gramStart"/>
      <w:r>
        <w:rPr>
          <w:rFonts w:ascii="Book Antiqua" w:hAnsi="Book Antiqua"/>
        </w:rPr>
        <w:t>at the moment</w:t>
      </w:r>
      <w:proofErr w:type="gramEnd"/>
      <w:r>
        <w:rPr>
          <w:rFonts w:ascii="Book Antiqua" w:hAnsi="Book Antiqua"/>
        </w:rPr>
        <w:t xml:space="preserve"> however she described him as a good dad. </w:t>
      </w:r>
      <w:r w:rsidR="001760FE">
        <w:rPr>
          <w:rFonts w:ascii="Book Antiqua" w:hAnsi="Book Antiqua"/>
        </w:rPr>
        <w:t xml:space="preserve"> </w:t>
      </w:r>
      <w:r>
        <w:rPr>
          <w:rFonts w:ascii="Book Antiqua" w:hAnsi="Book Antiqua"/>
        </w:rPr>
        <w:t xml:space="preserve">The lifestyle in Pakistan was </w:t>
      </w:r>
      <w:r w:rsidR="00964128">
        <w:rPr>
          <w:rFonts w:ascii="Book Antiqua" w:hAnsi="Book Antiqua"/>
        </w:rPr>
        <w:t>“</w:t>
      </w:r>
      <w:r>
        <w:rPr>
          <w:rFonts w:ascii="Book Antiqua" w:hAnsi="Book Antiqua"/>
        </w:rPr>
        <w:t>really good</w:t>
      </w:r>
      <w:r w:rsidR="00964128">
        <w:rPr>
          <w:rFonts w:ascii="Book Antiqua" w:hAnsi="Book Antiqua"/>
        </w:rPr>
        <w:t>”</w:t>
      </w:r>
      <w:r>
        <w:rPr>
          <w:rFonts w:ascii="Book Antiqua" w:hAnsi="Book Antiqua"/>
        </w:rPr>
        <w:t xml:space="preserve"> but her daughter could not stay there. </w:t>
      </w:r>
      <w:r w:rsidR="004831C4">
        <w:rPr>
          <w:rFonts w:ascii="Book Antiqua" w:hAnsi="Book Antiqua"/>
        </w:rPr>
        <w:t xml:space="preserve"> </w:t>
      </w:r>
      <w:r w:rsidR="00B20117">
        <w:rPr>
          <w:rFonts w:ascii="Book Antiqua" w:hAnsi="Book Antiqua"/>
        </w:rPr>
        <w:t xml:space="preserve">She was not aware in response to questions from Mr </w:t>
      </w:r>
      <w:proofErr w:type="spellStart"/>
      <w:r w:rsidR="00B20117">
        <w:rPr>
          <w:rFonts w:ascii="Book Antiqua" w:hAnsi="Book Antiqua"/>
        </w:rPr>
        <w:t>Govan</w:t>
      </w:r>
      <w:proofErr w:type="spellEnd"/>
      <w:r w:rsidR="00B20117">
        <w:rPr>
          <w:rFonts w:ascii="Book Antiqua" w:hAnsi="Book Antiqua"/>
        </w:rPr>
        <w:t xml:space="preserve"> whether his business was successful or not as she did not discuss such matters with him.  Were she to need funding to visit Pakistan, she explained that her husband would sort it out.  She concluded </w:t>
      </w:r>
      <w:r w:rsidR="004831C4">
        <w:rPr>
          <w:rFonts w:ascii="Book Antiqua" w:hAnsi="Book Antiqua"/>
        </w:rPr>
        <w:t xml:space="preserve">her evidence </w:t>
      </w:r>
      <w:r w:rsidR="00B20117">
        <w:rPr>
          <w:rFonts w:ascii="Book Antiqua" w:hAnsi="Book Antiqua"/>
        </w:rPr>
        <w:t xml:space="preserve">with a concern of the impact on the children were her husband to visit and leave abruptly.  She was concerned how the children would manage and </w:t>
      </w:r>
      <w:proofErr w:type="spellStart"/>
      <w:r w:rsidR="00B20117">
        <w:rPr>
          <w:rFonts w:ascii="Book Antiqua" w:hAnsi="Book Antiqua"/>
        </w:rPr>
        <w:t>emphasised</w:t>
      </w:r>
      <w:proofErr w:type="spellEnd"/>
      <w:r w:rsidR="00B20117">
        <w:rPr>
          <w:rFonts w:ascii="Book Antiqua" w:hAnsi="Book Antiqua"/>
        </w:rPr>
        <w:t xml:space="preserve"> that her husband was very good with the children.</w:t>
      </w:r>
    </w:p>
    <w:p w:rsidR="00D655E7" w:rsidRDefault="00D655E7" w:rsidP="00D655E7">
      <w:pPr>
        <w:pStyle w:val="Body"/>
        <w:numPr>
          <w:ilvl w:val="0"/>
          <w:numId w:val="4"/>
        </w:numPr>
        <w:spacing w:before="240" w:after="240"/>
        <w:jc w:val="both"/>
        <w:rPr>
          <w:rFonts w:ascii="Book Antiqua" w:hAnsi="Book Antiqua"/>
        </w:rPr>
      </w:pPr>
      <w:r>
        <w:rPr>
          <w:rFonts w:ascii="Book Antiqua" w:hAnsi="Book Antiqua"/>
        </w:rPr>
        <w:t>In his submissions</w:t>
      </w:r>
      <w:r w:rsidR="00086E68">
        <w:rPr>
          <w:rFonts w:ascii="Book Antiqua" w:hAnsi="Book Antiqua"/>
        </w:rPr>
        <w:t>,</w:t>
      </w:r>
      <w:r>
        <w:rPr>
          <w:rFonts w:ascii="Book Antiqua" w:hAnsi="Book Antiqua"/>
        </w:rPr>
        <w:t xml:space="preserve"> Mr </w:t>
      </w:r>
      <w:proofErr w:type="spellStart"/>
      <w:r>
        <w:rPr>
          <w:rFonts w:ascii="Book Antiqua" w:hAnsi="Book Antiqua"/>
        </w:rPr>
        <w:t>Govan</w:t>
      </w:r>
      <w:proofErr w:type="spellEnd"/>
      <w:r>
        <w:rPr>
          <w:rFonts w:ascii="Book Antiqua" w:hAnsi="Book Antiqua"/>
        </w:rPr>
        <w:t xml:space="preserve"> maintained the ground that there was no scope for Article 8 engagement in visit applications and that there was an inadequacy of reasoning concerning the obstacles to the appellant hav</w:t>
      </w:r>
      <w:r w:rsidR="001760FE">
        <w:rPr>
          <w:rFonts w:ascii="Book Antiqua" w:hAnsi="Book Antiqua"/>
        </w:rPr>
        <w:t>ing</w:t>
      </w:r>
      <w:r>
        <w:rPr>
          <w:rFonts w:ascii="Book Antiqua" w:hAnsi="Book Antiqua"/>
        </w:rPr>
        <w:t xml:space="preserve"> visits by his wife and children to Pakistan.  There was no mention of medical evidence concerning the appellant’s daughter</w:t>
      </w:r>
      <w:r w:rsidR="001760FE">
        <w:rPr>
          <w:rFonts w:ascii="Book Antiqua" w:hAnsi="Book Antiqua"/>
        </w:rPr>
        <w:t>’s</w:t>
      </w:r>
      <w:r>
        <w:rPr>
          <w:rFonts w:ascii="Book Antiqua" w:hAnsi="Book Antiqua"/>
        </w:rPr>
        <w:t xml:space="preserve"> allergy preventing her from such and it remained unclear why it was not financially feasible for the appellant’s wife to visit him.  In summary he </w:t>
      </w:r>
      <w:r>
        <w:rPr>
          <w:rFonts w:ascii="Book Antiqua" w:hAnsi="Book Antiqua"/>
        </w:rPr>
        <w:lastRenderedPageBreak/>
        <w:t xml:space="preserve">contended </w:t>
      </w:r>
      <w:r w:rsidR="00086E68">
        <w:rPr>
          <w:rFonts w:ascii="Book Antiqua" w:hAnsi="Book Antiqua"/>
        </w:rPr>
        <w:t xml:space="preserve">that </w:t>
      </w:r>
      <w:r>
        <w:rPr>
          <w:rFonts w:ascii="Book Antiqua" w:hAnsi="Book Antiqua"/>
        </w:rPr>
        <w:t xml:space="preserve">whilst acknowledging </w:t>
      </w:r>
      <w:r w:rsidR="0064395A">
        <w:rPr>
          <w:rFonts w:ascii="Book Antiqua" w:hAnsi="Book Antiqua"/>
        </w:rPr>
        <w:t xml:space="preserve">that </w:t>
      </w:r>
      <w:r>
        <w:rPr>
          <w:rFonts w:ascii="Book Antiqua" w:hAnsi="Book Antiqua"/>
        </w:rPr>
        <w:t>family life</w:t>
      </w:r>
      <w:r w:rsidR="00B25EE7">
        <w:rPr>
          <w:rFonts w:ascii="Book Antiqua" w:hAnsi="Book Antiqua"/>
        </w:rPr>
        <w:t xml:space="preserve"> existed,</w:t>
      </w:r>
      <w:r>
        <w:rPr>
          <w:rFonts w:ascii="Book Antiqua" w:hAnsi="Book Antiqua"/>
        </w:rPr>
        <w:t xml:space="preserve"> the United Kingdom’s obligations were not engaged in respect of the Entry Clearance Officer’s decision.  He reminded me that there was no evidence before the judge of the medical condition relating to the appellant’s daughter.  </w:t>
      </w:r>
    </w:p>
    <w:p w:rsidR="00D655E7" w:rsidRDefault="00D655E7" w:rsidP="00D655E7">
      <w:pPr>
        <w:pStyle w:val="Body"/>
        <w:numPr>
          <w:ilvl w:val="0"/>
          <w:numId w:val="4"/>
        </w:numPr>
        <w:spacing w:before="240" w:after="240"/>
        <w:jc w:val="both"/>
        <w:rPr>
          <w:rFonts w:ascii="Book Antiqua" w:hAnsi="Book Antiqua"/>
        </w:rPr>
      </w:pPr>
      <w:r>
        <w:rPr>
          <w:rFonts w:ascii="Book Antiqua" w:hAnsi="Book Antiqua"/>
        </w:rPr>
        <w:t xml:space="preserve">The skeleton argument </w:t>
      </w:r>
      <w:r w:rsidR="00C3114C">
        <w:rPr>
          <w:rFonts w:ascii="Book Antiqua" w:hAnsi="Book Antiqua"/>
        </w:rPr>
        <w:t>from the claimant</w:t>
      </w:r>
      <w:r>
        <w:rPr>
          <w:rFonts w:ascii="Book Antiqua" w:hAnsi="Book Antiqua"/>
        </w:rPr>
        <w:t xml:space="preserve"> had been prepared with the assistance of a lawyer in Pakistan</w:t>
      </w:r>
      <w:r w:rsidR="00C3114C">
        <w:rPr>
          <w:rFonts w:ascii="Book Antiqua" w:hAnsi="Book Antiqua"/>
        </w:rPr>
        <w:t xml:space="preserve"> according to </w:t>
      </w:r>
      <w:proofErr w:type="spellStart"/>
      <w:r w:rsidR="00C3114C">
        <w:rPr>
          <w:rFonts w:ascii="Book Antiqua" w:hAnsi="Book Antiqua"/>
        </w:rPr>
        <w:t>Ms</w:t>
      </w:r>
      <w:proofErr w:type="spellEnd"/>
      <w:r w:rsidR="00C3114C">
        <w:rPr>
          <w:rFonts w:ascii="Book Antiqua" w:hAnsi="Book Antiqua"/>
        </w:rPr>
        <w:t xml:space="preserve"> </w:t>
      </w:r>
      <w:proofErr w:type="spellStart"/>
      <w:r w:rsidR="00C3114C">
        <w:rPr>
          <w:rFonts w:ascii="Book Antiqua" w:hAnsi="Book Antiqua"/>
        </w:rPr>
        <w:t>Alam</w:t>
      </w:r>
      <w:proofErr w:type="spellEnd"/>
      <w:r w:rsidR="00C3114C">
        <w:rPr>
          <w:rFonts w:ascii="Book Antiqua" w:hAnsi="Book Antiqua"/>
        </w:rPr>
        <w:t>.</w:t>
      </w:r>
      <w:r>
        <w:rPr>
          <w:rFonts w:ascii="Book Antiqua" w:hAnsi="Book Antiqua"/>
        </w:rPr>
        <w:t xml:space="preserve">  It is argued that the </w:t>
      </w:r>
      <w:r w:rsidR="00C11AB0">
        <w:rPr>
          <w:rFonts w:ascii="Book Antiqua" w:hAnsi="Book Antiqua"/>
        </w:rPr>
        <w:t>claimant</w:t>
      </w:r>
      <w:r>
        <w:rPr>
          <w:rFonts w:ascii="Book Antiqua" w:hAnsi="Book Antiqua"/>
        </w:rPr>
        <w:t xml:space="preserve"> enjoys a right of appeal which was addressed by First-tier Tribunal Judge Doyle in his decision to allow an in-time appeal.  At this juncture I observe</w:t>
      </w:r>
      <w:r w:rsidR="00367483">
        <w:rPr>
          <w:rFonts w:ascii="Book Antiqua" w:hAnsi="Book Antiqua"/>
        </w:rPr>
        <w:t xml:space="preserve"> that</w:t>
      </w:r>
      <w:r>
        <w:rPr>
          <w:rFonts w:ascii="Book Antiqua" w:hAnsi="Book Antiqua"/>
        </w:rPr>
        <w:t xml:space="preserve"> the decision by First-tier Tribunal Judge Doyle dated 31 May 2016 is silent on the point other than observing that the grounds raised issues which should be ventilated before an </w:t>
      </w:r>
      <w:r w:rsidR="002618F9">
        <w:rPr>
          <w:rFonts w:ascii="Book Antiqua" w:hAnsi="Book Antiqua"/>
        </w:rPr>
        <w:t>i</w:t>
      </w:r>
      <w:r>
        <w:rPr>
          <w:rFonts w:ascii="Book Antiqua" w:hAnsi="Book Antiqua"/>
        </w:rPr>
        <w:t xml:space="preserve">mmigration </w:t>
      </w:r>
      <w:r w:rsidR="002618F9">
        <w:rPr>
          <w:rFonts w:ascii="Book Antiqua" w:hAnsi="Book Antiqua"/>
        </w:rPr>
        <w:t>j</w:t>
      </w:r>
      <w:r>
        <w:rPr>
          <w:rFonts w:ascii="Book Antiqua" w:hAnsi="Book Antiqua"/>
        </w:rPr>
        <w:t xml:space="preserve">udge.  Continuing with the submissions, it is argued that the circumstances of the current case were dissimilar to those in </w:t>
      </w:r>
      <w:r w:rsidRPr="00D37A55">
        <w:rPr>
          <w:rFonts w:ascii="Book Antiqua" w:hAnsi="Book Antiqua"/>
          <w:i/>
        </w:rPr>
        <w:t>Onuorah</w:t>
      </w:r>
      <w:r>
        <w:rPr>
          <w:rFonts w:ascii="Book Antiqua" w:hAnsi="Book Antiqua"/>
        </w:rPr>
        <w:t xml:space="preserve"> where the Court of Appeal decided there was no private or family life under Article 8 and so the current case could be clearly distinguished.  Judge MacDonald had found the sponsor to be a truthful and credible witness and had considered the appellant’s previous </w:t>
      </w:r>
      <w:r w:rsidR="003441F7">
        <w:rPr>
          <w:rFonts w:ascii="Book Antiqua" w:hAnsi="Book Antiqua"/>
        </w:rPr>
        <w:t xml:space="preserve">immigration </w:t>
      </w:r>
      <w:r>
        <w:rPr>
          <w:rFonts w:ascii="Book Antiqua" w:hAnsi="Book Antiqua"/>
        </w:rPr>
        <w:t xml:space="preserve">history and financial viability. </w:t>
      </w:r>
    </w:p>
    <w:p w:rsidR="00587979" w:rsidRDefault="00587979" w:rsidP="00587979">
      <w:pPr>
        <w:pStyle w:val="Body"/>
        <w:spacing w:before="240" w:after="240"/>
        <w:jc w:val="both"/>
        <w:rPr>
          <w:rFonts w:ascii="Book Antiqua" w:hAnsi="Book Antiqua"/>
        </w:rPr>
      </w:pPr>
      <w:r>
        <w:rPr>
          <w:rFonts w:ascii="Book Antiqua" w:hAnsi="Book Antiqua"/>
        </w:rPr>
        <w:t>DISCUSSION</w:t>
      </w:r>
    </w:p>
    <w:p w:rsidR="00D655E7" w:rsidRDefault="00D655E7" w:rsidP="00D655E7">
      <w:pPr>
        <w:pStyle w:val="Body"/>
        <w:numPr>
          <w:ilvl w:val="0"/>
          <w:numId w:val="4"/>
        </w:numPr>
        <w:spacing w:before="240" w:after="240"/>
        <w:jc w:val="both"/>
        <w:rPr>
          <w:rFonts w:ascii="Book Antiqua" w:hAnsi="Book Antiqua"/>
        </w:rPr>
      </w:pPr>
      <w:r>
        <w:rPr>
          <w:rFonts w:ascii="Book Antiqua" w:hAnsi="Book Antiqua"/>
        </w:rPr>
        <w:t xml:space="preserve">I reach the following conclusions.  In </w:t>
      </w:r>
      <w:r w:rsidR="00352B75">
        <w:rPr>
          <w:rFonts w:ascii="Book Antiqua" w:hAnsi="Book Antiqua"/>
        </w:rPr>
        <w:t>the</w:t>
      </w:r>
      <w:r>
        <w:rPr>
          <w:rFonts w:ascii="Book Antiqua" w:hAnsi="Book Antiqua"/>
        </w:rPr>
        <w:t xml:space="preserve"> reasons for allowing the appeal </w:t>
      </w:r>
      <w:r w:rsidR="001A0B2C">
        <w:rPr>
          <w:rFonts w:ascii="Book Antiqua" w:hAnsi="Book Antiqua"/>
        </w:rPr>
        <w:t xml:space="preserve">the Tribunal </w:t>
      </w:r>
      <w:r>
        <w:rPr>
          <w:rFonts w:ascii="Book Antiqua" w:hAnsi="Book Antiqua"/>
        </w:rPr>
        <w:t xml:space="preserve">considered only the fifth of the five </w:t>
      </w:r>
      <w:r w:rsidRPr="001436F7">
        <w:rPr>
          <w:rFonts w:ascii="Book Antiqua" w:hAnsi="Book Antiqua"/>
          <w:i/>
        </w:rPr>
        <w:t>Razgar</w:t>
      </w:r>
      <w:r>
        <w:rPr>
          <w:rFonts w:ascii="Book Antiqua" w:hAnsi="Book Antiqua"/>
        </w:rPr>
        <w:t xml:space="preserve"> stages.  There is no dispute that there is family life between the appellant and his United Kingdom family but had the judge asked the first of the two questions, the result might well have been different:</w:t>
      </w:r>
    </w:p>
    <w:p w:rsidR="00D655E7" w:rsidRDefault="00D655E7" w:rsidP="00D655E7">
      <w:pPr>
        <w:pStyle w:val="Body"/>
        <w:spacing w:before="240" w:after="240"/>
        <w:ind w:left="1701" w:hanging="567"/>
        <w:jc w:val="both"/>
        <w:rPr>
          <w:rFonts w:ascii="Book Antiqua" w:hAnsi="Book Antiqua"/>
          <w:sz w:val="22"/>
          <w:szCs w:val="22"/>
        </w:rPr>
      </w:pPr>
      <w:r>
        <w:rPr>
          <w:rFonts w:ascii="Book Antiqua" w:hAnsi="Book Antiqua"/>
          <w:sz w:val="22"/>
          <w:szCs w:val="22"/>
        </w:rPr>
        <w:t>“</w:t>
      </w:r>
      <w:r w:rsidR="001436F7">
        <w:rPr>
          <w:rFonts w:ascii="Book Antiqua" w:hAnsi="Book Antiqua"/>
          <w:sz w:val="22"/>
          <w:szCs w:val="22"/>
        </w:rPr>
        <w:t>(</w:t>
      </w:r>
      <w:r>
        <w:rPr>
          <w:rFonts w:ascii="Book Antiqua" w:hAnsi="Book Antiqua"/>
          <w:sz w:val="22"/>
          <w:szCs w:val="22"/>
        </w:rPr>
        <w:t>1</w:t>
      </w:r>
      <w:r w:rsidR="001436F7">
        <w:rPr>
          <w:rFonts w:ascii="Book Antiqua" w:hAnsi="Book Antiqua"/>
          <w:sz w:val="22"/>
          <w:szCs w:val="22"/>
        </w:rPr>
        <w:t>)</w:t>
      </w:r>
      <w:r>
        <w:rPr>
          <w:rFonts w:ascii="Book Antiqua" w:hAnsi="Book Antiqua"/>
          <w:sz w:val="22"/>
          <w:szCs w:val="22"/>
        </w:rPr>
        <w:tab/>
        <w:t>Will the proposed removal be an interference by a public authority with the exercise of the applicant’s right to respect for his private or (as the case may be) family life?</w:t>
      </w:r>
    </w:p>
    <w:p w:rsidR="00D655E7" w:rsidRPr="009C20FA" w:rsidRDefault="001436F7" w:rsidP="00D655E7">
      <w:pPr>
        <w:pStyle w:val="Body"/>
        <w:spacing w:before="240" w:after="240"/>
        <w:ind w:left="1701" w:hanging="567"/>
        <w:jc w:val="both"/>
        <w:rPr>
          <w:rFonts w:ascii="Book Antiqua" w:hAnsi="Book Antiqua"/>
          <w:sz w:val="22"/>
          <w:szCs w:val="22"/>
        </w:rPr>
      </w:pPr>
      <w:r>
        <w:rPr>
          <w:rFonts w:ascii="Book Antiqua" w:hAnsi="Book Antiqua"/>
          <w:sz w:val="22"/>
          <w:szCs w:val="22"/>
        </w:rPr>
        <w:t>(</w:t>
      </w:r>
      <w:r w:rsidR="00D655E7">
        <w:rPr>
          <w:rFonts w:ascii="Book Antiqua" w:hAnsi="Book Antiqua"/>
          <w:sz w:val="22"/>
          <w:szCs w:val="22"/>
        </w:rPr>
        <w:t>2</w:t>
      </w:r>
      <w:r>
        <w:rPr>
          <w:rFonts w:ascii="Book Antiqua" w:hAnsi="Book Antiqua"/>
          <w:sz w:val="22"/>
          <w:szCs w:val="22"/>
        </w:rPr>
        <w:t>)</w:t>
      </w:r>
      <w:r w:rsidR="00D655E7">
        <w:rPr>
          <w:rFonts w:ascii="Book Antiqua" w:hAnsi="Book Antiqua"/>
          <w:sz w:val="22"/>
          <w:szCs w:val="22"/>
        </w:rPr>
        <w:tab/>
        <w:t>If so, will such interference have consequences of such gravity as potentially to engage the operation of Article 8?”</w:t>
      </w:r>
    </w:p>
    <w:p w:rsidR="00EA7075" w:rsidRDefault="003072F3" w:rsidP="00137607">
      <w:pPr>
        <w:pStyle w:val="Body"/>
        <w:numPr>
          <w:ilvl w:val="0"/>
          <w:numId w:val="4"/>
        </w:numPr>
        <w:spacing w:before="240" w:after="240"/>
        <w:jc w:val="both"/>
        <w:rPr>
          <w:rFonts w:ascii="Book Antiqua" w:hAnsi="Book Antiqua"/>
        </w:rPr>
      </w:pPr>
      <w:r>
        <w:rPr>
          <w:rFonts w:ascii="Book Antiqua" w:hAnsi="Book Antiqua"/>
        </w:rPr>
        <w:t>T</w:t>
      </w:r>
      <w:r w:rsidR="00D655E7">
        <w:rPr>
          <w:rFonts w:ascii="Book Antiqua" w:hAnsi="Book Antiqua"/>
        </w:rPr>
        <w:t>his case is not concerned with removal but with refusal of a request for a visit.  Th</w:t>
      </w:r>
      <w:r>
        <w:rPr>
          <w:rFonts w:ascii="Book Antiqua" w:hAnsi="Book Antiqua"/>
        </w:rPr>
        <w:t>e</w:t>
      </w:r>
      <w:r w:rsidR="003371DC">
        <w:rPr>
          <w:rFonts w:ascii="Book Antiqua" w:hAnsi="Book Antiqua"/>
        </w:rPr>
        <w:t>re is inconsistency over the</w:t>
      </w:r>
      <w:r>
        <w:rPr>
          <w:rFonts w:ascii="Book Antiqua" w:hAnsi="Book Antiqua"/>
        </w:rPr>
        <w:t xml:space="preserve"> length of the intended </w:t>
      </w:r>
      <w:r w:rsidR="00D655E7">
        <w:rPr>
          <w:rFonts w:ascii="Book Antiqua" w:hAnsi="Book Antiqua"/>
        </w:rPr>
        <w:t>visit</w:t>
      </w:r>
      <w:r w:rsidR="003371DC">
        <w:rPr>
          <w:rFonts w:ascii="Book Antiqua" w:hAnsi="Book Antiqua"/>
        </w:rPr>
        <w:t>. It</w:t>
      </w:r>
      <w:r w:rsidR="00D655E7">
        <w:rPr>
          <w:rFonts w:ascii="Book Antiqua" w:hAnsi="Book Antiqua"/>
        </w:rPr>
        <w:t xml:space="preserve"> was stated in the application to be for six months </w:t>
      </w:r>
      <w:r w:rsidR="003371DC">
        <w:rPr>
          <w:rFonts w:ascii="Book Antiqua" w:hAnsi="Book Antiqua"/>
        </w:rPr>
        <w:t>(</w:t>
      </w:r>
      <w:r w:rsidR="00D655E7">
        <w:rPr>
          <w:rFonts w:ascii="Book Antiqua" w:hAnsi="Book Antiqua"/>
        </w:rPr>
        <w:t>in response to question 19</w:t>
      </w:r>
      <w:r w:rsidR="003371DC">
        <w:rPr>
          <w:rFonts w:ascii="Book Antiqua" w:hAnsi="Book Antiqua"/>
        </w:rPr>
        <w:t xml:space="preserve">) </w:t>
      </w:r>
      <w:r w:rsidR="00D655E7">
        <w:rPr>
          <w:rFonts w:ascii="Book Antiqua" w:hAnsi="Book Antiqua"/>
        </w:rPr>
        <w:t>or “about two weeks” as indicated in additional information provided with the application.</w:t>
      </w:r>
    </w:p>
    <w:p w:rsidR="00D655E7" w:rsidRPr="00137607" w:rsidRDefault="00D655E7" w:rsidP="00137607">
      <w:pPr>
        <w:pStyle w:val="Body"/>
        <w:numPr>
          <w:ilvl w:val="0"/>
          <w:numId w:val="4"/>
        </w:numPr>
        <w:spacing w:before="240" w:after="240"/>
        <w:jc w:val="both"/>
        <w:rPr>
          <w:rFonts w:ascii="Book Antiqua" w:hAnsi="Book Antiqua"/>
        </w:rPr>
      </w:pPr>
      <w:r w:rsidRPr="00137607">
        <w:rPr>
          <w:rFonts w:ascii="Book Antiqua" w:hAnsi="Book Antiqua"/>
        </w:rPr>
        <w:t>Visits between family members were considered by the Court of Appeal in</w:t>
      </w:r>
      <w:r w:rsidRPr="00137607">
        <w:rPr>
          <w:rFonts w:ascii="Book Antiqua" w:hAnsi="Book Antiqua"/>
          <w:i/>
        </w:rPr>
        <w:t xml:space="preserve"> Onuorah</w:t>
      </w:r>
      <w:r w:rsidRPr="00137607">
        <w:rPr>
          <w:rFonts w:ascii="Book Antiqua" w:hAnsi="Book Antiqua"/>
        </w:rPr>
        <w:t xml:space="preserve"> and although the facts were different</w:t>
      </w:r>
      <w:r w:rsidR="000C69AC" w:rsidRPr="00137607">
        <w:rPr>
          <w:rFonts w:ascii="Book Antiqua" w:hAnsi="Book Antiqua"/>
        </w:rPr>
        <w:t>,</w:t>
      </w:r>
      <w:r w:rsidRPr="00137607">
        <w:rPr>
          <w:rFonts w:ascii="Book Antiqua" w:hAnsi="Book Antiqua"/>
        </w:rPr>
        <w:t xml:space="preserve"> in my judgment the principles are the same.  As observed by Singh LJ at [35]:</w:t>
      </w:r>
    </w:p>
    <w:p w:rsidR="00D655E7" w:rsidRPr="00FE112A" w:rsidRDefault="00D655E7" w:rsidP="00D655E7">
      <w:pPr>
        <w:pStyle w:val="Body"/>
        <w:spacing w:before="240" w:after="240"/>
        <w:ind w:left="1134"/>
        <w:jc w:val="both"/>
        <w:rPr>
          <w:rFonts w:ascii="Book Antiqua" w:hAnsi="Book Antiqua"/>
          <w:sz w:val="22"/>
          <w:szCs w:val="22"/>
        </w:rPr>
      </w:pPr>
      <w:r>
        <w:rPr>
          <w:rFonts w:ascii="Book Antiqua" w:hAnsi="Book Antiqua"/>
          <w:sz w:val="22"/>
          <w:szCs w:val="22"/>
        </w:rPr>
        <w:t xml:space="preserve">“… </w:t>
      </w:r>
      <w:r w:rsidR="00503467">
        <w:rPr>
          <w:rFonts w:ascii="Book Antiqua" w:hAnsi="Book Antiqua"/>
          <w:sz w:val="22"/>
          <w:szCs w:val="22"/>
        </w:rPr>
        <w:t>S</w:t>
      </w:r>
      <w:r>
        <w:rPr>
          <w:rFonts w:ascii="Book Antiqua" w:hAnsi="Book Antiqua"/>
          <w:sz w:val="22"/>
          <w:szCs w:val="22"/>
        </w:rPr>
        <w:t>econdly, the shortness of the proposed visit is</w:t>
      </w:r>
      <w:r w:rsidR="00645359">
        <w:rPr>
          <w:rFonts w:ascii="Book Antiqua" w:hAnsi="Book Antiqua"/>
          <w:sz w:val="22"/>
          <w:szCs w:val="22"/>
        </w:rPr>
        <w:t>,</w:t>
      </w:r>
      <w:r>
        <w:rPr>
          <w:rFonts w:ascii="Book Antiqua" w:hAnsi="Book Antiqua"/>
          <w:sz w:val="22"/>
          <w:szCs w:val="22"/>
        </w:rPr>
        <w:t xml:space="preserve"> if anything</w:t>
      </w:r>
      <w:r w:rsidR="00645359">
        <w:rPr>
          <w:rFonts w:ascii="Book Antiqua" w:hAnsi="Book Antiqua"/>
          <w:sz w:val="22"/>
          <w:szCs w:val="22"/>
        </w:rPr>
        <w:t>,</w:t>
      </w:r>
      <w:r>
        <w:rPr>
          <w:rFonts w:ascii="Book Antiqua" w:hAnsi="Book Antiqua"/>
          <w:sz w:val="22"/>
          <w:szCs w:val="22"/>
        </w:rPr>
        <w:t xml:space="preserve"> an indication that the refusal of leave to enter did not involve any want of respect for the </w:t>
      </w:r>
      <w:r w:rsidR="00645359">
        <w:rPr>
          <w:rFonts w:ascii="Book Antiqua" w:hAnsi="Book Antiqua"/>
          <w:sz w:val="22"/>
          <w:szCs w:val="22"/>
        </w:rPr>
        <w:t>R</w:t>
      </w:r>
      <w:r>
        <w:rPr>
          <w:rFonts w:ascii="Book Antiqua" w:hAnsi="Book Antiqua"/>
          <w:sz w:val="22"/>
          <w:szCs w:val="22"/>
        </w:rPr>
        <w:t xml:space="preserve">espondent’s family life for the purposes of Article 8: see </w:t>
      </w:r>
      <w:r w:rsidRPr="00475097">
        <w:rPr>
          <w:rFonts w:ascii="Book Antiqua" w:hAnsi="Book Antiqua"/>
          <w:i/>
          <w:sz w:val="22"/>
          <w:szCs w:val="22"/>
        </w:rPr>
        <w:t>Kopo</w:t>
      </w:r>
      <w:r w:rsidR="00503467">
        <w:rPr>
          <w:rFonts w:ascii="Book Antiqua" w:hAnsi="Book Antiqua"/>
          <w:i/>
          <w:sz w:val="22"/>
          <w:szCs w:val="22"/>
        </w:rPr>
        <w:t>i</w:t>
      </w:r>
      <w:r>
        <w:rPr>
          <w:rFonts w:ascii="Book Antiqua" w:hAnsi="Book Antiqua"/>
          <w:sz w:val="22"/>
          <w:szCs w:val="22"/>
        </w:rPr>
        <w:t xml:space="preserve"> at paragraph 30 (Sales LJ) which I have quoted above.”</w:t>
      </w:r>
    </w:p>
    <w:p w:rsidR="00D655E7" w:rsidRDefault="00D655E7" w:rsidP="000563DB">
      <w:pPr>
        <w:pStyle w:val="Body"/>
        <w:spacing w:before="240" w:after="240"/>
        <w:ind w:left="567"/>
        <w:jc w:val="both"/>
        <w:rPr>
          <w:rFonts w:ascii="Book Antiqua" w:hAnsi="Book Antiqua"/>
        </w:rPr>
      </w:pPr>
      <w:r>
        <w:rPr>
          <w:rFonts w:ascii="Book Antiqua" w:hAnsi="Book Antiqua"/>
        </w:rPr>
        <w:t>That quotation is at [32]</w:t>
      </w:r>
      <w:r w:rsidR="00645359">
        <w:rPr>
          <w:rFonts w:ascii="Book Antiqua" w:hAnsi="Book Antiqua"/>
        </w:rPr>
        <w:t>:</w:t>
      </w:r>
    </w:p>
    <w:p w:rsidR="00D655E7" w:rsidRDefault="00D655E7" w:rsidP="00645359">
      <w:pPr>
        <w:pStyle w:val="Body"/>
        <w:spacing w:before="240" w:after="240"/>
        <w:ind w:left="1134" w:hanging="567"/>
        <w:jc w:val="both"/>
        <w:rPr>
          <w:rFonts w:ascii="Book Antiqua" w:hAnsi="Book Antiqua"/>
          <w:sz w:val="22"/>
          <w:szCs w:val="22"/>
        </w:rPr>
      </w:pPr>
      <w:r>
        <w:rPr>
          <w:rFonts w:ascii="Book Antiqua" w:hAnsi="Book Antiqua"/>
          <w:sz w:val="22"/>
          <w:szCs w:val="22"/>
        </w:rPr>
        <w:t>“Later at para. [30], Sales LJ said:</w:t>
      </w:r>
    </w:p>
    <w:p w:rsidR="00D655E7" w:rsidRPr="00FC4186" w:rsidRDefault="00645359" w:rsidP="00645359">
      <w:pPr>
        <w:pStyle w:val="Body"/>
        <w:spacing w:before="240" w:after="240"/>
        <w:ind w:left="1701"/>
        <w:jc w:val="both"/>
        <w:rPr>
          <w:rFonts w:ascii="Book Antiqua" w:hAnsi="Book Antiqua"/>
          <w:sz w:val="22"/>
          <w:szCs w:val="22"/>
        </w:rPr>
      </w:pPr>
      <w:r w:rsidRPr="00645359">
        <w:rPr>
          <w:rFonts w:ascii="Book Antiqua" w:hAnsi="Book Antiqua"/>
          <w:sz w:val="20"/>
          <w:szCs w:val="20"/>
        </w:rPr>
        <w:lastRenderedPageBreak/>
        <w:t>“</w:t>
      </w:r>
      <w:r w:rsidR="00D655E7" w:rsidRPr="00645359">
        <w:rPr>
          <w:rFonts w:ascii="Book Antiqua" w:hAnsi="Book Antiqua"/>
          <w:sz w:val="20"/>
          <w:szCs w:val="20"/>
        </w:rPr>
        <w:t xml:space="preserve">In my view, the shortness of the proposed visit in the present case is a yet further indication that the refusal of leave to enter did not involve any want of respect for anyone’s family life for the purposes of Article 8.  A </w:t>
      </w:r>
      <w:proofErr w:type="gramStart"/>
      <w:r w:rsidR="00D655E7" w:rsidRPr="00645359">
        <w:rPr>
          <w:rFonts w:ascii="Book Antiqua" w:hAnsi="Book Antiqua"/>
          <w:sz w:val="20"/>
          <w:szCs w:val="20"/>
        </w:rPr>
        <w:t>three week</w:t>
      </w:r>
      <w:proofErr w:type="gramEnd"/>
      <w:r w:rsidR="00D655E7" w:rsidRPr="00645359">
        <w:rPr>
          <w:rFonts w:ascii="Book Antiqua" w:hAnsi="Book Antiqua"/>
          <w:sz w:val="20"/>
          <w:szCs w:val="20"/>
        </w:rPr>
        <w:t xml:space="preserve"> visit would not involve a significant contribution to “family life” in the sense in which that term is used in Article 8.  Of course, it would often be nice for family members to meet up and visit in this way.  But a short visit of this kind will not establish a relationship between any of the individuals concerned of support going beyond normal emotional ties, even if they were a positive obligation under Article 8 (which there is not) to allow a person to enter the United Kingdom to try to develop “family life” which does not currently </w:t>
      </w:r>
      <w:proofErr w:type="gramStart"/>
      <w:r w:rsidR="00D655E7" w:rsidRPr="00645359">
        <w:rPr>
          <w:rFonts w:ascii="Book Antiqua" w:hAnsi="Book Antiqua"/>
          <w:sz w:val="20"/>
          <w:szCs w:val="20"/>
        </w:rPr>
        <w:t>exists</w:t>
      </w:r>
      <w:proofErr w:type="gramEnd"/>
      <w:r w:rsidR="00D655E7" w:rsidRPr="00645359">
        <w:rPr>
          <w:rFonts w:ascii="Book Antiqua" w:hAnsi="Book Antiqua"/>
          <w:sz w:val="20"/>
          <w:szCs w:val="20"/>
        </w:rPr>
        <w:t>.”</w:t>
      </w:r>
      <w:r>
        <w:rPr>
          <w:rFonts w:ascii="Book Antiqua" w:hAnsi="Book Antiqua"/>
          <w:sz w:val="22"/>
          <w:szCs w:val="22"/>
        </w:rPr>
        <w:t>”</w:t>
      </w:r>
    </w:p>
    <w:p w:rsidR="00FA6703" w:rsidRPr="00CC33A3" w:rsidRDefault="00D655E7" w:rsidP="00CC33A3">
      <w:pPr>
        <w:pStyle w:val="Body"/>
        <w:numPr>
          <w:ilvl w:val="0"/>
          <w:numId w:val="4"/>
        </w:numPr>
        <w:spacing w:before="240" w:after="240"/>
        <w:jc w:val="both"/>
        <w:rPr>
          <w:rFonts w:ascii="Book Antiqua" w:hAnsi="Book Antiqua"/>
        </w:rPr>
      </w:pPr>
      <w:r>
        <w:rPr>
          <w:rFonts w:ascii="Book Antiqua" w:hAnsi="Book Antiqua"/>
        </w:rPr>
        <w:t xml:space="preserve">I am conscious that the observations by the </w:t>
      </w:r>
      <w:r w:rsidR="000C69AC">
        <w:rPr>
          <w:rFonts w:ascii="Book Antiqua" w:hAnsi="Book Antiqua"/>
        </w:rPr>
        <w:t>C</w:t>
      </w:r>
      <w:r>
        <w:rPr>
          <w:rFonts w:ascii="Book Antiqua" w:hAnsi="Book Antiqua"/>
        </w:rPr>
        <w:t xml:space="preserve">ourt </w:t>
      </w:r>
      <w:r w:rsidR="000C69AC">
        <w:rPr>
          <w:rFonts w:ascii="Book Antiqua" w:hAnsi="Book Antiqua"/>
        </w:rPr>
        <w:t xml:space="preserve">of Appeal </w:t>
      </w:r>
      <w:r>
        <w:rPr>
          <w:rFonts w:ascii="Book Antiqua" w:hAnsi="Book Antiqua"/>
        </w:rPr>
        <w:t xml:space="preserve">are </w:t>
      </w:r>
      <w:r w:rsidRPr="00645359">
        <w:rPr>
          <w:rFonts w:ascii="Book Antiqua" w:hAnsi="Book Antiqua"/>
          <w:i/>
        </w:rPr>
        <w:t>obiter</w:t>
      </w:r>
      <w:r w:rsidR="00650DCD">
        <w:rPr>
          <w:rFonts w:ascii="Book Antiqua" w:hAnsi="Book Antiqua"/>
          <w:i/>
        </w:rPr>
        <w:t xml:space="preserve"> </w:t>
      </w:r>
      <w:r w:rsidR="00650DCD">
        <w:rPr>
          <w:rFonts w:ascii="Book Antiqua" w:hAnsi="Book Antiqua"/>
        </w:rPr>
        <w:t xml:space="preserve">but </w:t>
      </w:r>
      <w:r w:rsidR="00901E01">
        <w:rPr>
          <w:rFonts w:ascii="Book Antiqua" w:hAnsi="Book Antiqua"/>
        </w:rPr>
        <w:t xml:space="preserve">they </w:t>
      </w:r>
      <w:r w:rsidR="00650DCD">
        <w:rPr>
          <w:rFonts w:ascii="Book Antiqua" w:hAnsi="Book Antiqua"/>
        </w:rPr>
        <w:t xml:space="preserve">are </w:t>
      </w:r>
      <w:r w:rsidR="00314FC7">
        <w:rPr>
          <w:rFonts w:ascii="Book Antiqua" w:hAnsi="Book Antiqua"/>
        </w:rPr>
        <w:t xml:space="preserve">persuasive. </w:t>
      </w:r>
      <w:r w:rsidR="00FA6703" w:rsidRPr="00CC33A3">
        <w:rPr>
          <w:rFonts w:ascii="Book Antiqua" w:hAnsi="Book Antiqua"/>
        </w:rPr>
        <w:t xml:space="preserve">I am satisfied that the First-tier Tribunal erred in its decision. There was a failure to address the inconsistency in the evidence over the planned length of stay. The tribunal expressed concern at the paucity of evidence in [8] which I have quoted above.  That being so, it is not easy to understand how the Tribunal reached its conclusion that </w:t>
      </w:r>
      <w:r w:rsidR="000A3B54">
        <w:rPr>
          <w:rFonts w:ascii="Book Antiqua" w:hAnsi="Book Antiqua"/>
        </w:rPr>
        <w:t xml:space="preserve">there </w:t>
      </w:r>
      <w:r w:rsidR="00FA6703" w:rsidRPr="00CC33A3">
        <w:rPr>
          <w:rFonts w:ascii="Book Antiqua" w:hAnsi="Book Antiqua"/>
        </w:rPr>
        <w:t xml:space="preserve">were compelling reasons why the claimant would return whilst acknowledging the uncertainty of the evidence on the core issue of who would look after the claimant’s business affairs.  I therefore set aside the Tribunal’s decision because of the absence of clear reasoning. </w:t>
      </w:r>
    </w:p>
    <w:p w:rsidR="00901E01" w:rsidRPr="00881309" w:rsidRDefault="00E21F4E" w:rsidP="00901E01">
      <w:pPr>
        <w:pStyle w:val="Body"/>
        <w:numPr>
          <w:ilvl w:val="0"/>
          <w:numId w:val="4"/>
        </w:numPr>
        <w:spacing w:before="240" w:after="240"/>
        <w:jc w:val="both"/>
        <w:rPr>
          <w:rFonts w:ascii="Book Antiqua" w:hAnsi="Book Antiqua"/>
        </w:rPr>
      </w:pPr>
      <w:r>
        <w:rPr>
          <w:rFonts w:ascii="Book Antiqua" w:hAnsi="Book Antiqua"/>
        </w:rPr>
        <w:t xml:space="preserve">As to remaking the decision, a </w:t>
      </w:r>
      <w:r w:rsidR="00901E01">
        <w:rPr>
          <w:rFonts w:ascii="Book Antiqua" w:hAnsi="Book Antiqua"/>
        </w:rPr>
        <w:t>difficulty with th</w:t>
      </w:r>
      <w:r>
        <w:rPr>
          <w:rFonts w:ascii="Book Antiqua" w:hAnsi="Book Antiqua"/>
        </w:rPr>
        <w:t>is</w:t>
      </w:r>
      <w:r w:rsidR="00901E01">
        <w:rPr>
          <w:rFonts w:ascii="Book Antiqua" w:hAnsi="Book Antiqua"/>
        </w:rPr>
        <w:t xml:space="preserve"> case is that the claimant has been inconsistent by a wide margin as to the length of his planned stay. </w:t>
      </w:r>
      <w:r w:rsidR="000E7DC2">
        <w:rPr>
          <w:rFonts w:ascii="Book Antiqua" w:hAnsi="Book Antiqua"/>
        </w:rPr>
        <w:t>My inference from his wife’s evidence is that she understood it would be a short v</w:t>
      </w:r>
      <w:r w:rsidR="001C7630">
        <w:rPr>
          <w:rFonts w:ascii="Book Antiqua" w:hAnsi="Book Antiqua"/>
        </w:rPr>
        <w:t>isit</w:t>
      </w:r>
      <w:r w:rsidR="00D41293">
        <w:rPr>
          <w:rFonts w:ascii="Book Antiqua" w:hAnsi="Book Antiqua"/>
        </w:rPr>
        <w:t xml:space="preserve"> and that is the basis on which I conside</w:t>
      </w:r>
      <w:r w:rsidR="001647BE">
        <w:rPr>
          <w:rFonts w:ascii="Book Antiqua" w:hAnsi="Book Antiqua"/>
        </w:rPr>
        <w:t>r</w:t>
      </w:r>
      <w:r w:rsidR="00D41293">
        <w:rPr>
          <w:rFonts w:ascii="Book Antiqua" w:hAnsi="Book Antiqua"/>
        </w:rPr>
        <w:t xml:space="preserve"> this case.</w:t>
      </w:r>
      <w:r w:rsidR="001C7630">
        <w:rPr>
          <w:rFonts w:ascii="Book Antiqua" w:hAnsi="Book Antiqua"/>
        </w:rPr>
        <w:t xml:space="preserve"> </w:t>
      </w:r>
      <w:r w:rsidR="001814EE">
        <w:rPr>
          <w:rFonts w:ascii="Book Antiqua" w:hAnsi="Book Antiqua"/>
        </w:rPr>
        <w:t xml:space="preserve">I find that she was an honest witness. </w:t>
      </w:r>
      <w:r w:rsidR="00164354">
        <w:rPr>
          <w:rFonts w:ascii="Book Antiqua" w:hAnsi="Book Antiqua"/>
        </w:rPr>
        <w:t>With the visit being</w:t>
      </w:r>
      <w:r w:rsidR="00901E01">
        <w:rPr>
          <w:rFonts w:ascii="Book Antiqua" w:hAnsi="Book Antiqua"/>
        </w:rPr>
        <w:t xml:space="preserve"> only for two weeks, it is difficult to see how </w:t>
      </w:r>
      <w:r w:rsidR="001C7630">
        <w:rPr>
          <w:rFonts w:ascii="Book Antiqua" w:hAnsi="Book Antiqua"/>
        </w:rPr>
        <w:t>its very</w:t>
      </w:r>
      <w:r w:rsidR="00901E01">
        <w:rPr>
          <w:rFonts w:ascii="Book Antiqua" w:hAnsi="Book Antiqua"/>
        </w:rPr>
        <w:t xml:space="preserve"> brevity could have consequences of such gravity as potentially to engage the operation of Article 8.  </w:t>
      </w:r>
      <w:r w:rsidR="00901E01" w:rsidRPr="00881309">
        <w:rPr>
          <w:rFonts w:ascii="Book Antiqua" w:hAnsi="Book Antiqua"/>
        </w:rPr>
        <w:t>The family have chosen to live separately. The wish of the claimant to visit is entirely understandable but having regard to the basis on which they have decided to conduct their family life I do not consider that a refusal of that opportunity engages the operation of the Convention taking into account the sponsor’s reservations over the impact of such a short visit on how it would impact on the separate lives the sponsor and children are leading in the United Kingdom.</w:t>
      </w:r>
      <w:r w:rsidR="001155FD">
        <w:rPr>
          <w:rFonts w:ascii="Book Antiqua" w:hAnsi="Book Antiqua"/>
        </w:rPr>
        <w:t xml:space="preserve"> On that basis the claimant is unable to succeed on human rights ground</w:t>
      </w:r>
      <w:r w:rsidR="00516994">
        <w:rPr>
          <w:rFonts w:ascii="Book Antiqua" w:hAnsi="Book Antiqua"/>
        </w:rPr>
        <w:t xml:space="preserve">s. </w:t>
      </w:r>
      <w:r w:rsidR="00B853FF">
        <w:rPr>
          <w:rFonts w:ascii="Book Antiqua" w:hAnsi="Book Antiqua"/>
        </w:rPr>
        <w:t xml:space="preserve">The ground available under section </w:t>
      </w:r>
      <w:r w:rsidR="006B1BCB">
        <w:rPr>
          <w:rFonts w:ascii="Book Antiqua" w:hAnsi="Book Antiqua"/>
        </w:rPr>
        <w:t xml:space="preserve">84 of the Nationality, Immigration and Asylum </w:t>
      </w:r>
      <w:r w:rsidR="00361A9C">
        <w:rPr>
          <w:rFonts w:ascii="Book Antiqua" w:hAnsi="Book Antiqua"/>
        </w:rPr>
        <w:t xml:space="preserve">Act 2007 is that the decision is unlawful under section 6 of the Human Rights Act </w:t>
      </w:r>
      <w:r w:rsidR="00DF7477">
        <w:rPr>
          <w:rFonts w:ascii="Book Antiqua" w:hAnsi="Book Antiqua"/>
        </w:rPr>
        <w:t xml:space="preserve">1998. Since the Convention is not engaged there can be no unlawfulness. </w:t>
      </w:r>
    </w:p>
    <w:p w:rsidR="00903C6D" w:rsidRDefault="007C5918" w:rsidP="00901E01">
      <w:pPr>
        <w:pStyle w:val="Body"/>
        <w:numPr>
          <w:ilvl w:val="0"/>
          <w:numId w:val="4"/>
        </w:numPr>
        <w:spacing w:before="240" w:after="240"/>
        <w:jc w:val="both"/>
        <w:rPr>
          <w:rFonts w:ascii="Book Antiqua" w:hAnsi="Book Antiqua"/>
        </w:rPr>
      </w:pPr>
      <w:r>
        <w:rPr>
          <w:rFonts w:ascii="Book Antiqua" w:hAnsi="Book Antiqua"/>
        </w:rPr>
        <w:t>It is open to the claimant to reapply</w:t>
      </w:r>
      <w:r w:rsidR="00367771">
        <w:rPr>
          <w:rFonts w:ascii="Book Antiqua" w:hAnsi="Book Antiqua"/>
        </w:rPr>
        <w:t>.</w:t>
      </w:r>
      <w:r w:rsidR="00653C80">
        <w:rPr>
          <w:rFonts w:ascii="Book Antiqua" w:hAnsi="Book Antiqua"/>
        </w:rPr>
        <w:t xml:space="preserve"> He will be aware from this decision of the need for clarity as to the precise length of stay and how his commitments in Pakistan w</w:t>
      </w:r>
      <w:r w:rsidR="009D75C6">
        <w:rPr>
          <w:rFonts w:ascii="Book Antiqua" w:hAnsi="Book Antiqua"/>
        </w:rPr>
        <w:t>ill</w:t>
      </w:r>
      <w:r w:rsidR="00653C80">
        <w:rPr>
          <w:rFonts w:ascii="Book Antiqua" w:hAnsi="Book Antiqua"/>
        </w:rPr>
        <w:t xml:space="preserve"> be managed </w:t>
      </w:r>
      <w:proofErr w:type="gramStart"/>
      <w:r w:rsidR="00653C80">
        <w:rPr>
          <w:rFonts w:ascii="Book Antiqua" w:hAnsi="Book Antiqua"/>
        </w:rPr>
        <w:t>in order for</w:t>
      </w:r>
      <w:proofErr w:type="gramEnd"/>
      <w:r w:rsidR="008C2DEA">
        <w:rPr>
          <w:rFonts w:ascii="Book Antiqua" w:hAnsi="Book Antiqua"/>
        </w:rPr>
        <w:t xml:space="preserve"> the entry clearance officer to be satisfied as to </w:t>
      </w:r>
      <w:r w:rsidR="00A67C8F">
        <w:rPr>
          <w:rFonts w:ascii="Book Antiqua" w:hAnsi="Book Antiqua"/>
        </w:rPr>
        <w:t>his intentions to return.</w:t>
      </w:r>
    </w:p>
    <w:p w:rsidR="00D655E7" w:rsidRDefault="00D655E7" w:rsidP="00C154B0">
      <w:pPr>
        <w:pStyle w:val="Body"/>
        <w:numPr>
          <w:ilvl w:val="0"/>
          <w:numId w:val="4"/>
        </w:numPr>
        <w:spacing w:before="240" w:after="240"/>
        <w:jc w:val="both"/>
        <w:rPr>
          <w:rFonts w:ascii="Book Antiqua" w:eastAsia="Book Antiqua" w:hAnsi="Book Antiqua" w:cs="Book Antiqua"/>
        </w:rPr>
      </w:pPr>
      <w:r>
        <w:rPr>
          <w:rFonts w:ascii="Book Antiqua" w:hAnsi="Book Antiqua"/>
        </w:rPr>
        <w:t xml:space="preserve"> I set aside the decision of the Tribunal and dismiss the appeal on </w:t>
      </w:r>
      <w:r w:rsidR="00C154B0">
        <w:rPr>
          <w:rFonts w:ascii="Book Antiqua" w:hAnsi="Book Antiqua"/>
        </w:rPr>
        <w:t>Human Right</w:t>
      </w:r>
      <w:r w:rsidR="002C502D">
        <w:rPr>
          <w:rFonts w:ascii="Book Antiqua" w:hAnsi="Book Antiqua"/>
        </w:rPr>
        <w:t>s</w:t>
      </w:r>
      <w:r w:rsidR="00C154B0">
        <w:rPr>
          <w:rFonts w:ascii="Book Antiqua" w:hAnsi="Book Antiqua"/>
        </w:rPr>
        <w:t xml:space="preserve"> grounds.</w:t>
      </w:r>
      <w:r w:rsidR="00C154B0">
        <w:rPr>
          <w:rFonts w:ascii="Book Antiqua" w:eastAsia="Book Antiqua" w:hAnsi="Book Antiqua" w:cs="Book Antiqua"/>
        </w:rPr>
        <w:t xml:space="preserve"> </w:t>
      </w:r>
    </w:p>
    <w:p w:rsidR="00D655E7" w:rsidRDefault="00D655E7" w:rsidP="00D655E7">
      <w:pPr>
        <w:pStyle w:val="Body"/>
        <w:ind w:left="540" w:hanging="540"/>
        <w:jc w:val="both"/>
        <w:rPr>
          <w:rFonts w:ascii="Book Antiqua" w:eastAsia="Book Antiqua" w:hAnsi="Book Antiqua" w:cs="Book Antiqua"/>
        </w:rPr>
      </w:pPr>
      <w:r>
        <w:rPr>
          <w:rFonts w:ascii="Book Antiqua" w:hAnsi="Book Antiqua"/>
          <w:lang w:val="de-DE"/>
        </w:rPr>
        <w:t>Signed</w:t>
      </w:r>
      <w:r>
        <w:rPr>
          <w:rFonts w:ascii="Book Antiqua" w:hAnsi="Book Antiqua"/>
          <w:lang w:val="de-DE"/>
        </w:rPr>
        <w:tab/>
      </w:r>
      <w:r>
        <w:rPr>
          <w:rFonts w:ascii="Book Antiqua" w:hAnsi="Book Antiqua"/>
          <w:lang w:val="de-DE"/>
        </w:rPr>
        <w:tab/>
      </w:r>
      <w:r>
        <w:rPr>
          <w:rFonts w:ascii="Book Antiqua" w:hAnsi="Book Antiqua"/>
          <w:lang w:val="de-DE"/>
        </w:rPr>
        <w:tab/>
      </w:r>
      <w:r>
        <w:rPr>
          <w:rFonts w:ascii="Book Antiqua" w:hAnsi="Book Antiqua"/>
          <w:lang w:val="de-DE"/>
        </w:rPr>
        <w:tab/>
      </w:r>
      <w:r>
        <w:rPr>
          <w:rFonts w:ascii="Book Antiqua" w:hAnsi="Book Antiqua"/>
          <w:lang w:val="de-DE"/>
        </w:rPr>
        <w:tab/>
      </w:r>
      <w:r>
        <w:rPr>
          <w:rFonts w:ascii="Book Antiqua" w:hAnsi="Book Antiqua"/>
          <w:lang w:val="de-DE"/>
        </w:rPr>
        <w:tab/>
      </w:r>
      <w:r>
        <w:rPr>
          <w:rFonts w:ascii="Book Antiqua" w:hAnsi="Book Antiqua"/>
          <w:lang w:val="de-DE"/>
        </w:rPr>
        <w:tab/>
      </w:r>
      <w:r>
        <w:rPr>
          <w:rFonts w:ascii="Book Antiqua" w:hAnsi="Book Antiqua"/>
          <w:lang w:val="de-DE"/>
        </w:rPr>
        <w:tab/>
        <w:t>Date</w:t>
      </w:r>
      <w:r w:rsidR="00590D16">
        <w:rPr>
          <w:rFonts w:ascii="Book Antiqua" w:hAnsi="Book Antiqua"/>
          <w:lang w:val="de-DE"/>
        </w:rPr>
        <w:t xml:space="preserve"> </w:t>
      </w:r>
      <w:r w:rsidR="00FA33F6">
        <w:rPr>
          <w:rFonts w:ascii="Book Antiqua" w:hAnsi="Book Antiqua"/>
          <w:lang w:val="de-DE"/>
        </w:rPr>
        <w:t>26 September 2018</w:t>
      </w:r>
    </w:p>
    <w:p w:rsidR="00D655E7" w:rsidRDefault="00D655E7" w:rsidP="00D655E7">
      <w:pPr>
        <w:pStyle w:val="Body"/>
        <w:tabs>
          <w:tab w:val="left" w:pos="2520"/>
        </w:tabs>
        <w:ind w:left="540" w:hanging="540"/>
        <w:jc w:val="both"/>
        <w:rPr>
          <w:rFonts w:ascii="Book Antiqua" w:eastAsia="Book Antiqua" w:hAnsi="Book Antiqua" w:cs="Book Antiqua"/>
        </w:rPr>
      </w:pPr>
    </w:p>
    <w:p w:rsidR="00D655E7" w:rsidRPr="00590D16" w:rsidRDefault="00590D16" w:rsidP="00D655E7">
      <w:pPr>
        <w:pStyle w:val="Body"/>
        <w:tabs>
          <w:tab w:val="left" w:pos="2520"/>
        </w:tabs>
        <w:ind w:left="540" w:hanging="540"/>
        <w:jc w:val="both"/>
        <w:rPr>
          <w:rFonts w:ascii="Lucida Handwriting" w:eastAsia="Book Antiqua" w:hAnsi="Lucida Handwriting" w:cs="Book Antiqua"/>
        </w:rPr>
      </w:pPr>
      <w:r>
        <w:rPr>
          <w:rFonts w:ascii="Lucida Handwriting" w:eastAsia="Book Antiqua" w:hAnsi="Lucida Handwriting" w:cs="Book Antiqua"/>
        </w:rPr>
        <w:t xml:space="preserve">UTJ Dawson </w:t>
      </w:r>
      <w:r w:rsidR="009D7300">
        <w:rPr>
          <w:rFonts w:ascii="Lucida Handwriting" w:eastAsia="Book Antiqua" w:hAnsi="Lucida Handwriting" w:cs="Book Antiqua"/>
        </w:rPr>
        <w:t xml:space="preserve"> </w:t>
      </w:r>
    </w:p>
    <w:p w:rsidR="0010335F" w:rsidRPr="001C5703" w:rsidRDefault="00D655E7" w:rsidP="009D7300">
      <w:pPr>
        <w:pStyle w:val="Body"/>
        <w:tabs>
          <w:tab w:val="left" w:pos="2520"/>
        </w:tabs>
        <w:ind w:left="540" w:hanging="540"/>
        <w:jc w:val="both"/>
        <w:rPr>
          <w:rFonts w:ascii="Book Antiqua" w:hAnsi="Book Antiqua" w:cs="Arial"/>
        </w:rPr>
      </w:pPr>
      <w:r>
        <w:rPr>
          <w:rFonts w:ascii="Book Antiqua" w:hAnsi="Book Antiqua"/>
        </w:rPr>
        <w:t>Upper Tribunal Judge Dawson</w:t>
      </w:r>
      <w:r w:rsidR="009D7300">
        <w:rPr>
          <w:rFonts w:ascii="Book Antiqua" w:hAnsi="Book Antiqua"/>
        </w:rPr>
        <w:t xml:space="preserve"> </w:t>
      </w:r>
      <w:bookmarkStart w:id="0" w:name="_GoBack"/>
      <w:bookmarkEnd w:id="0"/>
      <w:r w:rsidR="00827603">
        <w:rPr>
          <w:rFonts w:ascii="Book Antiqua" w:hAnsi="Book Antiqua" w:cs="Arial"/>
          <w:noProof/>
        </w:rPr>
        <mc:AlternateContent>
          <mc:Choice Requires="wpi">
            <w:drawing>
              <wp:anchor distT="0" distB="0" distL="114300" distR="114300" simplePos="0" relativeHeight="251676672" behindDoc="0" locked="0" layoutInCell="1" allowOverlap="1" wp14:anchorId="0804814D" wp14:editId="54A50345">
                <wp:simplePos x="0" y="0"/>
                <wp:positionH relativeFrom="column">
                  <wp:posOffset>5626588</wp:posOffset>
                </wp:positionH>
                <wp:positionV relativeFrom="paragraph">
                  <wp:posOffset>460422</wp:posOffset>
                </wp:positionV>
                <wp:extent cx="360" cy="360"/>
                <wp:effectExtent l="38100" t="38100" r="57150" b="57150"/>
                <wp:wrapNone/>
                <wp:docPr id="19"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6F41F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442.35pt;margin-top:35.55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jvrV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nzpywxImEM8rInEH88vI1daJj6y/cnUbbOUJ02S7jdAX77tsbrnaBSSreT6gsqd4F&#10;Z5iHt8OEs83T2AuPz/OO0tmB51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">
                <v:imagedata r:id="rId9" o:title=""/>
              </v:shape>
            </w:pict>
          </mc:Fallback>
        </mc:AlternateContent>
      </w:r>
    </w:p>
    <w:p w:rsidR="00B95326" w:rsidRPr="001C5703" w:rsidRDefault="00B95326" w:rsidP="00FE5320">
      <w:pPr>
        <w:jc w:val="center"/>
        <w:rPr>
          <w:rFonts w:ascii="Book Antiqua" w:hAnsi="Book Antiqua" w:cs="Arial"/>
        </w:rPr>
      </w:pPr>
    </w:p>
    <w:sectPr w:rsidR="00B95326" w:rsidRPr="001C5703" w:rsidSect="009D7300">
      <w:headerReference w:type="default" r:id="rId10"/>
      <w:footerReference w:type="default" r:id="rId11"/>
      <w:headerReference w:type="first" r:id="rId12"/>
      <w:footerReference w:type="first" r:id="rId13"/>
      <w:pgSz w:w="11906" w:h="16838"/>
      <w:pgMar w:top="567"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574" w:rsidRDefault="00046574">
      <w:r>
        <w:separator/>
      </w:r>
    </w:p>
  </w:endnote>
  <w:endnote w:type="continuationSeparator" w:id="0">
    <w:p w:rsidR="00046574" w:rsidRDefault="00046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0D6211" w:rsidRDefault="0010335F" w:rsidP="00593795">
    <w:pPr>
      <w:pStyle w:val="Footer"/>
      <w:jc w:val="center"/>
      <w:rPr>
        <w:rFonts w:ascii="Book Antiqua" w:hAnsi="Book Antiqua" w:cs="Arial"/>
      </w:rPr>
    </w:pPr>
    <w:r w:rsidRPr="000D6211">
      <w:rPr>
        <w:rStyle w:val="PageNumber"/>
        <w:rFonts w:ascii="Book Antiqua" w:hAnsi="Book Antiqua" w:cs="Arial"/>
      </w:rPr>
      <w:fldChar w:fldCharType="begin"/>
    </w:r>
    <w:r w:rsidRPr="000D6211">
      <w:rPr>
        <w:rStyle w:val="PageNumber"/>
        <w:rFonts w:ascii="Book Antiqua" w:hAnsi="Book Antiqua" w:cs="Arial"/>
      </w:rPr>
      <w:instrText xml:space="preserve"> PAGE </w:instrText>
    </w:r>
    <w:r w:rsidRPr="000D6211">
      <w:rPr>
        <w:rStyle w:val="PageNumber"/>
        <w:rFonts w:ascii="Book Antiqua" w:hAnsi="Book Antiqua" w:cs="Arial"/>
      </w:rPr>
      <w:fldChar w:fldCharType="separate"/>
    </w:r>
    <w:r w:rsidR="000C7F4A">
      <w:rPr>
        <w:rStyle w:val="PageNumber"/>
        <w:rFonts w:ascii="Book Antiqua" w:hAnsi="Book Antiqua" w:cs="Arial"/>
        <w:noProof/>
      </w:rPr>
      <w:t>5</w:t>
    </w:r>
    <w:r w:rsidRPr="000D621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BA1EB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574" w:rsidRDefault="00046574">
      <w:r>
        <w:separator/>
      </w:r>
    </w:p>
  </w:footnote>
  <w:footnote w:type="continuationSeparator" w:id="0">
    <w:p w:rsidR="00046574" w:rsidRDefault="00046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Default="0010335F"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DB0F7C">
      <w:rPr>
        <w:rFonts w:ascii="Book Antiqua" w:hAnsi="Book Antiqua" w:cs="Arial"/>
        <w:sz w:val="16"/>
        <w:szCs w:val="16"/>
      </w:rPr>
      <w:t>HU/05195/2016</w:t>
    </w:r>
  </w:p>
  <w:p w:rsidR="000D6211" w:rsidRPr="001C5703" w:rsidRDefault="000D621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703" w:rsidRPr="001C5703" w:rsidRDefault="001C5703">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784"/>
    <w:multiLevelType w:val="multilevel"/>
    <w:tmpl w:val="0462A57A"/>
    <w:lvl w:ilvl="0">
      <w:start w:val="1"/>
      <w:numFmt w:val="decimal"/>
      <w:lvlText w:val="%1."/>
      <w:lvlJc w:val="left"/>
      <w:pPr>
        <w:tabs>
          <w:tab w:val="num" w:pos="709"/>
        </w:tabs>
        <w:ind w:left="709" w:hanging="567"/>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rPr>
    </w:lvl>
    <w:lvl w:ilvl="4">
      <w:start w:val="1"/>
      <w:numFmt w:val="lowerLetter"/>
      <w:lvlText w:val="(%5)"/>
      <w:lvlJc w:val="left"/>
      <w:pPr>
        <w:tabs>
          <w:tab w:val="num" w:pos="2977"/>
        </w:tabs>
        <w:ind w:left="2977" w:hanging="567"/>
      </w:pPr>
      <w:rPr>
        <w:rFonts w:hint="default"/>
      </w:rPr>
    </w:lvl>
    <w:lvl w:ilvl="5">
      <w:start w:val="1"/>
      <w:numFmt w:val="lowerRoman"/>
      <w:lvlText w:val="(%6)"/>
      <w:lvlJc w:val="left"/>
      <w:pPr>
        <w:tabs>
          <w:tab w:val="num" w:pos="2302"/>
        </w:tabs>
        <w:ind w:left="2302" w:hanging="360"/>
      </w:pPr>
      <w:rPr>
        <w:rFonts w:hint="default"/>
      </w:rPr>
    </w:lvl>
    <w:lvl w:ilvl="6">
      <w:start w:val="1"/>
      <w:numFmt w:val="decimal"/>
      <w:lvlText w:val="%7."/>
      <w:lvlJc w:val="left"/>
      <w:pPr>
        <w:tabs>
          <w:tab w:val="num" w:pos="2662"/>
        </w:tabs>
        <w:ind w:left="2662" w:hanging="360"/>
      </w:pPr>
      <w:rPr>
        <w:rFonts w:hint="default"/>
      </w:rPr>
    </w:lvl>
    <w:lvl w:ilvl="7">
      <w:start w:val="1"/>
      <w:numFmt w:val="lowerLetter"/>
      <w:lvlText w:val="%8."/>
      <w:lvlJc w:val="left"/>
      <w:pPr>
        <w:tabs>
          <w:tab w:val="num" w:pos="3022"/>
        </w:tabs>
        <w:ind w:left="3022" w:hanging="360"/>
      </w:pPr>
      <w:rPr>
        <w:rFonts w:hint="default"/>
      </w:rPr>
    </w:lvl>
    <w:lvl w:ilvl="8">
      <w:start w:val="1"/>
      <w:numFmt w:val="lowerRoman"/>
      <w:lvlText w:val="%9."/>
      <w:lvlJc w:val="left"/>
      <w:pPr>
        <w:tabs>
          <w:tab w:val="num" w:pos="3382"/>
        </w:tabs>
        <w:ind w:left="3382" w:hanging="360"/>
      </w:pPr>
      <w:rPr>
        <w:rFonts w:hint="default"/>
      </w:rPr>
    </w:lvl>
  </w:abstractNum>
  <w:abstractNum w:abstractNumId="1"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4787E58"/>
    <w:multiLevelType w:val="hybridMultilevel"/>
    <w:tmpl w:val="80F0E716"/>
    <w:styleLink w:val="ImportedStyle1"/>
    <w:lvl w:ilvl="0" w:tplc="EB802B9E">
      <w:start w:val="1"/>
      <w:numFmt w:val="decimal"/>
      <w:lvlText w:val="%1."/>
      <w:lvlJc w:val="left"/>
      <w:pPr>
        <w:ind w:left="567"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6E7BEC">
      <w:start w:val="1"/>
      <w:numFmt w:val="lowerLetter"/>
      <w:lvlText w:val="(%2)"/>
      <w:lvlJc w:val="left"/>
      <w:pPr>
        <w:ind w:left="1134"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4080B8">
      <w:start w:val="1"/>
      <w:numFmt w:val="lowerRoman"/>
      <w:lvlText w:val="(%3)"/>
      <w:lvlJc w:val="left"/>
      <w:pPr>
        <w:ind w:left="1701"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FBEFA04">
      <w:start w:val="1"/>
      <w:numFmt w:val="decimal"/>
      <w:lvlText w:val="(%4)"/>
      <w:lvlJc w:val="left"/>
      <w:pPr>
        <w:ind w:left="2268"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15E8F76">
      <w:start w:val="1"/>
      <w:numFmt w:val="lowerLetter"/>
      <w:lvlText w:val="(%5)"/>
      <w:lvlJc w:val="left"/>
      <w:pPr>
        <w:ind w:left="2835" w:hanging="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B1014BE">
      <w:start w:val="1"/>
      <w:numFmt w:val="lowerRoman"/>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2566000">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17456C0">
      <w:start w:val="1"/>
      <w:numFmt w:val="lowerLetter"/>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E7ACB7E">
      <w:start w:val="1"/>
      <w:numFmt w:val="lowerRoman"/>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7E0426F2"/>
    <w:multiLevelType w:val="multilevel"/>
    <w:tmpl w:val="80F0E716"/>
    <w:numStyleLink w:val="ImportedStyle1"/>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5E7"/>
    <w:rsid w:val="00000621"/>
    <w:rsid w:val="000009F1"/>
    <w:rsid w:val="00003105"/>
    <w:rsid w:val="000036C2"/>
    <w:rsid w:val="00006A80"/>
    <w:rsid w:val="000259DC"/>
    <w:rsid w:val="00033D3D"/>
    <w:rsid w:val="00046574"/>
    <w:rsid w:val="000525B2"/>
    <w:rsid w:val="000563DB"/>
    <w:rsid w:val="00062191"/>
    <w:rsid w:val="00062DB7"/>
    <w:rsid w:val="00062F02"/>
    <w:rsid w:val="00065998"/>
    <w:rsid w:val="00066995"/>
    <w:rsid w:val="000678FB"/>
    <w:rsid w:val="00071A7E"/>
    <w:rsid w:val="000746C0"/>
    <w:rsid w:val="00074D1D"/>
    <w:rsid w:val="000821B6"/>
    <w:rsid w:val="00086848"/>
    <w:rsid w:val="00086E68"/>
    <w:rsid w:val="00087169"/>
    <w:rsid w:val="00092580"/>
    <w:rsid w:val="00093D4D"/>
    <w:rsid w:val="000A3B54"/>
    <w:rsid w:val="000B218E"/>
    <w:rsid w:val="000C69AC"/>
    <w:rsid w:val="000C71B4"/>
    <w:rsid w:val="000C7F4A"/>
    <w:rsid w:val="000D5D94"/>
    <w:rsid w:val="000D6211"/>
    <w:rsid w:val="000E7C4E"/>
    <w:rsid w:val="000E7DC2"/>
    <w:rsid w:val="000F0A75"/>
    <w:rsid w:val="000F1A0E"/>
    <w:rsid w:val="000F2591"/>
    <w:rsid w:val="000F30BD"/>
    <w:rsid w:val="0010335F"/>
    <w:rsid w:val="001116FC"/>
    <w:rsid w:val="001155FD"/>
    <w:rsid w:val="001165A7"/>
    <w:rsid w:val="00117E2B"/>
    <w:rsid w:val="00137607"/>
    <w:rsid w:val="00141554"/>
    <w:rsid w:val="001436F7"/>
    <w:rsid w:val="00144DA5"/>
    <w:rsid w:val="00152B87"/>
    <w:rsid w:val="00164354"/>
    <w:rsid w:val="001647BE"/>
    <w:rsid w:val="00167D3A"/>
    <w:rsid w:val="001737D0"/>
    <w:rsid w:val="00174A01"/>
    <w:rsid w:val="001760FE"/>
    <w:rsid w:val="001814EE"/>
    <w:rsid w:val="0018693A"/>
    <w:rsid w:val="00197BF7"/>
    <w:rsid w:val="001A0B2C"/>
    <w:rsid w:val="001A291D"/>
    <w:rsid w:val="001A3082"/>
    <w:rsid w:val="001A7E78"/>
    <w:rsid w:val="001B186A"/>
    <w:rsid w:val="001B2F75"/>
    <w:rsid w:val="001B7394"/>
    <w:rsid w:val="001C4B3B"/>
    <w:rsid w:val="001C5703"/>
    <w:rsid w:val="001C7630"/>
    <w:rsid w:val="001E70AC"/>
    <w:rsid w:val="001F2716"/>
    <w:rsid w:val="002043EF"/>
    <w:rsid w:val="00207617"/>
    <w:rsid w:val="00207D73"/>
    <w:rsid w:val="0023134B"/>
    <w:rsid w:val="0025681E"/>
    <w:rsid w:val="002618F9"/>
    <w:rsid w:val="00265D06"/>
    <w:rsid w:val="00273559"/>
    <w:rsid w:val="00283659"/>
    <w:rsid w:val="00284A9E"/>
    <w:rsid w:val="00286DE7"/>
    <w:rsid w:val="002A73FD"/>
    <w:rsid w:val="002C3B5B"/>
    <w:rsid w:val="002C502D"/>
    <w:rsid w:val="002C572D"/>
    <w:rsid w:val="002C6BD4"/>
    <w:rsid w:val="002D68BF"/>
    <w:rsid w:val="002F6B98"/>
    <w:rsid w:val="003072F3"/>
    <w:rsid w:val="00307DE2"/>
    <w:rsid w:val="00312E2B"/>
    <w:rsid w:val="00314FC7"/>
    <w:rsid w:val="00322673"/>
    <w:rsid w:val="0033262B"/>
    <w:rsid w:val="00336CBF"/>
    <w:rsid w:val="003371DC"/>
    <w:rsid w:val="00343FE3"/>
    <w:rsid w:val="003441F7"/>
    <w:rsid w:val="00345357"/>
    <w:rsid w:val="00352B75"/>
    <w:rsid w:val="003543A1"/>
    <w:rsid w:val="003546C8"/>
    <w:rsid w:val="003546EC"/>
    <w:rsid w:val="0035664C"/>
    <w:rsid w:val="00360ED6"/>
    <w:rsid w:val="00361A9C"/>
    <w:rsid w:val="00367483"/>
    <w:rsid w:val="0036763A"/>
    <w:rsid w:val="00367771"/>
    <w:rsid w:val="003860D7"/>
    <w:rsid w:val="003916AA"/>
    <w:rsid w:val="003A7CF2"/>
    <w:rsid w:val="003B12AF"/>
    <w:rsid w:val="003B3BD6"/>
    <w:rsid w:val="003C5CE5"/>
    <w:rsid w:val="003D6EF6"/>
    <w:rsid w:val="003E267B"/>
    <w:rsid w:val="003E7CD1"/>
    <w:rsid w:val="003F0967"/>
    <w:rsid w:val="003F6858"/>
    <w:rsid w:val="00402B9E"/>
    <w:rsid w:val="004249CB"/>
    <w:rsid w:val="0044127D"/>
    <w:rsid w:val="004448DB"/>
    <w:rsid w:val="00446C9A"/>
    <w:rsid w:val="00452F2B"/>
    <w:rsid w:val="00477193"/>
    <w:rsid w:val="004831C4"/>
    <w:rsid w:val="00485C5D"/>
    <w:rsid w:val="00487D00"/>
    <w:rsid w:val="00487D25"/>
    <w:rsid w:val="00490FE1"/>
    <w:rsid w:val="00497161"/>
    <w:rsid w:val="004A1848"/>
    <w:rsid w:val="004A6F4A"/>
    <w:rsid w:val="004B47F9"/>
    <w:rsid w:val="004E4717"/>
    <w:rsid w:val="00500697"/>
    <w:rsid w:val="00503467"/>
    <w:rsid w:val="00507FEC"/>
    <w:rsid w:val="00510F0E"/>
    <w:rsid w:val="00516994"/>
    <w:rsid w:val="0052001B"/>
    <w:rsid w:val="00520345"/>
    <w:rsid w:val="0052070D"/>
    <w:rsid w:val="005247DB"/>
    <w:rsid w:val="00535603"/>
    <w:rsid w:val="005414D3"/>
    <w:rsid w:val="005479E1"/>
    <w:rsid w:val="00553E0A"/>
    <w:rsid w:val="005570FD"/>
    <w:rsid w:val="005575EA"/>
    <w:rsid w:val="00561E35"/>
    <w:rsid w:val="0057790C"/>
    <w:rsid w:val="00577E8D"/>
    <w:rsid w:val="00581B17"/>
    <w:rsid w:val="00587979"/>
    <w:rsid w:val="00590D16"/>
    <w:rsid w:val="00593795"/>
    <w:rsid w:val="00595976"/>
    <w:rsid w:val="005A75FF"/>
    <w:rsid w:val="005B1C60"/>
    <w:rsid w:val="005B31F2"/>
    <w:rsid w:val="005D10AB"/>
    <w:rsid w:val="005F7199"/>
    <w:rsid w:val="00601D8F"/>
    <w:rsid w:val="00610522"/>
    <w:rsid w:val="00615F5A"/>
    <w:rsid w:val="006255D8"/>
    <w:rsid w:val="006318A1"/>
    <w:rsid w:val="00632FC7"/>
    <w:rsid w:val="0064395A"/>
    <w:rsid w:val="00645359"/>
    <w:rsid w:val="00650DCD"/>
    <w:rsid w:val="00653C80"/>
    <w:rsid w:val="00653E97"/>
    <w:rsid w:val="00664B4E"/>
    <w:rsid w:val="00675CF3"/>
    <w:rsid w:val="006825F7"/>
    <w:rsid w:val="00684A74"/>
    <w:rsid w:val="006879F7"/>
    <w:rsid w:val="00690B8A"/>
    <w:rsid w:val="006938C4"/>
    <w:rsid w:val="00693A5E"/>
    <w:rsid w:val="006B1BCB"/>
    <w:rsid w:val="006D4BB3"/>
    <w:rsid w:val="006D673C"/>
    <w:rsid w:val="006F2CF1"/>
    <w:rsid w:val="00700200"/>
    <w:rsid w:val="00702FE3"/>
    <w:rsid w:val="007038ED"/>
    <w:rsid w:val="00703BC3"/>
    <w:rsid w:val="00704B61"/>
    <w:rsid w:val="00753A31"/>
    <w:rsid w:val="007552A9"/>
    <w:rsid w:val="00761858"/>
    <w:rsid w:val="00762682"/>
    <w:rsid w:val="00767D59"/>
    <w:rsid w:val="00776E97"/>
    <w:rsid w:val="007772FA"/>
    <w:rsid w:val="007779FE"/>
    <w:rsid w:val="00780F86"/>
    <w:rsid w:val="007912AD"/>
    <w:rsid w:val="007A366B"/>
    <w:rsid w:val="007A460B"/>
    <w:rsid w:val="007A4DFE"/>
    <w:rsid w:val="007B0824"/>
    <w:rsid w:val="007B2876"/>
    <w:rsid w:val="007B5D3C"/>
    <w:rsid w:val="007C5918"/>
    <w:rsid w:val="007D243F"/>
    <w:rsid w:val="007E2F15"/>
    <w:rsid w:val="007E3B27"/>
    <w:rsid w:val="00813C9C"/>
    <w:rsid w:val="00821B72"/>
    <w:rsid w:val="00823EF2"/>
    <w:rsid w:val="00825DDF"/>
    <w:rsid w:val="00827603"/>
    <w:rsid w:val="008303B8"/>
    <w:rsid w:val="00832EE0"/>
    <w:rsid w:val="00833DCE"/>
    <w:rsid w:val="008365BF"/>
    <w:rsid w:val="00857288"/>
    <w:rsid w:val="00864199"/>
    <w:rsid w:val="00871D34"/>
    <w:rsid w:val="00876E4D"/>
    <w:rsid w:val="00880BBA"/>
    <w:rsid w:val="00881309"/>
    <w:rsid w:val="00882B0E"/>
    <w:rsid w:val="008A2D0E"/>
    <w:rsid w:val="008B270C"/>
    <w:rsid w:val="008B5078"/>
    <w:rsid w:val="008B7D7C"/>
    <w:rsid w:val="008C1DDE"/>
    <w:rsid w:val="008C2DEA"/>
    <w:rsid w:val="008C3D3D"/>
    <w:rsid w:val="008D02A0"/>
    <w:rsid w:val="008D4131"/>
    <w:rsid w:val="008F1932"/>
    <w:rsid w:val="0090060C"/>
    <w:rsid w:val="00901E01"/>
    <w:rsid w:val="009032D2"/>
    <w:rsid w:val="00903C6D"/>
    <w:rsid w:val="00904924"/>
    <w:rsid w:val="009139B9"/>
    <w:rsid w:val="00921062"/>
    <w:rsid w:val="00921B94"/>
    <w:rsid w:val="00932E43"/>
    <w:rsid w:val="009405A9"/>
    <w:rsid w:val="0094531B"/>
    <w:rsid w:val="00964128"/>
    <w:rsid w:val="009722BC"/>
    <w:rsid w:val="009727A3"/>
    <w:rsid w:val="009830B4"/>
    <w:rsid w:val="0098342F"/>
    <w:rsid w:val="00987774"/>
    <w:rsid w:val="00997753"/>
    <w:rsid w:val="009A0C11"/>
    <w:rsid w:val="009A11E8"/>
    <w:rsid w:val="009B11C8"/>
    <w:rsid w:val="009B2FD1"/>
    <w:rsid w:val="009D4898"/>
    <w:rsid w:val="009D5B23"/>
    <w:rsid w:val="009D7300"/>
    <w:rsid w:val="009D75C6"/>
    <w:rsid w:val="009E1CDA"/>
    <w:rsid w:val="009F5220"/>
    <w:rsid w:val="00A15234"/>
    <w:rsid w:val="00A201AB"/>
    <w:rsid w:val="00A30139"/>
    <w:rsid w:val="00A30BE6"/>
    <w:rsid w:val="00A31C8B"/>
    <w:rsid w:val="00A33B79"/>
    <w:rsid w:val="00A509FA"/>
    <w:rsid w:val="00A57B3D"/>
    <w:rsid w:val="00A67C8F"/>
    <w:rsid w:val="00A67C99"/>
    <w:rsid w:val="00A845DC"/>
    <w:rsid w:val="00AB5D39"/>
    <w:rsid w:val="00AD1DD6"/>
    <w:rsid w:val="00AE7219"/>
    <w:rsid w:val="00B17BF9"/>
    <w:rsid w:val="00B20117"/>
    <w:rsid w:val="00B25EE7"/>
    <w:rsid w:val="00B26AA2"/>
    <w:rsid w:val="00B31368"/>
    <w:rsid w:val="00B3524D"/>
    <w:rsid w:val="00B372AF"/>
    <w:rsid w:val="00B40F69"/>
    <w:rsid w:val="00B42498"/>
    <w:rsid w:val="00B46616"/>
    <w:rsid w:val="00B537C7"/>
    <w:rsid w:val="00B56B2E"/>
    <w:rsid w:val="00B64604"/>
    <w:rsid w:val="00B7040A"/>
    <w:rsid w:val="00B7567A"/>
    <w:rsid w:val="00B77998"/>
    <w:rsid w:val="00B83391"/>
    <w:rsid w:val="00B853FF"/>
    <w:rsid w:val="00B95326"/>
    <w:rsid w:val="00B96F12"/>
    <w:rsid w:val="00BA1EB6"/>
    <w:rsid w:val="00BA3A97"/>
    <w:rsid w:val="00BD4196"/>
    <w:rsid w:val="00BF22CA"/>
    <w:rsid w:val="00BF23BB"/>
    <w:rsid w:val="00BF4A96"/>
    <w:rsid w:val="00BF5F1C"/>
    <w:rsid w:val="00C01E34"/>
    <w:rsid w:val="00C11AB0"/>
    <w:rsid w:val="00C154B0"/>
    <w:rsid w:val="00C222A3"/>
    <w:rsid w:val="00C26032"/>
    <w:rsid w:val="00C2648F"/>
    <w:rsid w:val="00C3114C"/>
    <w:rsid w:val="00C345E1"/>
    <w:rsid w:val="00C43BFD"/>
    <w:rsid w:val="00C5682F"/>
    <w:rsid w:val="00C62729"/>
    <w:rsid w:val="00C705B6"/>
    <w:rsid w:val="00C75A8B"/>
    <w:rsid w:val="00C813D3"/>
    <w:rsid w:val="00C90E38"/>
    <w:rsid w:val="00C96290"/>
    <w:rsid w:val="00C96558"/>
    <w:rsid w:val="00CB6E35"/>
    <w:rsid w:val="00CC0489"/>
    <w:rsid w:val="00CC33A3"/>
    <w:rsid w:val="00CD0227"/>
    <w:rsid w:val="00CE1A46"/>
    <w:rsid w:val="00CE339B"/>
    <w:rsid w:val="00CE715B"/>
    <w:rsid w:val="00D12F11"/>
    <w:rsid w:val="00D20757"/>
    <w:rsid w:val="00D22636"/>
    <w:rsid w:val="00D23EB0"/>
    <w:rsid w:val="00D24A05"/>
    <w:rsid w:val="00D269C8"/>
    <w:rsid w:val="00D33049"/>
    <w:rsid w:val="00D40FD9"/>
    <w:rsid w:val="00D411C0"/>
    <w:rsid w:val="00D41293"/>
    <w:rsid w:val="00D53769"/>
    <w:rsid w:val="00D57905"/>
    <w:rsid w:val="00D601FA"/>
    <w:rsid w:val="00D64505"/>
    <w:rsid w:val="00D651CB"/>
    <w:rsid w:val="00D655E7"/>
    <w:rsid w:val="00D658F7"/>
    <w:rsid w:val="00D71D6A"/>
    <w:rsid w:val="00D73A2A"/>
    <w:rsid w:val="00D833B6"/>
    <w:rsid w:val="00D858D9"/>
    <w:rsid w:val="00D85C13"/>
    <w:rsid w:val="00D9111A"/>
    <w:rsid w:val="00D91BE3"/>
    <w:rsid w:val="00D94AFC"/>
    <w:rsid w:val="00D94BA9"/>
    <w:rsid w:val="00D94C82"/>
    <w:rsid w:val="00DA0704"/>
    <w:rsid w:val="00DA2F5C"/>
    <w:rsid w:val="00DA5FAD"/>
    <w:rsid w:val="00DA6452"/>
    <w:rsid w:val="00DB0F7C"/>
    <w:rsid w:val="00DB70AE"/>
    <w:rsid w:val="00DB772D"/>
    <w:rsid w:val="00DD5071"/>
    <w:rsid w:val="00DD5C39"/>
    <w:rsid w:val="00DE2126"/>
    <w:rsid w:val="00DE7DB7"/>
    <w:rsid w:val="00DF1E0F"/>
    <w:rsid w:val="00DF7477"/>
    <w:rsid w:val="00E00A0A"/>
    <w:rsid w:val="00E066DE"/>
    <w:rsid w:val="00E07F57"/>
    <w:rsid w:val="00E21F4E"/>
    <w:rsid w:val="00E304EF"/>
    <w:rsid w:val="00E30683"/>
    <w:rsid w:val="00E310CB"/>
    <w:rsid w:val="00E37AA0"/>
    <w:rsid w:val="00E41668"/>
    <w:rsid w:val="00E453D8"/>
    <w:rsid w:val="00E50BCE"/>
    <w:rsid w:val="00E559AA"/>
    <w:rsid w:val="00E574BF"/>
    <w:rsid w:val="00E61292"/>
    <w:rsid w:val="00E6447C"/>
    <w:rsid w:val="00E65875"/>
    <w:rsid w:val="00E67352"/>
    <w:rsid w:val="00E70660"/>
    <w:rsid w:val="00E708F5"/>
    <w:rsid w:val="00E77C4D"/>
    <w:rsid w:val="00E81D01"/>
    <w:rsid w:val="00E929ED"/>
    <w:rsid w:val="00E92CCD"/>
    <w:rsid w:val="00EA7075"/>
    <w:rsid w:val="00EB1123"/>
    <w:rsid w:val="00ED5CBA"/>
    <w:rsid w:val="00EE0ED5"/>
    <w:rsid w:val="00EE45D8"/>
    <w:rsid w:val="00EE55AD"/>
    <w:rsid w:val="00EF34A7"/>
    <w:rsid w:val="00F226F4"/>
    <w:rsid w:val="00F22EDA"/>
    <w:rsid w:val="00F31EE9"/>
    <w:rsid w:val="00F77709"/>
    <w:rsid w:val="00FA33F6"/>
    <w:rsid w:val="00FA4E21"/>
    <w:rsid w:val="00FA6703"/>
    <w:rsid w:val="00FC07B6"/>
    <w:rsid w:val="00FC5CDD"/>
    <w:rsid w:val="00FD52DE"/>
    <w:rsid w:val="00FE1AA8"/>
    <w:rsid w:val="00FE5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4F695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Body">
    <w:name w:val="Body"/>
    <w:rsid w:val="00D655E7"/>
    <w:pPr>
      <w:pBdr>
        <w:top w:val="nil"/>
        <w:left w:val="nil"/>
        <w:bottom w:val="nil"/>
        <w:right w:val="nil"/>
        <w:between w:val="nil"/>
        <w:bar w:val="nil"/>
      </w:pBdr>
    </w:pPr>
    <w:rPr>
      <w:color w:val="000000"/>
      <w:sz w:val="24"/>
      <w:szCs w:val="24"/>
      <w:u w:color="000000"/>
      <w:bdr w:val="nil"/>
      <w:lang w:val="en-US"/>
    </w:rPr>
  </w:style>
  <w:style w:type="numbering" w:customStyle="1" w:styleId="ImportedStyle1">
    <w:name w:val="Imported Style 1"/>
    <w:rsid w:val="00D655E7"/>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31T22:18:58.493"/>
    </inkml:context>
    <inkml:brush xml:id="br0">
      <inkml:brushProperty name="width" value="0.05" units="cm"/>
      <inkml:brushProperty name="height" value="0.05" units="cm"/>
    </inkml:brush>
  </inkml:definitions>
  <inkml:trace contextRef="#ctx0" brushRef="#br0">0 0 32767,'0'0'0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2467</Words>
  <Characters>11854</Characters>
  <Application>Microsoft Office Word</Application>
  <DocSecurity>0</DocSecurity>
  <Lines>98</Lines>
  <Paragraphs>28</Paragraphs>
  <ScaleCrop>false</ScaleCrop>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2018-10-15T12:41:00Z</dcterms:created>
  <dcterms:modified xsi:type="dcterms:W3CDTF">2018-10-15T12:41:00Z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