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Default="00242DBF"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4D0042">
        <w:rPr>
          <w:rFonts w:ascii="Book Antiqua" w:hAnsi="Book Antiqua" w:cs="Arial"/>
          <w:b/>
        </w:rPr>
        <w:t xml:space="preserve">   </w:t>
      </w:r>
      <w:proofErr w:type="gramEnd"/>
      <w:r w:rsidR="004D0042">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277CC1">
        <w:rPr>
          <w:rFonts w:ascii="Book Antiqua" w:hAnsi="Book Antiqua" w:cs="Arial"/>
          <w:b/>
          <w:caps/>
        </w:rPr>
        <w:t>HU</w:t>
      </w:r>
      <w:r w:rsidR="001B67F3" w:rsidRPr="007A3ED6">
        <w:rPr>
          <w:rFonts w:ascii="Book Antiqua" w:hAnsi="Book Antiqua" w:cs="Arial"/>
          <w:b/>
          <w:caps/>
        </w:rPr>
        <w:t>/</w:t>
      </w:r>
      <w:r w:rsidR="00C6083F">
        <w:rPr>
          <w:rFonts w:ascii="Book Antiqua" w:hAnsi="Book Antiqua" w:cs="Arial"/>
          <w:b/>
          <w:caps/>
        </w:rPr>
        <w:t>05372</w:t>
      </w:r>
      <w:r w:rsidR="00FB050B" w:rsidRPr="007A3ED6">
        <w:rPr>
          <w:rFonts w:ascii="Book Antiqua" w:hAnsi="Book Antiqua" w:cs="Arial"/>
          <w:b/>
          <w:caps/>
        </w:rPr>
        <w:t>/201</w:t>
      </w:r>
      <w:r w:rsidR="00C6083F">
        <w:rPr>
          <w:rFonts w:ascii="Book Antiqua" w:hAnsi="Book Antiqua" w:cs="Arial"/>
          <w:b/>
          <w:caps/>
        </w:rPr>
        <w:t>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337EBB" w:rsidTr="004D0042">
        <w:tc>
          <w:tcPr>
            <w:tcW w:w="5103" w:type="dxa"/>
            <w:shd w:val="clear" w:color="auto" w:fill="auto"/>
          </w:tcPr>
          <w:p w:rsidR="00242DBF" w:rsidRDefault="00D22636" w:rsidP="00337EBB">
            <w:pPr>
              <w:jc w:val="both"/>
              <w:rPr>
                <w:rFonts w:ascii="Book Antiqua" w:hAnsi="Book Antiqua" w:cs="Arial"/>
                <w:b/>
              </w:rPr>
            </w:pPr>
            <w:r w:rsidRPr="00337EBB">
              <w:rPr>
                <w:rFonts w:ascii="Book Antiqua" w:hAnsi="Book Antiqua" w:cs="Arial"/>
                <w:b/>
              </w:rPr>
              <w:t xml:space="preserve">Heard at </w:t>
            </w:r>
            <w:r w:rsidR="00277CC1">
              <w:rPr>
                <w:rFonts w:ascii="Book Antiqua" w:hAnsi="Book Antiqua" w:cs="Arial"/>
                <w:b/>
              </w:rPr>
              <w:t>Field House</w:t>
            </w:r>
          </w:p>
          <w:p w:rsidR="00D22636" w:rsidRPr="00242DBF" w:rsidRDefault="00242DBF" w:rsidP="00242DBF">
            <w:pPr>
              <w:tabs>
                <w:tab w:val="left" w:pos="936"/>
              </w:tabs>
              <w:rPr>
                <w:rFonts w:ascii="Book Antiqua" w:hAnsi="Book Antiqua" w:cs="Arial"/>
                <w:b/>
              </w:rPr>
            </w:pPr>
            <w:r w:rsidRPr="00242DBF">
              <w:rPr>
                <w:rFonts w:ascii="Book Antiqua" w:hAnsi="Book Antiqua" w:cs="Arial"/>
                <w:b/>
              </w:rPr>
              <w:t>On August 17, 2018</w:t>
            </w:r>
          </w:p>
        </w:tc>
        <w:tc>
          <w:tcPr>
            <w:tcW w:w="4535" w:type="dxa"/>
            <w:shd w:val="clear" w:color="auto" w:fill="auto"/>
          </w:tcPr>
          <w:p w:rsidR="00D22636" w:rsidRDefault="004D0042"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p w:rsidR="00242DBF" w:rsidRPr="00337EBB" w:rsidRDefault="004D0042" w:rsidP="00337EBB">
            <w:pPr>
              <w:jc w:val="both"/>
              <w:rPr>
                <w:rFonts w:ascii="Book Antiqua" w:hAnsi="Book Antiqua" w:cs="Arial"/>
                <w:b/>
              </w:rPr>
            </w:pPr>
            <w:r>
              <w:rPr>
                <w:rFonts w:ascii="Book Antiqua" w:hAnsi="Book Antiqua" w:cs="Arial"/>
                <w:b/>
              </w:rPr>
              <w:t xml:space="preserve"> </w:t>
            </w:r>
            <w:r w:rsidR="00242DBF">
              <w:rPr>
                <w:rFonts w:ascii="Book Antiqua" w:hAnsi="Book Antiqua" w:cs="Arial"/>
                <w:b/>
              </w:rPr>
              <w:t>On August 28, 2018</w:t>
            </w:r>
          </w:p>
        </w:tc>
      </w:tr>
      <w:tr w:rsidR="00D22636" w:rsidRPr="00337EBB" w:rsidTr="004D0042">
        <w:tc>
          <w:tcPr>
            <w:tcW w:w="5103" w:type="dxa"/>
            <w:shd w:val="clear" w:color="auto" w:fill="auto"/>
          </w:tcPr>
          <w:p w:rsidR="00D22636" w:rsidRPr="00337EBB" w:rsidRDefault="00D22636" w:rsidP="00337EBB">
            <w:pPr>
              <w:jc w:val="both"/>
              <w:rPr>
                <w:rFonts w:ascii="Book Antiqua" w:hAnsi="Book Antiqua" w:cs="Arial"/>
                <w:b/>
              </w:rPr>
            </w:pPr>
          </w:p>
        </w:tc>
        <w:tc>
          <w:tcPr>
            <w:tcW w:w="4535" w:type="dxa"/>
            <w:shd w:val="clear" w:color="auto" w:fill="auto"/>
          </w:tcPr>
          <w:p w:rsidR="00D22636" w:rsidRPr="00337EBB" w:rsidRDefault="00D22636" w:rsidP="00337EBB">
            <w:pPr>
              <w:jc w:val="both"/>
              <w:rPr>
                <w:rFonts w:ascii="Book Antiqua" w:hAnsi="Book Antiqua" w:cs="Arial"/>
                <w:b/>
              </w:rPr>
            </w:pPr>
          </w:p>
        </w:tc>
      </w:tr>
      <w:tr w:rsidR="00D22636" w:rsidRPr="00337EBB" w:rsidTr="004D0042">
        <w:tc>
          <w:tcPr>
            <w:tcW w:w="5103" w:type="dxa"/>
            <w:shd w:val="clear" w:color="auto" w:fill="auto"/>
          </w:tcPr>
          <w:p w:rsidR="00D22636" w:rsidRPr="00337EBB" w:rsidRDefault="00D22636" w:rsidP="00337EBB">
            <w:pPr>
              <w:jc w:val="both"/>
              <w:rPr>
                <w:rFonts w:ascii="Book Antiqua" w:hAnsi="Book Antiqua" w:cs="Arial"/>
                <w:b/>
              </w:rPr>
            </w:pPr>
          </w:p>
        </w:tc>
        <w:tc>
          <w:tcPr>
            <w:tcW w:w="4535"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C6083F" w:rsidRDefault="00C6083F" w:rsidP="00C6083F">
      <w:pPr>
        <w:jc w:val="center"/>
        <w:rPr>
          <w:rFonts w:ascii="Book Antiqua" w:hAnsi="Book Antiqua" w:cs="Arial"/>
          <w:b/>
          <w:caps/>
        </w:rPr>
      </w:pPr>
      <w:r>
        <w:rPr>
          <w:rFonts w:ascii="Book Antiqua" w:hAnsi="Book Antiqua" w:cs="Arial"/>
          <w:b/>
          <w:caps/>
        </w:rPr>
        <w:t>mrS FATMA HASSAN ALI ABDELMOTELEB</w:t>
      </w:r>
    </w:p>
    <w:p w:rsidR="00C767E8" w:rsidRPr="004D0042" w:rsidRDefault="00C6083F" w:rsidP="00C6083F">
      <w:pPr>
        <w:jc w:val="center"/>
        <w:rPr>
          <w:rFonts w:ascii="Book Antiqua" w:hAnsi="Book Antiqua" w:cs="Arial"/>
        </w:rPr>
      </w:pPr>
      <w:r w:rsidRPr="004D0042">
        <w:rPr>
          <w:rFonts w:ascii="Book Antiqua" w:hAnsi="Book Antiqua" w:cs="Arial"/>
          <w:caps/>
        </w:rPr>
        <w:t>(NO 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C6083F" w:rsidRDefault="00C6083F" w:rsidP="00704B61">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4D0042" w:rsidRPr="00F5664C" w:rsidRDefault="004D0042"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EC29B3">
        <w:rPr>
          <w:rFonts w:ascii="Book Antiqua" w:hAnsi="Book Antiqua" w:cs="Arial"/>
        </w:rPr>
        <w:t xml:space="preserve">Represented by husband, Mr Mohamed </w:t>
      </w:r>
      <w:proofErr w:type="spellStart"/>
      <w:r w:rsidR="00EC29B3">
        <w:rPr>
          <w:rFonts w:ascii="Book Antiqua" w:hAnsi="Book Antiqua" w:cs="Arial"/>
        </w:rPr>
        <w:t>Boraik</w:t>
      </w:r>
      <w:proofErr w:type="spellEnd"/>
    </w:p>
    <w:p w:rsidR="00DE7DB7" w:rsidRPr="00F5664C" w:rsidRDefault="00DE7DB7" w:rsidP="00E9793C">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C29B3">
        <w:rPr>
          <w:rFonts w:ascii="Book Antiqua" w:hAnsi="Book Antiqua" w:cs="Arial"/>
        </w:rPr>
        <w:t>Ms Kiss,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Default="001766DA" w:rsidP="00B35843">
      <w:pPr>
        <w:numPr>
          <w:ilvl w:val="0"/>
          <w:numId w:val="3"/>
        </w:numPr>
        <w:spacing w:before="240"/>
        <w:jc w:val="both"/>
        <w:rPr>
          <w:rFonts w:ascii="Book Antiqua" w:hAnsi="Book Antiqua" w:cs="Arial"/>
        </w:rPr>
      </w:pPr>
      <w:r>
        <w:rPr>
          <w:rFonts w:ascii="Book Antiqua" w:hAnsi="Book Antiqua" w:cs="Arial"/>
        </w:rPr>
        <w:t>No anonymity direction is made.</w:t>
      </w:r>
    </w:p>
    <w:p w:rsidR="00B35843" w:rsidRDefault="000E7800" w:rsidP="00892884">
      <w:pPr>
        <w:numPr>
          <w:ilvl w:val="0"/>
          <w:numId w:val="3"/>
        </w:numPr>
        <w:spacing w:before="240"/>
        <w:jc w:val="both"/>
        <w:rPr>
          <w:rFonts w:ascii="Book Antiqua" w:hAnsi="Book Antiqua" w:cs="Arial"/>
        </w:rPr>
      </w:pPr>
      <w:bookmarkStart w:id="0" w:name="_Hlk520443999"/>
      <w:bookmarkStart w:id="1" w:name="_Hlk518373650"/>
      <w:r>
        <w:rPr>
          <w:rFonts w:ascii="Book Antiqua" w:hAnsi="Book Antiqua" w:cs="Arial"/>
        </w:rPr>
        <w:t xml:space="preserve">The appellant is a national of </w:t>
      </w:r>
      <w:r w:rsidR="00C6083F">
        <w:rPr>
          <w:rFonts w:ascii="Book Antiqua" w:hAnsi="Book Antiqua" w:cs="Arial"/>
        </w:rPr>
        <w:t>Egypt</w:t>
      </w:r>
      <w:r w:rsidR="00F8177D">
        <w:rPr>
          <w:rFonts w:ascii="Book Antiqua" w:hAnsi="Book Antiqua" w:cs="Arial"/>
        </w:rPr>
        <w:t xml:space="preserve"> </w:t>
      </w:r>
      <w:r>
        <w:rPr>
          <w:rFonts w:ascii="Book Antiqua" w:hAnsi="Book Antiqua" w:cs="Arial"/>
        </w:rPr>
        <w:t xml:space="preserve">and </w:t>
      </w:r>
      <w:r w:rsidR="00F8177D">
        <w:rPr>
          <w:rFonts w:ascii="Book Antiqua" w:hAnsi="Book Antiqua" w:cs="Arial"/>
        </w:rPr>
        <w:t xml:space="preserve">on </w:t>
      </w:r>
      <w:r w:rsidR="00C6083F">
        <w:rPr>
          <w:rFonts w:ascii="Book Antiqua" w:hAnsi="Book Antiqua" w:cs="Arial"/>
        </w:rPr>
        <w:t xml:space="preserve">April 27, 2016 the appellant lodged an application for leave to remain on the basis of family life with her </w:t>
      </w:r>
      <w:r w:rsidR="00EC29B3">
        <w:rPr>
          <w:rFonts w:ascii="Book Antiqua" w:hAnsi="Book Antiqua" w:cs="Arial"/>
        </w:rPr>
        <w:t>spouse</w:t>
      </w:r>
      <w:r w:rsidR="00C6083F">
        <w:rPr>
          <w:rFonts w:ascii="Book Antiqua" w:hAnsi="Book Antiqua" w:cs="Arial"/>
        </w:rPr>
        <w:t xml:space="preserve"> and three children. The respondent refused the application</w:t>
      </w:r>
      <w:r w:rsidR="00CB6AEF">
        <w:rPr>
          <w:rFonts w:ascii="Book Antiqua" w:hAnsi="Book Antiqua" w:cs="Arial"/>
        </w:rPr>
        <w:t xml:space="preserve"> in February 2018. </w:t>
      </w:r>
    </w:p>
    <w:p w:rsidR="00494161"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on</w:t>
      </w:r>
      <w:r w:rsidR="00CB6AEF">
        <w:rPr>
          <w:rFonts w:ascii="Book Antiqua" w:hAnsi="Book Antiqua" w:cs="Arial"/>
        </w:rPr>
        <w:t xml:space="preserve"> February 21, 2018 and in the grounds of appeal she submitted the respondent had failed to consider the fact that her husband had indefinite leave to remain and that her children had applied to be registered as British citizens.</w:t>
      </w:r>
      <w:r w:rsidR="00E07601">
        <w:rPr>
          <w:rFonts w:ascii="Book Antiqua" w:hAnsi="Book Antiqua" w:cs="Arial"/>
        </w:rPr>
        <w:t xml:space="preserve">  </w:t>
      </w:r>
    </w:p>
    <w:p w:rsidR="00641A27" w:rsidRDefault="00CB6AEF" w:rsidP="00911478">
      <w:pPr>
        <w:numPr>
          <w:ilvl w:val="0"/>
          <w:numId w:val="3"/>
        </w:numPr>
        <w:spacing w:before="240"/>
        <w:jc w:val="both"/>
        <w:rPr>
          <w:rFonts w:ascii="Book Antiqua" w:hAnsi="Book Antiqua" w:cs="Arial"/>
        </w:rPr>
      </w:pPr>
      <w:r>
        <w:rPr>
          <w:rFonts w:ascii="Book Antiqua" w:hAnsi="Book Antiqua" w:cs="Arial"/>
        </w:rPr>
        <w:lastRenderedPageBreak/>
        <w:t xml:space="preserve">Her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r>
        <w:rPr>
          <w:rFonts w:ascii="Book Antiqua" w:hAnsi="Book Antiqua" w:cs="Arial"/>
        </w:rPr>
        <w:t>Bradshaw</w:t>
      </w:r>
      <w:bookmarkStart w:id="2" w:name="_GoBack"/>
      <w:bookmarkEnd w:id="2"/>
      <w:r w:rsidR="0060684A">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on</w:t>
      </w:r>
      <w:r w:rsidR="0060684A">
        <w:rPr>
          <w:rFonts w:ascii="Book Antiqua" w:hAnsi="Book Antiqua" w:cs="Arial"/>
        </w:rPr>
        <w:t xml:space="preserve"> </w:t>
      </w:r>
      <w:r>
        <w:rPr>
          <w:rFonts w:ascii="Book Antiqua" w:hAnsi="Book Antiqua" w:cs="Arial"/>
        </w:rPr>
        <w:t>April 17</w:t>
      </w:r>
      <w:r w:rsidR="000E7800">
        <w:rPr>
          <w:rFonts w:ascii="Book Antiqua" w:hAnsi="Book Antiqua" w:cs="Arial"/>
        </w:rPr>
        <w:t xml:space="preserve">, 2018 </w:t>
      </w:r>
      <w:r w:rsidR="00E07601">
        <w:rPr>
          <w:rFonts w:ascii="Book Antiqua" w:hAnsi="Book Antiqua" w:cs="Arial"/>
        </w:rPr>
        <w:t xml:space="preserve">and </w:t>
      </w:r>
      <w:r w:rsidR="00707025">
        <w:rPr>
          <w:rFonts w:ascii="Book Antiqua" w:hAnsi="Book Antiqua" w:cs="Arial"/>
        </w:rPr>
        <w:t xml:space="preserve">the Judge </w:t>
      </w:r>
      <w:r>
        <w:rPr>
          <w:rFonts w:ascii="Book Antiqua" w:hAnsi="Book Antiqua" w:cs="Arial"/>
        </w:rPr>
        <w:t xml:space="preserve">dismissed </w:t>
      </w:r>
      <w:r w:rsidR="00657E4E">
        <w:rPr>
          <w:rFonts w:ascii="Book Antiqua" w:hAnsi="Book Antiqua" w:cs="Arial"/>
        </w:rPr>
        <w:t>the appellant’s appeal</w:t>
      </w:r>
      <w:r w:rsidR="002A15E9">
        <w:rPr>
          <w:rFonts w:ascii="Book Antiqua" w:hAnsi="Book Antiqua" w:cs="Arial"/>
        </w:rPr>
        <w:t xml:space="preserve"> on </w:t>
      </w:r>
      <w:r w:rsidR="000E7800">
        <w:rPr>
          <w:rFonts w:ascii="Book Antiqua" w:hAnsi="Book Antiqua" w:cs="Arial"/>
        </w:rPr>
        <w:t xml:space="preserve">human </w:t>
      </w:r>
      <w:r w:rsidR="002A15E9">
        <w:rPr>
          <w:rFonts w:ascii="Book Antiqua" w:hAnsi="Book Antiqua" w:cs="Arial"/>
        </w:rPr>
        <w:t>rights grounds</w:t>
      </w:r>
      <w:r w:rsidR="000E7800">
        <w:rPr>
          <w:rFonts w:ascii="Book Antiqua" w:hAnsi="Book Antiqua" w:cs="Arial"/>
        </w:rPr>
        <w:t xml:space="preserve"> in a decision promulgated on </w:t>
      </w:r>
      <w:r>
        <w:rPr>
          <w:rFonts w:ascii="Book Antiqua" w:hAnsi="Book Antiqua" w:cs="Arial"/>
        </w:rPr>
        <w:t>May 3</w:t>
      </w:r>
      <w:r w:rsidR="000E7800">
        <w:rPr>
          <w:rFonts w:ascii="Book Antiqua" w:hAnsi="Book Antiqua" w:cs="Arial"/>
        </w:rPr>
        <w:t>, 2018.</w:t>
      </w:r>
    </w:p>
    <w:p w:rsidR="006667C1" w:rsidRDefault="00E07601" w:rsidP="004F1FD2">
      <w:pPr>
        <w:numPr>
          <w:ilvl w:val="0"/>
          <w:numId w:val="3"/>
        </w:numPr>
        <w:spacing w:before="240"/>
        <w:jc w:val="both"/>
        <w:rPr>
          <w:rFonts w:ascii="Book Antiqua" w:hAnsi="Book Antiqua" w:cs="Arial"/>
        </w:rPr>
      </w:pPr>
      <w:r w:rsidRPr="0084729B">
        <w:rPr>
          <w:rFonts w:ascii="Book Antiqua" w:hAnsi="Book Antiqua" w:cs="Arial"/>
        </w:rPr>
        <w:t xml:space="preserve">The </w:t>
      </w:r>
      <w:r w:rsidR="00216F41">
        <w:rPr>
          <w:rFonts w:ascii="Book Antiqua" w:hAnsi="Book Antiqua" w:cs="Arial"/>
        </w:rPr>
        <w:t>appellant</w:t>
      </w:r>
      <w:r w:rsidR="0060684A">
        <w:rPr>
          <w:rFonts w:ascii="Book Antiqua" w:hAnsi="Book Antiqua" w:cs="Arial"/>
        </w:rPr>
        <w:t xml:space="preserve"> </w:t>
      </w:r>
      <w:r w:rsidRPr="0084729B">
        <w:rPr>
          <w:rFonts w:ascii="Book Antiqua" w:hAnsi="Book Antiqua" w:cs="Arial"/>
        </w:rPr>
        <w:t xml:space="preserve">appealed this decision on </w:t>
      </w:r>
      <w:r w:rsidR="00CB6AEF">
        <w:rPr>
          <w:rFonts w:ascii="Book Antiqua" w:hAnsi="Book Antiqua" w:cs="Arial"/>
        </w:rPr>
        <w:t>May 14</w:t>
      </w:r>
      <w:r w:rsidR="0060684A">
        <w:rPr>
          <w:rFonts w:ascii="Book Antiqua" w:hAnsi="Book Antiqua" w:cs="Arial"/>
        </w:rPr>
        <w:t>, 2018</w:t>
      </w:r>
      <w:r w:rsidR="0084729B" w:rsidRPr="0084729B">
        <w:rPr>
          <w:rFonts w:ascii="Book Antiqua" w:hAnsi="Book Antiqua" w:cs="Arial"/>
        </w:rPr>
        <w:t xml:space="preserve"> on the grounds that the Judge </w:t>
      </w:r>
      <w:r w:rsidR="002A15E9">
        <w:rPr>
          <w:rFonts w:ascii="Book Antiqua" w:hAnsi="Book Antiqua" w:cs="Arial"/>
        </w:rPr>
        <w:t>had erred</w:t>
      </w:r>
      <w:r w:rsidR="006667C1">
        <w:rPr>
          <w:rFonts w:ascii="Book Antiqua" w:hAnsi="Book Antiqua" w:cs="Arial"/>
        </w:rPr>
        <w:t xml:space="preserve"> </w:t>
      </w:r>
      <w:r w:rsidR="00707025">
        <w:rPr>
          <w:rFonts w:ascii="Book Antiqua" w:hAnsi="Book Antiqua" w:cs="Arial"/>
        </w:rPr>
        <w:t xml:space="preserve">by </w:t>
      </w:r>
      <w:r w:rsidR="00CB6AEF">
        <w:rPr>
          <w:rFonts w:ascii="Book Antiqua" w:hAnsi="Book Antiqua" w:cs="Arial"/>
        </w:rPr>
        <w:t xml:space="preserve">failing to have regard to the evidence that had been sent to the Tribunal. Such evidence included certificates confirming that </w:t>
      </w:r>
      <w:r w:rsidR="00EC29B3">
        <w:rPr>
          <w:rFonts w:ascii="Book Antiqua" w:hAnsi="Book Antiqua" w:cs="Arial"/>
        </w:rPr>
        <w:t xml:space="preserve">all </w:t>
      </w:r>
      <w:r w:rsidR="00CB6AEF">
        <w:rPr>
          <w:rFonts w:ascii="Book Antiqua" w:hAnsi="Book Antiqua" w:cs="Arial"/>
        </w:rPr>
        <w:t>three children were British citizens. As the Judge had dealt with the appeal on the basis the children were Egyptian citizens she submitted there was an error in law.</w:t>
      </w:r>
    </w:p>
    <w:p w:rsidR="008D0F1C" w:rsidRDefault="002A15E9" w:rsidP="00911478">
      <w:pPr>
        <w:numPr>
          <w:ilvl w:val="0"/>
          <w:numId w:val="3"/>
        </w:numPr>
        <w:spacing w:before="240"/>
        <w:jc w:val="both"/>
        <w:rPr>
          <w:rFonts w:ascii="Book Antiqua" w:hAnsi="Book Antiqua" w:cs="Arial"/>
        </w:rPr>
      </w:pPr>
      <w:bookmarkStart w:id="3" w:name="_Hlk520272685"/>
      <w:r>
        <w:rPr>
          <w:rFonts w:ascii="Book Antiqua" w:hAnsi="Book Antiqua" w:cs="Arial"/>
        </w:rPr>
        <w:t xml:space="preserve">Permission to appeal was granted by Judge of the First-tier Tribunal </w:t>
      </w:r>
      <w:r w:rsidR="00CB6AEF">
        <w:rPr>
          <w:rFonts w:ascii="Book Antiqua" w:hAnsi="Book Antiqua" w:cs="Arial"/>
        </w:rPr>
        <w:t>Robertson</w:t>
      </w:r>
      <w:r w:rsidR="00707025">
        <w:rPr>
          <w:rFonts w:ascii="Book Antiqua" w:hAnsi="Book Antiqua" w:cs="Arial"/>
        </w:rPr>
        <w:t xml:space="preserve"> </w:t>
      </w:r>
      <w:r>
        <w:rPr>
          <w:rFonts w:ascii="Book Antiqua" w:hAnsi="Book Antiqua" w:cs="Arial"/>
        </w:rPr>
        <w:t xml:space="preserve">on </w:t>
      </w:r>
      <w:r w:rsidR="0060684A">
        <w:rPr>
          <w:rFonts w:ascii="Book Antiqua" w:hAnsi="Book Antiqua" w:cs="Arial"/>
        </w:rPr>
        <w:t xml:space="preserve">June </w:t>
      </w:r>
      <w:r w:rsidR="00707025">
        <w:rPr>
          <w:rFonts w:ascii="Book Antiqua" w:hAnsi="Book Antiqua" w:cs="Arial"/>
        </w:rPr>
        <w:t>21</w:t>
      </w:r>
      <w:r>
        <w:rPr>
          <w:rFonts w:ascii="Book Antiqua" w:hAnsi="Book Antiqua" w:cs="Arial"/>
        </w:rPr>
        <w:t>, 2018 who</w:t>
      </w:r>
      <w:bookmarkEnd w:id="3"/>
      <w:r w:rsidR="000E7800">
        <w:rPr>
          <w:rFonts w:ascii="Book Antiqua" w:hAnsi="Book Antiqua" w:cs="Arial"/>
        </w:rPr>
        <w:t xml:space="preserve"> found</w:t>
      </w:r>
      <w:r w:rsidR="00707025">
        <w:rPr>
          <w:rFonts w:ascii="Book Antiqua" w:hAnsi="Book Antiqua" w:cs="Arial"/>
        </w:rPr>
        <w:t xml:space="preserve"> </w:t>
      </w:r>
      <w:r w:rsidR="00CB6AEF">
        <w:rPr>
          <w:rFonts w:ascii="Book Antiqua" w:hAnsi="Book Antiqua" w:cs="Arial"/>
        </w:rPr>
        <w:t xml:space="preserve">it was arguable there had been procedural unfairness. </w:t>
      </w:r>
    </w:p>
    <w:bookmarkEnd w:id="0"/>
    <w:p w:rsidR="00EC29B3" w:rsidRDefault="00EC29B3" w:rsidP="004B170B">
      <w:pPr>
        <w:numPr>
          <w:ilvl w:val="0"/>
          <w:numId w:val="3"/>
        </w:numPr>
        <w:spacing w:before="240"/>
        <w:jc w:val="both"/>
        <w:rPr>
          <w:rFonts w:ascii="Book Antiqua" w:hAnsi="Book Antiqua" w:cs="Arial"/>
        </w:rPr>
      </w:pPr>
      <w:r>
        <w:rPr>
          <w:rFonts w:ascii="Book Antiqua" w:hAnsi="Book Antiqua" w:cs="Arial"/>
        </w:rPr>
        <w:t xml:space="preserve">The appellant had provided evidence that she had sent her bundle to Arnhem Support Centre on April 14, 2018 with a guaranteed delivery date of April 16, 2018 and although the bundle was stamped as having been received on May 14, 2018 it appears the bundle turned up at the Bradford Hearing Centre on May 2, 2018. </w:t>
      </w:r>
    </w:p>
    <w:p w:rsidR="00E029C5" w:rsidRDefault="00EC29B3" w:rsidP="004B170B">
      <w:pPr>
        <w:numPr>
          <w:ilvl w:val="0"/>
          <w:numId w:val="3"/>
        </w:numPr>
        <w:spacing w:before="240"/>
        <w:jc w:val="both"/>
        <w:rPr>
          <w:rFonts w:ascii="Book Antiqua" w:hAnsi="Book Antiqua" w:cs="Arial"/>
        </w:rPr>
      </w:pPr>
      <w:r>
        <w:rPr>
          <w:rFonts w:ascii="Book Antiqua" w:hAnsi="Book Antiqua" w:cs="Arial"/>
        </w:rPr>
        <w:t xml:space="preserve">Ms Kiss accepted that as the evidence had been lodged prior to the hearing and before the Judge promulgated his decision there was a material error in law. </w:t>
      </w:r>
    </w:p>
    <w:p w:rsidR="00EC29B3" w:rsidRDefault="00EC29B3" w:rsidP="004B170B">
      <w:pPr>
        <w:numPr>
          <w:ilvl w:val="0"/>
          <w:numId w:val="3"/>
        </w:numPr>
        <w:spacing w:before="240"/>
        <w:jc w:val="both"/>
        <w:rPr>
          <w:rFonts w:ascii="Book Antiqua" w:hAnsi="Book Antiqua" w:cs="Arial"/>
        </w:rPr>
      </w:pPr>
      <w:r>
        <w:rPr>
          <w:rFonts w:ascii="Book Antiqua" w:hAnsi="Book Antiqua" w:cs="Arial"/>
        </w:rPr>
        <w:t>I considered the timeline, set out above, and whilst the Judge cannot be criticised for not having regard to the evidence the fact remained the appellant had submitted evidence in accordance with the Tribunal</w:t>
      </w:r>
      <w:r w:rsidR="00CE15C7">
        <w:rPr>
          <w:rFonts w:ascii="Book Antiqua" w:hAnsi="Book Antiqua" w:cs="Arial"/>
        </w:rPr>
        <w:t>’s</w:t>
      </w:r>
      <w:r>
        <w:rPr>
          <w:rFonts w:ascii="Book Antiqua" w:hAnsi="Book Antiqua" w:cs="Arial"/>
        </w:rPr>
        <w:t xml:space="preserve"> directions and that evidence, for whatever reason, had not been passed to the Judge. There was therefore procedural unfairness to the appellant.</w:t>
      </w:r>
    </w:p>
    <w:p w:rsidR="00CE15C7" w:rsidRDefault="00EC29B3" w:rsidP="004B170B">
      <w:pPr>
        <w:numPr>
          <w:ilvl w:val="0"/>
          <w:numId w:val="3"/>
        </w:numPr>
        <w:spacing w:before="240"/>
        <w:jc w:val="both"/>
        <w:rPr>
          <w:rFonts w:ascii="Book Antiqua" w:hAnsi="Book Antiqua" w:cs="Arial"/>
        </w:rPr>
      </w:pPr>
      <w:r>
        <w:rPr>
          <w:rFonts w:ascii="Book Antiqua" w:hAnsi="Book Antiqua" w:cs="Arial"/>
        </w:rPr>
        <w:t xml:space="preserve">Ms Kiss accepted that as the parties were lawfully married and in a genuine and subsisting relationship and the appellant’s husband had indefinite leave to remain which consequently led to the three children (youngest 18 months old) all being recognised as British citizens then this would be a case which must succeed under article 8 ECHR. </w:t>
      </w:r>
    </w:p>
    <w:p w:rsidR="00EC29B3" w:rsidRDefault="00CE15C7" w:rsidP="004B170B">
      <w:pPr>
        <w:numPr>
          <w:ilvl w:val="0"/>
          <w:numId w:val="3"/>
        </w:numPr>
        <w:spacing w:before="240"/>
        <w:jc w:val="both"/>
        <w:rPr>
          <w:rFonts w:ascii="Book Antiqua" w:hAnsi="Book Antiqua" w:cs="Arial"/>
        </w:rPr>
      </w:pPr>
      <w:r>
        <w:rPr>
          <w:rFonts w:ascii="Book Antiqua" w:hAnsi="Book Antiqua" w:cs="Arial"/>
        </w:rPr>
        <w:t xml:space="preserve">I am satisfied the original </w:t>
      </w:r>
      <w:r w:rsidR="00EC29B3">
        <w:rPr>
          <w:rFonts w:ascii="Book Antiqua" w:hAnsi="Book Antiqua" w:cs="Arial"/>
        </w:rPr>
        <w:t>decision taken by the respondent under the Immigration Rules was correct as the children</w:t>
      </w:r>
      <w:r>
        <w:rPr>
          <w:rFonts w:ascii="Book Antiqua" w:hAnsi="Book Antiqua" w:cs="Arial"/>
        </w:rPr>
        <w:t>’s</w:t>
      </w:r>
      <w:r w:rsidR="00EC29B3">
        <w:rPr>
          <w:rFonts w:ascii="Book Antiqua" w:hAnsi="Book Antiqua" w:cs="Arial"/>
        </w:rPr>
        <w:t xml:space="preserve"> status was different then to what is now.</w:t>
      </w:r>
    </w:p>
    <w:p w:rsidR="00EC29B3" w:rsidRDefault="00EC29B3" w:rsidP="004B170B">
      <w:pPr>
        <w:numPr>
          <w:ilvl w:val="0"/>
          <w:numId w:val="3"/>
        </w:numPr>
        <w:spacing w:before="240"/>
        <w:jc w:val="both"/>
        <w:rPr>
          <w:rFonts w:ascii="Book Antiqua" w:hAnsi="Book Antiqua" w:cs="Arial"/>
        </w:rPr>
      </w:pPr>
      <w:r>
        <w:rPr>
          <w:rFonts w:ascii="Book Antiqua" w:hAnsi="Book Antiqua" w:cs="Arial"/>
        </w:rPr>
        <w:t>By the date of hearing the appellant’s children were British and applying section 117</w:t>
      </w:r>
      <w:proofErr w:type="gramStart"/>
      <w:r>
        <w:rPr>
          <w:rFonts w:ascii="Book Antiqua" w:hAnsi="Book Antiqua" w:cs="Arial"/>
        </w:rPr>
        <w:t>B(</w:t>
      </w:r>
      <w:proofErr w:type="gramEnd"/>
      <w:r>
        <w:rPr>
          <w:rFonts w:ascii="Book Antiqua" w:hAnsi="Book Antiqua" w:cs="Arial"/>
        </w:rPr>
        <w:t xml:space="preserve">6) of the 2002 Act I find it would be unreasonable to expect the children to leave the United Kingdom and in doing so I have also had regard to the respondent’s policy as set out in </w:t>
      </w:r>
      <w:r w:rsidRPr="003154DB">
        <w:rPr>
          <w:rFonts w:ascii="Book Antiqua" w:hAnsi="Book Antiqua" w:cs="Arial"/>
        </w:rPr>
        <w:t>“Family Migration-Appendix FM, Section 1.0 Family life as a Partner or Parent and Private Life, 10 year Routes”</w:t>
      </w:r>
      <w:r>
        <w:rPr>
          <w:rFonts w:ascii="Book Antiqua" w:hAnsi="Book Antiqua" w:cs="Arial"/>
        </w:rPr>
        <w:t xml:space="preserve">. </w:t>
      </w:r>
    </w:p>
    <w:p w:rsidR="00CE15C7" w:rsidRPr="00CE15C7" w:rsidRDefault="00EC29B3" w:rsidP="004B170B">
      <w:pPr>
        <w:numPr>
          <w:ilvl w:val="0"/>
          <w:numId w:val="3"/>
        </w:numPr>
        <w:spacing w:before="240"/>
        <w:jc w:val="both"/>
        <w:rPr>
          <w:rFonts w:ascii="Book Antiqua" w:hAnsi="Book Antiqua" w:cs="Arial"/>
        </w:rPr>
      </w:pPr>
      <w:r>
        <w:rPr>
          <w:rFonts w:ascii="Book Antiqua" w:hAnsi="Book Antiqua"/>
        </w:rPr>
        <w:t xml:space="preserve">The only reason to refuse </w:t>
      </w:r>
      <w:r w:rsidR="00CE15C7">
        <w:rPr>
          <w:rFonts w:ascii="Book Antiqua" w:hAnsi="Book Antiqua"/>
        </w:rPr>
        <w:t xml:space="preserve">the appellant’s </w:t>
      </w:r>
      <w:r>
        <w:rPr>
          <w:rFonts w:ascii="Book Antiqua" w:hAnsi="Book Antiqua"/>
        </w:rPr>
        <w:t xml:space="preserve">application </w:t>
      </w:r>
      <w:r w:rsidR="00CE15C7">
        <w:rPr>
          <w:rFonts w:ascii="Book Antiqua" w:hAnsi="Book Antiqua"/>
        </w:rPr>
        <w:t xml:space="preserve">would be if her </w:t>
      </w:r>
      <w:r w:rsidRPr="00EC29B3">
        <w:rPr>
          <w:rFonts w:ascii="Book Antiqua" w:hAnsi="Book Antiqua"/>
        </w:rPr>
        <w:t xml:space="preserve">conduct </w:t>
      </w:r>
      <w:r w:rsidR="00CE15C7">
        <w:rPr>
          <w:rFonts w:ascii="Book Antiqua" w:hAnsi="Book Antiqua"/>
        </w:rPr>
        <w:t xml:space="preserve">gave </w:t>
      </w:r>
      <w:r w:rsidRPr="00EC29B3">
        <w:rPr>
          <w:rFonts w:ascii="Book Antiqua" w:hAnsi="Book Antiqua"/>
        </w:rPr>
        <w:t xml:space="preserve">rise to public interest considerations of such weight as to justify </w:t>
      </w:r>
      <w:r w:rsidR="00CE15C7">
        <w:rPr>
          <w:rFonts w:ascii="Book Antiqua" w:hAnsi="Book Antiqua"/>
        </w:rPr>
        <w:t xml:space="preserve">her </w:t>
      </w:r>
      <w:r w:rsidRPr="00EC29B3">
        <w:rPr>
          <w:rFonts w:ascii="Book Antiqua" w:hAnsi="Book Antiqua"/>
        </w:rPr>
        <w:t xml:space="preserve">removal, where the British citizen child could remain in the UK with another parent or alternative primary carer, who is a British citizen or settled in the UK or who has or is being granted leave to remain. </w:t>
      </w:r>
    </w:p>
    <w:p w:rsidR="00EC29B3" w:rsidRPr="00CE15C7" w:rsidRDefault="00EC29B3" w:rsidP="004B170B">
      <w:pPr>
        <w:numPr>
          <w:ilvl w:val="0"/>
          <w:numId w:val="3"/>
        </w:numPr>
        <w:spacing w:before="240"/>
        <w:jc w:val="both"/>
        <w:rPr>
          <w:rFonts w:ascii="Book Antiqua" w:hAnsi="Book Antiqua" w:cs="Arial"/>
        </w:rPr>
      </w:pPr>
      <w:r w:rsidRPr="00EC29B3">
        <w:rPr>
          <w:rFonts w:ascii="Book Antiqua" w:hAnsi="Book Antiqua"/>
        </w:rPr>
        <w:lastRenderedPageBreak/>
        <w:t>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p>
    <w:p w:rsidR="00CE15C7" w:rsidRDefault="00CE15C7" w:rsidP="004B170B">
      <w:pPr>
        <w:numPr>
          <w:ilvl w:val="0"/>
          <w:numId w:val="3"/>
        </w:numPr>
        <w:spacing w:before="240"/>
        <w:jc w:val="both"/>
        <w:rPr>
          <w:rFonts w:ascii="Book Antiqua" w:hAnsi="Book Antiqua" w:cs="Arial"/>
        </w:rPr>
      </w:pPr>
      <w:r>
        <w:rPr>
          <w:rFonts w:ascii="Book Antiqua" w:hAnsi="Book Antiqua" w:cs="Arial"/>
        </w:rPr>
        <w:t>None of these factors are present in this appeal.</w:t>
      </w:r>
    </w:p>
    <w:bookmarkEnd w:id="1"/>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w:t>
      </w:r>
      <w:r w:rsidR="00CE15C7">
        <w:rPr>
          <w:rFonts w:ascii="Book Antiqua" w:hAnsi="Book Antiqua" w:cs="Arial"/>
        </w:rPr>
        <w:t xml:space="preserve">an </w:t>
      </w:r>
      <w:r>
        <w:rPr>
          <w:rFonts w:ascii="Book Antiqua" w:hAnsi="Book Antiqua" w:cs="Arial"/>
        </w:rPr>
        <w:t>error in law and</w:t>
      </w:r>
      <w:r w:rsidR="005D3338">
        <w:rPr>
          <w:rFonts w:ascii="Book Antiqua" w:hAnsi="Book Antiqua" w:cs="Arial"/>
        </w:rPr>
        <w:t xml:space="preserve"> I</w:t>
      </w:r>
      <w:r w:rsidR="00CE15C7">
        <w:rPr>
          <w:rFonts w:ascii="Book Antiqua" w:hAnsi="Book Antiqua" w:cs="Arial"/>
        </w:rPr>
        <w:t xml:space="preserve"> set aside the Judge’s decision and allow the appeal under article 8 ECHR.</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707025">
        <w:rPr>
          <w:rFonts w:ascii="Book Antiqua" w:hAnsi="Book Antiqua" w:cs="Arial"/>
        </w:rPr>
        <w:t>17</w:t>
      </w:r>
      <w:r w:rsidR="00941D3B">
        <w:rPr>
          <w:rFonts w:ascii="Book Antiqua" w:hAnsi="Book Antiqua" w:cs="Arial"/>
        </w:rPr>
        <w:t>/</w:t>
      </w:r>
      <w:r w:rsidR="00707025">
        <w:rPr>
          <w:rFonts w:ascii="Book Antiqua" w:hAnsi="Book Antiqua" w:cs="Arial"/>
        </w:rPr>
        <w:t>08</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242DBF"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5D3338" w:rsidRDefault="005D3338" w:rsidP="000369F5">
      <w:pPr>
        <w:tabs>
          <w:tab w:val="left" w:pos="2520"/>
        </w:tabs>
        <w:jc w:val="both"/>
        <w:rPr>
          <w:rFonts w:ascii="Book Antiqua" w:hAnsi="Book Antiqua" w:cs="Arial"/>
        </w:rPr>
      </w:pPr>
    </w:p>
    <w:p w:rsidR="00981F12" w:rsidRDefault="00981F12" w:rsidP="000369F5">
      <w:pPr>
        <w:tabs>
          <w:tab w:val="left" w:pos="2520"/>
        </w:tabs>
        <w:jc w:val="both"/>
        <w:rPr>
          <w:rFonts w:ascii="Book Antiqua" w:hAnsi="Book Antiqua" w:cs="Arial"/>
        </w:rPr>
      </w:pPr>
    </w:p>
    <w:p w:rsidR="00981F12" w:rsidRDefault="00981F12" w:rsidP="000369F5">
      <w:pPr>
        <w:tabs>
          <w:tab w:val="left" w:pos="2520"/>
        </w:tabs>
        <w:jc w:val="both"/>
        <w:rPr>
          <w:rFonts w:ascii="Book Antiqua" w:hAnsi="Book Antiqua" w:cs="Arial"/>
        </w:rPr>
      </w:pPr>
    </w:p>
    <w:p w:rsidR="00981F12" w:rsidRDefault="00981F12"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I make no fee award as</w:t>
      </w:r>
      <w:r w:rsidR="00D1754C">
        <w:rPr>
          <w:rFonts w:ascii="Book Antiqua" w:hAnsi="Book Antiqua" w:cs="Arial"/>
        </w:rPr>
        <w:t xml:space="preserve"> </w:t>
      </w:r>
      <w:r w:rsidR="00CE15C7">
        <w:rPr>
          <w:rFonts w:ascii="Book Antiqua" w:hAnsi="Book Antiqua" w:cs="Arial"/>
        </w:rPr>
        <w:t xml:space="preserve">the appeal has been allowed based on circumstances that occurred after the appeal was lodged. </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707025">
        <w:rPr>
          <w:rFonts w:ascii="Book Antiqua" w:hAnsi="Book Antiqua" w:cs="Arial"/>
        </w:rPr>
        <w:t>17</w:t>
      </w:r>
      <w:r>
        <w:rPr>
          <w:rFonts w:ascii="Book Antiqua" w:hAnsi="Book Antiqua" w:cs="Arial"/>
        </w:rPr>
        <w:t>/</w:t>
      </w:r>
      <w:r w:rsidR="00707025">
        <w:rPr>
          <w:rFonts w:ascii="Book Antiqua" w:hAnsi="Book Antiqua" w:cs="Arial"/>
        </w:rPr>
        <w:t>08</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242DBF"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632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4D0042">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62BB" w:rsidRDefault="009462BB">
      <w:r>
        <w:separator/>
      </w:r>
    </w:p>
  </w:endnote>
  <w:endnote w:type="continuationSeparator" w:id="0">
    <w:p w:rsidR="009462BB" w:rsidRDefault="0094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432559" w:rsidRDefault="00941D3B" w:rsidP="00593795">
    <w:pPr>
      <w:pStyle w:val="Footer"/>
      <w:jc w:val="center"/>
      <w:rPr>
        <w:rFonts w:ascii="Book Antiqua" w:hAnsi="Book Antiqua" w:cs="Arial"/>
      </w:rPr>
    </w:pPr>
    <w:r w:rsidRPr="00432559">
      <w:rPr>
        <w:rStyle w:val="PageNumber"/>
        <w:rFonts w:ascii="Book Antiqua" w:hAnsi="Book Antiqua" w:cs="Arial"/>
      </w:rPr>
      <w:fldChar w:fldCharType="begin"/>
    </w:r>
    <w:r w:rsidRPr="00432559">
      <w:rPr>
        <w:rStyle w:val="PageNumber"/>
        <w:rFonts w:ascii="Book Antiqua" w:hAnsi="Book Antiqua" w:cs="Arial"/>
      </w:rPr>
      <w:instrText xml:space="preserve"> PAGE </w:instrText>
    </w:r>
    <w:r w:rsidRPr="00432559">
      <w:rPr>
        <w:rStyle w:val="PageNumber"/>
        <w:rFonts w:ascii="Book Antiqua" w:hAnsi="Book Antiqua" w:cs="Arial"/>
      </w:rPr>
      <w:fldChar w:fldCharType="separate"/>
    </w:r>
    <w:r w:rsidR="00586AF0">
      <w:rPr>
        <w:rStyle w:val="PageNumber"/>
        <w:rFonts w:ascii="Book Antiqua" w:hAnsi="Book Antiqua" w:cs="Arial"/>
        <w:noProof/>
      </w:rPr>
      <w:t>3</w:t>
    </w:r>
    <w:r w:rsidRPr="0043255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62BB" w:rsidRDefault="009462BB">
      <w:r>
        <w:separator/>
      </w:r>
    </w:p>
  </w:footnote>
  <w:footnote w:type="continuationSeparator" w:id="0">
    <w:p w:rsidR="009462BB" w:rsidRDefault="00946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86153A">
      <w:rPr>
        <w:rFonts w:ascii="Book Antiqua" w:hAnsi="Book Antiqua" w:cs="Arial"/>
        <w:sz w:val="16"/>
        <w:szCs w:val="16"/>
      </w:rPr>
      <w:t>HU</w:t>
    </w:r>
    <w:r w:rsidRPr="00D97AF0">
      <w:rPr>
        <w:rFonts w:ascii="Book Antiqua" w:hAnsi="Book Antiqua" w:cs="Arial"/>
        <w:sz w:val="16"/>
        <w:szCs w:val="16"/>
      </w:rPr>
      <w:t>/</w:t>
    </w:r>
    <w:r w:rsidR="00C6083F">
      <w:rPr>
        <w:rFonts w:ascii="Book Antiqua" w:hAnsi="Book Antiqua" w:cs="Arial"/>
        <w:sz w:val="16"/>
        <w:szCs w:val="16"/>
      </w:rPr>
      <w:t>05372</w:t>
    </w:r>
    <w:r>
      <w:rPr>
        <w:rFonts w:ascii="Book Antiqua" w:hAnsi="Book Antiqua" w:cs="Arial"/>
        <w:sz w:val="16"/>
        <w:szCs w:val="16"/>
      </w:rPr>
      <w:t>/201</w:t>
    </w:r>
    <w:r w:rsidR="00C6083F">
      <w:rPr>
        <w:rFonts w:ascii="Book Antiqua" w:hAnsi="Book Antiqua" w:cs="Arial"/>
        <w:sz w:val="16"/>
        <w:szCs w:val="16"/>
      </w:rPr>
      <w:t>8</w:t>
    </w:r>
  </w:p>
  <w:p w:rsidR="00432559" w:rsidRPr="00D97AF0" w:rsidRDefault="0043255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72E547E-4FB5-432C-B3B9-B916E48A02AF}"/>
    <w:docVar w:name="dgnword-eventsink" w:val="1594077470192"/>
  </w:docVars>
  <w:rsids>
    <w:rsidRoot w:val="00A25C94"/>
    <w:rsid w:val="00000412"/>
    <w:rsid w:val="00000621"/>
    <w:rsid w:val="000008B1"/>
    <w:rsid w:val="000011DB"/>
    <w:rsid w:val="00002241"/>
    <w:rsid w:val="000036C2"/>
    <w:rsid w:val="0000577C"/>
    <w:rsid w:val="00006A0D"/>
    <w:rsid w:val="00015C45"/>
    <w:rsid w:val="00033D3D"/>
    <w:rsid w:val="000369F5"/>
    <w:rsid w:val="00052960"/>
    <w:rsid w:val="00060A81"/>
    <w:rsid w:val="00071A7E"/>
    <w:rsid w:val="000746C0"/>
    <w:rsid w:val="00074D1D"/>
    <w:rsid w:val="00080FDA"/>
    <w:rsid w:val="00087037"/>
    <w:rsid w:val="00087B4B"/>
    <w:rsid w:val="00092580"/>
    <w:rsid w:val="0009287C"/>
    <w:rsid w:val="00095513"/>
    <w:rsid w:val="000A32A2"/>
    <w:rsid w:val="000D5D94"/>
    <w:rsid w:val="000E483B"/>
    <w:rsid w:val="000E7800"/>
    <w:rsid w:val="000E79C1"/>
    <w:rsid w:val="000F1FBC"/>
    <w:rsid w:val="000F2C33"/>
    <w:rsid w:val="001165A7"/>
    <w:rsid w:val="00132731"/>
    <w:rsid w:val="00132F1C"/>
    <w:rsid w:val="00151BB7"/>
    <w:rsid w:val="00167D3A"/>
    <w:rsid w:val="001766DA"/>
    <w:rsid w:val="001A1E2C"/>
    <w:rsid w:val="001A2421"/>
    <w:rsid w:val="001B67F3"/>
    <w:rsid w:val="001C1452"/>
    <w:rsid w:val="001C43CF"/>
    <w:rsid w:val="001E12F7"/>
    <w:rsid w:val="001E3DD1"/>
    <w:rsid w:val="001F2716"/>
    <w:rsid w:val="001F48D4"/>
    <w:rsid w:val="001F4C3C"/>
    <w:rsid w:val="0020133A"/>
    <w:rsid w:val="00203454"/>
    <w:rsid w:val="00207617"/>
    <w:rsid w:val="00216F41"/>
    <w:rsid w:val="00242DBF"/>
    <w:rsid w:val="002609E6"/>
    <w:rsid w:val="00274857"/>
    <w:rsid w:val="00277CC1"/>
    <w:rsid w:val="00283659"/>
    <w:rsid w:val="00284E94"/>
    <w:rsid w:val="002865D5"/>
    <w:rsid w:val="00290EAB"/>
    <w:rsid w:val="0029144D"/>
    <w:rsid w:val="00291D5E"/>
    <w:rsid w:val="002A15E9"/>
    <w:rsid w:val="002A1EC1"/>
    <w:rsid w:val="002A2720"/>
    <w:rsid w:val="002A2AFF"/>
    <w:rsid w:val="002A437B"/>
    <w:rsid w:val="002A5F30"/>
    <w:rsid w:val="002B33A2"/>
    <w:rsid w:val="002C009E"/>
    <w:rsid w:val="002C1535"/>
    <w:rsid w:val="002C25AF"/>
    <w:rsid w:val="002C4E73"/>
    <w:rsid w:val="002D2DB5"/>
    <w:rsid w:val="002D68BF"/>
    <w:rsid w:val="002F05A0"/>
    <w:rsid w:val="002F1559"/>
    <w:rsid w:val="002F5C01"/>
    <w:rsid w:val="00305FBC"/>
    <w:rsid w:val="0031059E"/>
    <w:rsid w:val="0031445F"/>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C609D"/>
    <w:rsid w:val="003D21BE"/>
    <w:rsid w:val="003D3D7D"/>
    <w:rsid w:val="003E267B"/>
    <w:rsid w:val="003E36BE"/>
    <w:rsid w:val="003E4B44"/>
    <w:rsid w:val="003E7CD1"/>
    <w:rsid w:val="003F16FB"/>
    <w:rsid w:val="003F18E0"/>
    <w:rsid w:val="00402B9E"/>
    <w:rsid w:val="00423932"/>
    <w:rsid w:val="004249CB"/>
    <w:rsid w:val="00432559"/>
    <w:rsid w:val="0044127D"/>
    <w:rsid w:val="00441F04"/>
    <w:rsid w:val="00442A49"/>
    <w:rsid w:val="004448DB"/>
    <w:rsid w:val="00446C9A"/>
    <w:rsid w:val="00456521"/>
    <w:rsid w:val="00464E5B"/>
    <w:rsid w:val="00465231"/>
    <w:rsid w:val="00477193"/>
    <w:rsid w:val="004835E2"/>
    <w:rsid w:val="004852B5"/>
    <w:rsid w:val="00494161"/>
    <w:rsid w:val="004A1848"/>
    <w:rsid w:val="004B170B"/>
    <w:rsid w:val="004B4552"/>
    <w:rsid w:val="004B7003"/>
    <w:rsid w:val="004D0042"/>
    <w:rsid w:val="004D0B09"/>
    <w:rsid w:val="004E4682"/>
    <w:rsid w:val="004F1FD2"/>
    <w:rsid w:val="00502F93"/>
    <w:rsid w:val="00507FEC"/>
    <w:rsid w:val="00510F0E"/>
    <w:rsid w:val="00516E48"/>
    <w:rsid w:val="00534696"/>
    <w:rsid w:val="00541D19"/>
    <w:rsid w:val="005479E1"/>
    <w:rsid w:val="005570FD"/>
    <w:rsid w:val="005575EA"/>
    <w:rsid w:val="00564626"/>
    <w:rsid w:val="00564C2A"/>
    <w:rsid w:val="0057790C"/>
    <w:rsid w:val="00586AF0"/>
    <w:rsid w:val="00593795"/>
    <w:rsid w:val="005A45CC"/>
    <w:rsid w:val="005A75FF"/>
    <w:rsid w:val="005A7A22"/>
    <w:rsid w:val="005B4942"/>
    <w:rsid w:val="005B7789"/>
    <w:rsid w:val="005C04A8"/>
    <w:rsid w:val="005C3A83"/>
    <w:rsid w:val="005D3338"/>
    <w:rsid w:val="005E6A6E"/>
    <w:rsid w:val="005F03F6"/>
    <w:rsid w:val="006059EF"/>
    <w:rsid w:val="0060684A"/>
    <w:rsid w:val="006121C8"/>
    <w:rsid w:val="00622725"/>
    <w:rsid w:val="00640E14"/>
    <w:rsid w:val="00641A27"/>
    <w:rsid w:val="00642840"/>
    <w:rsid w:val="0064774D"/>
    <w:rsid w:val="0065791C"/>
    <w:rsid w:val="00657E4E"/>
    <w:rsid w:val="006667C1"/>
    <w:rsid w:val="00677176"/>
    <w:rsid w:val="00690B8A"/>
    <w:rsid w:val="00695B35"/>
    <w:rsid w:val="006A5EDB"/>
    <w:rsid w:val="006B29C2"/>
    <w:rsid w:val="006C5C33"/>
    <w:rsid w:val="006D1DFA"/>
    <w:rsid w:val="006D506B"/>
    <w:rsid w:val="006D5949"/>
    <w:rsid w:val="006D79F6"/>
    <w:rsid w:val="006E3C90"/>
    <w:rsid w:val="006F08DA"/>
    <w:rsid w:val="006F382C"/>
    <w:rsid w:val="006F6265"/>
    <w:rsid w:val="00704B61"/>
    <w:rsid w:val="00707025"/>
    <w:rsid w:val="007105F4"/>
    <w:rsid w:val="007164CA"/>
    <w:rsid w:val="00716F72"/>
    <w:rsid w:val="00742A8D"/>
    <w:rsid w:val="00744B61"/>
    <w:rsid w:val="0075191E"/>
    <w:rsid w:val="007552A9"/>
    <w:rsid w:val="00761858"/>
    <w:rsid w:val="00767D59"/>
    <w:rsid w:val="007742F1"/>
    <w:rsid w:val="00774A81"/>
    <w:rsid w:val="00776E97"/>
    <w:rsid w:val="00780FD7"/>
    <w:rsid w:val="00781BA7"/>
    <w:rsid w:val="00784A6D"/>
    <w:rsid w:val="007912AD"/>
    <w:rsid w:val="0079526F"/>
    <w:rsid w:val="007A1F28"/>
    <w:rsid w:val="007A2DE3"/>
    <w:rsid w:val="007A3249"/>
    <w:rsid w:val="007A3ED6"/>
    <w:rsid w:val="007B0824"/>
    <w:rsid w:val="007B0892"/>
    <w:rsid w:val="007C2556"/>
    <w:rsid w:val="007D466F"/>
    <w:rsid w:val="007D584C"/>
    <w:rsid w:val="007E544D"/>
    <w:rsid w:val="007F2507"/>
    <w:rsid w:val="00826851"/>
    <w:rsid w:val="008303B8"/>
    <w:rsid w:val="00833DCE"/>
    <w:rsid w:val="00836A93"/>
    <w:rsid w:val="00841581"/>
    <w:rsid w:val="00842418"/>
    <w:rsid w:val="00845317"/>
    <w:rsid w:val="0084729B"/>
    <w:rsid w:val="0086153A"/>
    <w:rsid w:val="00864126"/>
    <w:rsid w:val="0087166E"/>
    <w:rsid w:val="00871D34"/>
    <w:rsid w:val="00876A5B"/>
    <w:rsid w:val="00882779"/>
    <w:rsid w:val="00887B2E"/>
    <w:rsid w:val="00892884"/>
    <w:rsid w:val="008B270C"/>
    <w:rsid w:val="008C3D3D"/>
    <w:rsid w:val="008D0F1C"/>
    <w:rsid w:val="008D4131"/>
    <w:rsid w:val="008E1890"/>
    <w:rsid w:val="008F1932"/>
    <w:rsid w:val="008F294D"/>
    <w:rsid w:val="008F3BF9"/>
    <w:rsid w:val="00911478"/>
    <w:rsid w:val="00916A58"/>
    <w:rsid w:val="00921062"/>
    <w:rsid w:val="00925DCC"/>
    <w:rsid w:val="0093083E"/>
    <w:rsid w:val="00941D3B"/>
    <w:rsid w:val="00943442"/>
    <w:rsid w:val="009451FF"/>
    <w:rsid w:val="009462BB"/>
    <w:rsid w:val="009553DD"/>
    <w:rsid w:val="00955B0E"/>
    <w:rsid w:val="00966B05"/>
    <w:rsid w:val="00966ECF"/>
    <w:rsid w:val="009727A3"/>
    <w:rsid w:val="00974E37"/>
    <w:rsid w:val="00977458"/>
    <w:rsid w:val="00981F12"/>
    <w:rsid w:val="00987774"/>
    <w:rsid w:val="009936D5"/>
    <w:rsid w:val="009A11E8"/>
    <w:rsid w:val="009A43A1"/>
    <w:rsid w:val="009B7464"/>
    <w:rsid w:val="009C37C7"/>
    <w:rsid w:val="009D1549"/>
    <w:rsid w:val="009E1661"/>
    <w:rsid w:val="009E4E62"/>
    <w:rsid w:val="009F5220"/>
    <w:rsid w:val="009F7C4D"/>
    <w:rsid w:val="00A01A21"/>
    <w:rsid w:val="00A15234"/>
    <w:rsid w:val="00A201AB"/>
    <w:rsid w:val="00A25C94"/>
    <w:rsid w:val="00A31C8B"/>
    <w:rsid w:val="00A54733"/>
    <w:rsid w:val="00A75B2C"/>
    <w:rsid w:val="00A845DC"/>
    <w:rsid w:val="00A97AEE"/>
    <w:rsid w:val="00AC5CF6"/>
    <w:rsid w:val="00AC7862"/>
    <w:rsid w:val="00AD533F"/>
    <w:rsid w:val="00AE3CA0"/>
    <w:rsid w:val="00AE4EA7"/>
    <w:rsid w:val="00B144FA"/>
    <w:rsid w:val="00B14D3A"/>
    <w:rsid w:val="00B16B53"/>
    <w:rsid w:val="00B16F58"/>
    <w:rsid w:val="00B2111F"/>
    <w:rsid w:val="00B251C9"/>
    <w:rsid w:val="00B30648"/>
    <w:rsid w:val="00B322F4"/>
    <w:rsid w:val="00B3524D"/>
    <w:rsid w:val="00B35843"/>
    <w:rsid w:val="00B40F69"/>
    <w:rsid w:val="00B46616"/>
    <w:rsid w:val="00B57A65"/>
    <w:rsid w:val="00B610E3"/>
    <w:rsid w:val="00B61205"/>
    <w:rsid w:val="00B617C4"/>
    <w:rsid w:val="00B626FA"/>
    <w:rsid w:val="00B66D87"/>
    <w:rsid w:val="00B7040A"/>
    <w:rsid w:val="00B70531"/>
    <w:rsid w:val="00B947BF"/>
    <w:rsid w:val="00B96FA0"/>
    <w:rsid w:val="00BB2AA8"/>
    <w:rsid w:val="00BB5B56"/>
    <w:rsid w:val="00BC05F7"/>
    <w:rsid w:val="00BC45A7"/>
    <w:rsid w:val="00BC6D9E"/>
    <w:rsid w:val="00BD4196"/>
    <w:rsid w:val="00BD4AAA"/>
    <w:rsid w:val="00BE2210"/>
    <w:rsid w:val="00BE4FE1"/>
    <w:rsid w:val="00BE57DB"/>
    <w:rsid w:val="00BF22CA"/>
    <w:rsid w:val="00BF3FF7"/>
    <w:rsid w:val="00C156C3"/>
    <w:rsid w:val="00C20D7B"/>
    <w:rsid w:val="00C26032"/>
    <w:rsid w:val="00C265B0"/>
    <w:rsid w:val="00C321B5"/>
    <w:rsid w:val="00C345E1"/>
    <w:rsid w:val="00C42C62"/>
    <w:rsid w:val="00C435A4"/>
    <w:rsid w:val="00C5263A"/>
    <w:rsid w:val="00C6083F"/>
    <w:rsid w:val="00C65368"/>
    <w:rsid w:val="00C67FC5"/>
    <w:rsid w:val="00C724BC"/>
    <w:rsid w:val="00C74D85"/>
    <w:rsid w:val="00C767E8"/>
    <w:rsid w:val="00C8281B"/>
    <w:rsid w:val="00C9551E"/>
    <w:rsid w:val="00C97547"/>
    <w:rsid w:val="00C977BA"/>
    <w:rsid w:val="00CB6AEF"/>
    <w:rsid w:val="00CB6E35"/>
    <w:rsid w:val="00CD4902"/>
    <w:rsid w:val="00CD5CE4"/>
    <w:rsid w:val="00CE15C7"/>
    <w:rsid w:val="00CE1A46"/>
    <w:rsid w:val="00CF253F"/>
    <w:rsid w:val="00CF56B4"/>
    <w:rsid w:val="00D1444B"/>
    <w:rsid w:val="00D1754C"/>
    <w:rsid w:val="00D20F09"/>
    <w:rsid w:val="00D22636"/>
    <w:rsid w:val="00D24AD7"/>
    <w:rsid w:val="00D273E2"/>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29C5"/>
    <w:rsid w:val="00E07601"/>
    <w:rsid w:val="00E07F57"/>
    <w:rsid w:val="00E1324B"/>
    <w:rsid w:val="00E24241"/>
    <w:rsid w:val="00E246FD"/>
    <w:rsid w:val="00E352ED"/>
    <w:rsid w:val="00E4586A"/>
    <w:rsid w:val="00E50456"/>
    <w:rsid w:val="00E50BCE"/>
    <w:rsid w:val="00E61292"/>
    <w:rsid w:val="00E649A1"/>
    <w:rsid w:val="00E76309"/>
    <w:rsid w:val="00E77C4D"/>
    <w:rsid w:val="00E81D01"/>
    <w:rsid w:val="00E90C08"/>
    <w:rsid w:val="00E92AF9"/>
    <w:rsid w:val="00E9793C"/>
    <w:rsid w:val="00EA4F85"/>
    <w:rsid w:val="00EB4047"/>
    <w:rsid w:val="00EB62BE"/>
    <w:rsid w:val="00EC2927"/>
    <w:rsid w:val="00EC29B3"/>
    <w:rsid w:val="00EC656B"/>
    <w:rsid w:val="00EC73E3"/>
    <w:rsid w:val="00EE3D9F"/>
    <w:rsid w:val="00EE45D8"/>
    <w:rsid w:val="00EF110B"/>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177D"/>
    <w:rsid w:val="00F82F31"/>
    <w:rsid w:val="00F90160"/>
    <w:rsid w:val="00F9182B"/>
    <w:rsid w:val="00FB050B"/>
    <w:rsid w:val="00FB7E80"/>
    <w:rsid w:val="00FC2590"/>
    <w:rsid w:val="00FC377D"/>
    <w:rsid w:val="00FD25F6"/>
    <w:rsid w:val="00FD273B"/>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92BCC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Acrony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customStyle="1" w:styleId="legp2paratext">
    <w:name w:val="legp2paratext"/>
    <w:basedOn w:val="Normal"/>
    <w:rsid w:val="00B70531"/>
    <w:pPr>
      <w:spacing w:before="100" w:beforeAutospacing="1" w:after="100" w:afterAutospacing="1"/>
    </w:pPr>
  </w:style>
  <w:style w:type="paragraph" w:customStyle="1" w:styleId="legclearfix">
    <w:name w:val="legclearfix"/>
    <w:basedOn w:val="Normal"/>
    <w:rsid w:val="00B70531"/>
    <w:pPr>
      <w:spacing w:before="100" w:beforeAutospacing="1" w:after="100" w:afterAutospacing="1"/>
    </w:pPr>
  </w:style>
  <w:style w:type="character" w:customStyle="1" w:styleId="legds">
    <w:name w:val="legds"/>
    <w:rsid w:val="00B70531"/>
  </w:style>
  <w:style w:type="character" w:styleId="HTMLAcronym">
    <w:name w:val="HTML Acronym"/>
    <w:uiPriority w:val="99"/>
    <w:unhideWhenUsed/>
    <w:rsid w:val="00B7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C6B86-43CD-4FF6-9688-26A79924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4023</Characters>
  <Application>Microsoft Office Word</Application>
  <DocSecurity>0</DocSecurity>
  <Lines>33</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2018-09-10T14:28:00Z</dcterms:created>
  <dcterms:modified xsi:type="dcterms:W3CDTF">2018-09-10T14:28:00Z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