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5C0AD0" w:rsidP="0010335F">
      <w:pPr>
        <w:jc w:val="center"/>
        <w:rPr>
          <w:rFonts w:ascii="Book Antiqua" w:hAnsi="Book Antiqua" w:cs="Arial"/>
          <w:caps/>
          <w:color w:val="000000"/>
          <w:sz w:val="16"/>
          <w:szCs w:val="16"/>
        </w:rPr>
      </w:pPr>
      <w:r>
        <w:rPr>
          <w:noProof/>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CE57C0">
        <w:rPr>
          <w:rFonts w:ascii="Book Antiqua" w:hAnsi="Book Antiqua" w:cs="Arial"/>
          <w:caps/>
          <w:color w:val="000000"/>
        </w:rPr>
        <w:t>HU/05497/2017</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CE57C0">
              <w:rPr>
                <w:rFonts w:ascii="Book Antiqua" w:hAnsi="Book Antiqua" w:cs="Arial"/>
                <w:b/>
              </w:rPr>
              <w:t xml:space="preserve">Field House </w:t>
            </w:r>
          </w:p>
        </w:tc>
        <w:tc>
          <w:tcPr>
            <w:tcW w:w="3960" w:type="dxa"/>
          </w:tcPr>
          <w:p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CE57C0">
              <w:rPr>
                <w:rFonts w:ascii="Book Antiqua" w:hAnsi="Book Antiqua" w:cs="Arial"/>
                <w:b/>
              </w:rPr>
              <w:t>7 August 2018</w:t>
            </w:r>
          </w:p>
        </w:tc>
        <w:tc>
          <w:tcPr>
            <w:tcW w:w="3960" w:type="dxa"/>
          </w:tcPr>
          <w:p w:rsidR="00D22636" w:rsidRPr="001C5703" w:rsidRDefault="004A3D5F" w:rsidP="004A1848">
            <w:pPr>
              <w:jc w:val="both"/>
              <w:rPr>
                <w:rFonts w:ascii="Book Antiqua" w:hAnsi="Book Antiqua" w:cs="Arial"/>
                <w:b/>
              </w:rPr>
            </w:pPr>
            <w:r>
              <w:rPr>
                <w:rFonts w:ascii="Book Antiqua" w:hAnsi="Book Antiqua" w:cs="Arial"/>
                <w:b/>
              </w:rPr>
              <w:t>On 22 August 2018</w:t>
            </w:r>
          </w:p>
        </w:tc>
      </w:tr>
      <w:tr w:rsidR="00D22636" w:rsidRPr="001C5703" w:rsidTr="004B71FD">
        <w:tc>
          <w:tcPr>
            <w:tcW w:w="6048" w:type="dxa"/>
          </w:tcPr>
          <w:p w:rsidR="00D22636" w:rsidRPr="001C5703" w:rsidRDefault="00D22636" w:rsidP="004A1848">
            <w:pPr>
              <w:jc w:val="both"/>
              <w:rPr>
                <w:rFonts w:ascii="Book Antiqua" w:hAnsi="Book Antiqua" w:cs="Arial"/>
                <w:b/>
              </w:rPr>
            </w:pPr>
          </w:p>
        </w:tc>
        <w:tc>
          <w:tcPr>
            <w:tcW w:w="3960" w:type="dxa"/>
          </w:tcPr>
          <w:p w:rsidR="00D22636" w:rsidRPr="001C5703" w:rsidRDefault="00D22636"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CE57C0">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Default="00A845DC" w:rsidP="00A15234">
      <w:pPr>
        <w:jc w:val="center"/>
        <w:rPr>
          <w:rFonts w:ascii="Book Antiqua" w:hAnsi="Book Antiqua" w:cs="Arial"/>
          <w:b/>
        </w:rPr>
      </w:pPr>
    </w:p>
    <w:p w:rsidR="00DD4004" w:rsidRPr="001C5703" w:rsidRDefault="00DD4004"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CE57C0" w:rsidRPr="001C5703" w:rsidRDefault="00CE57C0" w:rsidP="00A15234">
      <w:pPr>
        <w:jc w:val="center"/>
        <w:rPr>
          <w:rFonts w:ascii="Book Antiqua" w:hAnsi="Book Antiqua" w:cs="Arial"/>
          <w:b/>
        </w:rPr>
      </w:pPr>
    </w:p>
    <w:p w:rsidR="00CE57C0" w:rsidRPr="001C5703" w:rsidRDefault="00CE57C0" w:rsidP="00CE57C0">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CE57C0">
      <w:pPr>
        <w:rPr>
          <w:rFonts w:ascii="Book Antiqua" w:hAnsi="Book Antiqua" w:cs="Arial"/>
          <w:b/>
        </w:rPr>
      </w:pPr>
      <w:bookmarkStart w:id="0" w:name="_Hlk521909115"/>
    </w:p>
    <w:bookmarkEnd w:id="0"/>
    <w:p w:rsidR="00CE57C0" w:rsidRPr="001C5703" w:rsidRDefault="00CE57C0" w:rsidP="00CE57C0">
      <w:pPr>
        <w:jc w:val="center"/>
        <w:rPr>
          <w:rFonts w:ascii="Book Antiqua" w:hAnsi="Book Antiqua" w:cs="Arial"/>
          <w:b/>
          <w:caps/>
        </w:rPr>
      </w:pPr>
      <w:r>
        <w:rPr>
          <w:rFonts w:ascii="Book Antiqua" w:hAnsi="Book Antiqua" w:cs="Arial"/>
          <w:b/>
          <w:caps/>
        </w:rPr>
        <w:t xml:space="preserve">jatinder </w:t>
      </w:r>
      <w:r w:rsidR="00DD4004">
        <w:rPr>
          <w:rFonts w:ascii="Book Antiqua" w:hAnsi="Book Antiqua" w:cs="Arial"/>
          <w:b/>
          <w:caps/>
        </w:rPr>
        <w:t>[</w:t>
      </w:r>
      <w:r>
        <w:rPr>
          <w:rFonts w:ascii="Book Antiqua" w:hAnsi="Book Antiqua" w:cs="Arial"/>
          <w:b/>
          <w:caps/>
        </w:rPr>
        <w:t>k</w:t>
      </w:r>
      <w:r w:rsidR="00DD4004">
        <w:rPr>
          <w:rFonts w:ascii="Book Antiqua" w:hAnsi="Book Antiqua" w:cs="Arial"/>
          <w:b/>
          <w:caps/>
        </w:rPr>
        <w:t>]</w:t>
      </w:r>
    </w:p>
    <w:p w:rsidR="00DD5071" w:rsidRPr="00DD4004" w:rsidRDefault="00CE57C0" w:rsidP="00CE57C0">
      <w:pPr>
        <w:jc w:val="center"/>
        <w:rPr>
          <w:rFonts w:ascii="Book Antiqua" w:hAnsi="Book Antiqua" w:cs="Arial"/>
          <w:b/>
          <w:caps/>
          <w:sz w:val="22"/>
        </w:rPr>
      </w:pPr>
      <w:r w:rsidRPr="00DD4004">
        <w:rPr>
          <w:rFonts w:ascii="Book Antiqua" w:hAnsi="Book Antiqua" w:cs="Arial"/>
          <w:b/>
          <w:caps/>
          <w:sz w:val="22"/>
        </w:rPr>
        <w:t>(ANONYMITY DIRECTION not made)</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E57C0">
        <w:rPr>
          <w:rFonts w:ascii="Book Antiqua" w:hAnsi="Book Antiqua" w:cs="Arial"/>
        </w:rPr>
        <w:t xml:space="preserve">Ms A Everett, Home Office Presenting Officer </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E57C0">
        <w:rPr>
          <w:rFonts w:ascii="Book Antiqua" w:hAnsi="Book Antiqua" w:cs="Arial"/>
        </w:rPr>
        <w:t xml:space="preserve">Mr </w:t>
      </w:r>
      <w:r w:rsidR="00AE5ABF">
        <w:rPr>
          <w:rFonts w:ascii="Book Antiqua" w:hAnsi="Book Antiqua" w:cs="Arial"/>
        </w:rPr>
        <w:t>D Ayodele (</w:t>
      </w:r>
      <w:proofErr w:type="spellStart"/>
      <w:r w:rsidR="00AE5ABF">
        <w:rPr>
          <w:rFonts w:ascii="Book Antiqua" w:hAnsi="Book Antiqua" w:cs="Arial"/>
        </w:rPr>
        <w:t>Goodfellows</w:t>
      </w:r>
      <w:proofErr w:type="spellEnd"/>
      <w:r w:rsidR="00AE5ABF">
        <w:rPr>
          <w:rFonts w:ascii="Book Antiqua" w:hAnsi="Book Antiqua" w:cs="Arial"/>
        </w:rPr>
        <w:t xml:space="preserve"> Solicitors)</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CE57C0">
        <w:rPr>
          <w:rFonts w:ascii="Book Antiqua" w:hAnsi="Book Antiqua" w:cs="Arial"/>
        </w:rPr>
        <w:t>This is the appeal of the Secretary of State but I will refer to the original appellant</w:t>
      </w:r>
      <w:r w:rsidR="0072161D">
        <w:rPr>
          <w:rFonts w:ascii="Book Antiqua" w:hAnsi="Book Antiqua" w:cs="Arial"/>
        </w:rPr>
        <w:t>,</w:t>
      </w:r>
      <w:r w:rsidR="00CE57C0">
        <w:rPr>
          <w:rFonts w:ascii="Book Antiqua" w:hAnsi="Book Antiqua" w:cs="Arial"/>
        </w:rPr>
        <w:t xml:space="preserve"> a citizen of India born on 3 April 1986, as the appellant herein.  The appellant arrived in this country</w:t>
      </w:r>
      <w:r w:rsidR="00AE5ABF">
        <w:rPr>
          <w:rFonts w:ascii="Book Antiqua" w:hAnsi="Book Antiqua" w:cs="Arial"/>
        </w:rPr>
        <w:t xml:space="preserve"> on 28</w:t>
      </w:r>
      <w:r w:rsidR="00CE57C0">
        <w:rPr>
          <w:rFonts w:ascii="Book Antiqua" w:hAnsi="Book Antiqua" w:cs="Arial"/>
        </w:rPr>
        <w:t xml:space="preserve"> September 2010 as a Tier 4 Student with leave to remain until 28 January 2013.  Further applications to remain as a student were refused on 9 July 2013 and 10 December 2013 respectively.  The appellant left the UK and re-entered on 31 May 2014 with entry clearance as a spouse with leave until 21 February 2017.  On that </w:t>
      </w:r>
      <w:bookmarkStart w:id="1" w:name="_GoBack"/>
      <w:r w:rsidR="00CE57C0">
        <w:rPr>
          <w:rFonts w:ascii="Book Antiqua" w:hAnsi="Book Antiqua" w:cs="Arial"/>
        </w:rPr>
        <w:t xml:space="preserve">day he applied for further leave to remain as the spouse of a British citizen but this </w:t>
      </w:r>
      <w:bookmarkEnd w:id="1"/>
      <w:r w:rsidR="00CE57C0">
        <w:rPr>
          <w:rFonts w:ascii="Book Antiqua" w:hAnsi="Book Antiqua" w:cs="Arial"/>
        </w:rPr>
        <w:lastRenderedPageBreak/>
        <w:t xml:space="preserve">application was refused on 20 March 2017.  The couple have a child born on 8 October 2015.  </w:t>
      </w:r>
    </w:p>
    <w:p w:rsidR="00CE57C0" w:rsidRDefault="00CE57C0" w:rsidP="00BF23BB">
      <w:pPr>
        <w:tabs>
          <w:tab w:val="left" w:pos="567"/>
        </w:tabs>
        <w:ind w:left="567" w:hanging="567"/>
        <w:jc w:val="both"/>
        <w:rPr>
          <w:rFonts w:ascii="Book Antiqua" w:hAnsi="Book Antiqua" w:cs="Arial"/>
        </w:rPr>
      </w:pPr>
    </w:p>
    <w:p w:rsidR="00CE57C0" w:rsidRDefault="00CE57C0"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basis for refusal was that the appellant failed to satisfy the suitability requirements of the Rules on the footing that he had fraudulently obtained a TOEIC certificate from Educational Testing Service (ETS) in an application dated 16 August 2013.  The Secretary of State was accordingly satisfied that the appellant had used deception in his application on that date.  The appellant could not meet the relevant requirement</w:t>
      </w:r>
      <w:r w:rsidR="001356DF">
        <w:rPr>
          <w:rFonts w:ascii="Book Antiqua" w:hAnsi="Book Antiqua" w:cs="Arial"/>
        </w:rPr>
        <w:t xml:space="preserve">s of the Rules and there were no exceptional circumstances warranting a grant of leave outside the Rules.  </w:t>
      </w:r>
    </w:p>
    <w:p w:rsidR="001356DF" w:rsidRDefault="001356DF" w:rsidP="00BF23BB">
      <w:pPr>
        <w:tabs>
          <w:tab w:val="left" w:pos="567"/>
        </w:tabs>
        <w:ind w:left="567" w:hanging="567"/>
        <w:jc w:val="both"/>
        <w:rPr>
          <w:rFonts w:ascii="Book Antiqua" w:hAnsi="Book Antiqua" w:cs="Arial"/>
        </w:rPr>
      </w:pPr>
    </w:p>
    <w:p w:rsidR="001356DF" w:rsidRDefault="001356DF"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appellant’s appeal came before a First-tier Judge on 25 April 2018.  It was the appellant’s case that he had not cheated in his English language test and that the respondent’s own guidance did not require his removal given that he enjoyed a genuine and subsisting parental relationship with his British citizen child.  </w:t>
      </w:r>
    </w:p>
    <w:p w:rsidR="001356DF" w:rsidRDefault="001356DF" w:rsidP="00BF23BB">
      <w:pPr>
        <w:tabs>
          <w:tab w:val="left" w:pos="567"/>
        </w:tabs>
        <w:ind w:left="567" w:hanging="567"/>
        <w:jc w:val="both"/>
        <w:rPr>
          <w:rFonts w:ascii="Book Antiqua" w:hAnsi="Book Antiqua" w:cs="Arial"/>
        </w:rPr>
      </w:pPr>
    </w:p>
    <w:p w:rsidR="001356DF" w:rsidRDefault="001356DF"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judge in a lengthy analysis carefully considered the evidence relied upon by the Secretary of State in respect of the deception allegation as well the oral evidence of the appellant and his wife.  The judge concluded in paragraph 48 that the Secretary of State’s evidence was sufficient to substantiate the allegations made against the appellant – he was not satisfied that the appellant had actually taken the test as he had claimed.  The Secretary of State had accordingly been right to refuse the appellant’s application on general suitability grounds.  As he did not meet the suitability r</w:t>
      </w:r>
      <w:r w:rsidR="00C746F7">
        <w:rPr>
          <w:rFonts w:ascii="Book Antiqua" w:hAnsi="Book Antiqua" w:cs="Arial"/>
        </w:rPr>
        <w:t>e</w:t>
      </w:r>
      <w:r>
        <w:rPr>
          <w:rFonts w:ascii="Book Antiqua" w:hAnsi="Book Antiqua" w:cs="Arial"/>
        </w:rPr>
        <w:t>quirements the appellant’s application for leave to remain as a partner under R-LTR had to fail.</w:t>
      </w:r>
    </w:p>
    <w:p w:rsidR="00C746F7" w:rsidRDefault="00C746F7" w:rsidP="00BF23BB">
      <w:pPr>
        <w:tabs>
          <w:tab w:val="left" w:pos="567"/>
        </w:tabs>
        <w:ind w:left="567" w:hanging="567"/>
        <w:jc w:val="both"/>
        <w:rPr>
          <w:rFonts w:ascii="Book Antiqua" w:hAnsi="Book Antiqua" w:cs="Arial"/>
        </w:rPr>
      </w:pPr>
    </w:p>
    <w:p w:rsidR="00C746F7" w:rsidRDefault="00C746F7"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judge however went on to allow the appeal under Article 8 for the following reasons:</w:t>
      </w:r>
    </w:p>
    <w:p w:rsidR="00C746F7" w:rsidRPr="00DD4004" w:rsidRDefault="00C746F7" w:rsidP="00DD4004">
      <w:pPr>
        <w:spacing w:before="120" w:after="120"/>
        <w:ind w:left="1701" w:right="567" w:hanging="567"/>
        <w:jc w:val="both"/>
        <w:rPr>
          <w:rFonts w:ascii="Book Antiqua" w:hAnsi="Book Antiqua" w:cs="Arial"/>
          <w:sz w:val="22"/>
        </w:rPr>
      </w:pPr>
      <w:r w:rsidRPr="00DD4004">
        <w:rPr>
          <w:rFonts w:ascii="Book Antiqua" w:hAnsi="Book Antiqua" w:cs="Arial"/>
          <w:sz w:val="22"/>
        </w:rPr>
        <w:t>“51.</w:t>
      </w:r>
      <w:r w:rsidR="00FB6905" w:rsidRPr="00DD4004">
        <w:rPr>
          <w:rFonts w:ascii="Book Antiqua" w:hAnsi="Book Antiqua" w:cs="Arial"/>
          <w:sz w:val="22"/>
        </w:rPr>
        <w:tab/>
        <w:t>That is not the end of the matter, however.  It is necessary to consider whether Article 8 outside the Immigration Rules provides a basis upon which this appeal may succeed.  It is clear that the Appellant’s removal from the United Kingdom would be an interference with his private and family life of such gravity to engage the protection of Article 8.  Such an interference would be in accordance with the law, and would, in principle, be necessary in the economic wellbeing of the United Kingdom, through the maintenance of effective immigration controls.  The question is whether such removal would be proportionate.  Secti</w:t>
      </w:r>
      <w:r w:rsidR="00FA272E" w:rsidRPr="00DD4004">
        <w:rPr>
          <w:rFonts w:ascii="Book Antiqua" w:hAnsi="Book Antiqua" w:cs="Arial"/>
          <w:sz w:val="22"/>
        </w:rPr>
        <w:t>on 117B(6)</w:t>
      </w:r>
      <w:r w:rsidR="00FB6905" w:rsidRPr="00DD4004">
        <w:rPr>
          <w:rFonts w:ascii="Book Antiqua" w:hAnsi="Book Antiqua" w:cs="Arial"/>
          <w:sz w:val="22"/>
        </w:rPr>
        <w:t xml:space="preserve"> of the 2002 Act is relevant to that assessment.</w:t>
      </w:r>
    </w:p>
    <w:p w:rsidR="007C05DE" w:rsidRPr="00DD4004" w:rsidRDefault="007C05DE" w:rsidP="00DD4004">
      <w:pPr>
        <w:spacing w:before="120" w:after="120"/>
        <w:ind w:left="1701" w:right="567" w:hanging="567"/>
        <w:jc w:val="both"/>
        <w:rPr>
          <w:rFonts w:ascii="Book Antiqua" w:hAnsi="Book Antiqua" w:cs="Arial"/>
          <w:sz w:val="22"/>
        </w:rPr>
      </w:pPr>
      <w:r w:rsidRPr="00DD4004">
        <w:rPr>
          <w:rFonts w:ascii="Book Antiqua" w:hAnsi="Book Antiqua" w:cs="Arial"/>
          <w:sz w:val="22"/>
        </w:rPr>
        <w:t>52.</w:t>
      </w:r>
      <w:r w:rsidRPr="00DD4004">
        <w:rPr>
          <w:rFonts w:ascii="Book Antiqua" w:hAnsi="Book Antiqua" w:cs="Arial"/>
          <w:sz w:val="22"/>
        </w:rPr>
        <w:tab/>
        <w:t xml:space="preserve">In the course of both sets of witness evidence, an account emerged of the Appellant’s genuine and subsisting relationship with his British son.  This account was not challenged by the Respondent.  He is an active father, living with his wife in the family home with their son.  In his statement, he describes the loss he would feel if separated from his son, and how he wants to be here for his son’s education.  He would experience loss if he moved to India alone, he writes, as his family would be unable to replace his wife and son.  He has very real concern about bringing up his son in India, given the basic amenities it lacks.  The Appellant’s wife writes of the bonds </w:t>
      </w:r>
      <w:r w:rsidRPr="00DD4004">
        <w:rPr>
          <w:rFonts w:ascii="Book Antiqua" w:hAnsi="Book Antiqua" w:cs="Arial"/>
          <w:sz w:val="22"/>
        </w:rPr>
        <w:lastRenderedPageBreak/>
        <w:t>experienced in their family following the birth of their son, and specifically how the Appellant has a close bond with their son.  There are a number of character references in the Appellant’s bundle which underline the nature of their relationship (I attach less weight to these accounts as they are not in statement form; although they are of some evidential value).</w:t>
      </w:r>
      <w:r w:rsidR="007F546F" w:rsidRPr="00DD4004">
        <w:rPr>
          <w:rFonts w:ascii="Book Antiqua" w:hAnsi="Book Antiqua" w:cs="Arial"/>
          <w:sz w:val="22"/>
        </w:rPr>
        <w:t xml:space="preserve">  Despite the concerns that</w:t>
      </w:r>
      <w:r w:rsidR="00DE0F12" w:rsidRPr="00DD4004">
        <w:rPr>
          <w:rFonts w:ascii="Book Antiqua" w:hAnsi="Book Antiqua" w:cs="Arial"/>
          <w:sz w:val="22"/>
        </w:rPr>
        <w:t xml:space="preserve"> I have outlined concerning the witnesses’ credibility, I have no basis not to accept this aspect of their evidence.  I find that the Appellant has a genuine and subsisting parental relationship with his British son.</w:t>
      </w:r>
    </w:p>
    <w:p w:rsidR="007F546F" w:rsidRPr="00DD4004" w:rsidRDefault="007F546F" w:rsidP="00DD4004">
      <w:pPr>
        <w:spacing w:before="120" w:after="120"/>
        <w:ind w:left="1701" w:right="567" w:hanging="567"/>
        <w:jc w:val="both"/>
        <w:rPr>
          <w:rFonts w:ascii="Book Antiqua" w:hAnsi="Book Antiqua" w:cs="Arial"/>
          <w:sz w:val="22"/>
        </w:rPr>
      </w:pPr>
      <w:r w:rsidRPr="00DD4004">
        <w:rPr>
          <w:rFonts w:ascii="Book Antiqua" w:hAnsi="Book Antiqua" w:cs="Arial"/>
          <w:sz w:val="22"/>
        </w:rPr>
        <w:t>53.</w:t>
      </w:r>
      <w:r w:rsidRPr="00DD4004">
        <w:rPr>
          <w:rFonts w:ascii="Book Antiqua" w:hAnsi="Book Antiqua" w:cs="Arial"/>
          <w:sz w:val="22"/>
        </w:rPr>
        <w:tab/>
        <w:t>In light of this finding, when considering th</w:t>
      </w:r>
      <w:r w:rsidR="00FA272E" w:rsidRPr="00DD4004">
        <w:rPr>
          <w:rFonts w:ascii="Book Antiqua" w:hAnsi="Book Antiqua" w:cs="Arial"/>
          <w:sz w:val="22"/>
        </w:rPr>
        <w:t>e proportionality assessment for</w:t>
      </w:r>
      <w:r w:rsidRPr="00DD4004">
        <w:rPr>
          <w:rFonts w:ascii="Book Antiqua" w:hAnsi="Book Antiqua" w:cs="Arial"/>
          <w:sz w:val="22"/>
        </w:rPr>
        <w:t xml:space="preserve"> the purposes of Article 8(2), I </w:t>
      </w:r>
      <w:r w:rsidR="00FA272E" w:rsidRPr="00DD4004">
        <w:rPr>
          <w:rFonts w:ascii="Book Antiqua" w:hAnsi="Book Antiqua" w:cs="Arial"/>
          <w:sz w:val="22"/>
        </w:rPr>
        <w:t xml:space="preserve">am </w:t>
      </w:r>
      <w:r w:rsidRPr="00DD4004">
        <w:rPr>
          <w:rFonts w:ascii="Book Antiqua" w:hAnsi="Book Antiqua" w:cs="Arial"/>
          <w:sz w:val="22"/>
        </w:rPr>
        <w:t>bound by section 117</w:t>
      </w:r>
      <w:proofErr w:type="gramStart"/>
      <w:r w:rsidRPr="00DD4004">
        <w:rPr>
          <w:rFonts w:ascii="Book Antiqua" w:hAnsi="Book Antiqua" w:cs="Arial"/>
          <w:sz w:val="22"/>
        </w:rPr>
        <w:t>B(</w:t>
      </w:r>
      <w:proofErr w:type="gramEnd"/>
      <w:r w:rsidRPr="00DD4004">
        <w:rPr>
          <w:rFonts w:ascii="Book Antiqua" w:hAnsi="Book Antiqua" w:cs="Arial"/>
          <w:sz w:val="22"/>
        </w:rPr>
        <w:t xml:space="preserve">6) of the 2002 Act.  The Respondent’s own guidance </w:t>
      </w:r>
      <w:r w:rsidRPr="00DD4004">
        <w:rPr>
          <w:rFonts w:ascii="Book Antiqua" w:hAnsi="Book Antiqua" w:cs="Arial"/>
          <w:i/>
          <w:sz w:val="22"/>
        </w:rPr>
        <w:t>(Family Life (as a Partner or Parent</w:t>
      </w:r>
      <w:r w:rsidR="00FA272E" w:rsidRPr="00DD4004">
        <w:rPr>
          <w:rFonts w:ascii="Book Antiqua" w:hAnsi="Book Antiqua" w:cs="Arial"/>
          <w:i/>
          <w:sz w:val="22"/>
        </w:rPr>
        <w:t>)</w:t>
      </w:r>
      <w:r w:rsidRPr="00DD4004">
        <w:rPr>
          <w:rFonts w:ascii="Book Antiqua" w:hAnsi="Book Antiqua" w:cs="Arial"/>
          <w:i/>
          <w:sz w:val="22"/>
        </w:rPr>
        <w:t xml:space="preserve"> and </w:t>
      </w:r>
      <w:r w:rsidR="00567DD0" w:rsidRPr="00DD4004">
        <w:rPr>
          <w:rFonts w:ascii="Book Antiqua" w:hAnsi="Book Antiqua" w:cs="Arial"/>
          <w:i/>
          <w:sz w:val="22"/>
        </w:rPr>
        <w:t xml:space="preserve">Private </w:t>
      </w:r>
      <w:r w:rsidRPr="00DD4004">
        <w:rPr>
          <w:rFonts w:ascii="Book Antiqua" w:hAnsi="Book Antiqua" w:cs="Arial"/>
          <w:i/>
          <w:sz w:val="22"/>
        </w:rPr>
        <w:t>Life: 10-Year Routes</w:t>
      </w:r>
      <w:r w:rsidRPr="00DD4004">
        <w:rPr>
          <w:rFonts w:ascii="Book Antiqua" w:hAnsi="Book Antiqua" w:cs="Arial"/>
          <w:sz w:val="22"/>
        </w:rPr>
        <w:t>, published for Home Office staff on 22 February 2018) states at page 76:</w:t>
      </w:r>
    </w:p>
    <w:p w:rsidR="0075609A" w:rsidRPr="00DD4004" w:rsidRDefault="0075609A" w:rsidP="00DD4004">
      <w:pPr>
        <w:spacing w:before="120" w:after="120"/>
        <w:ind w:left="2268" w:right="567"/>
        <w:jc w:val="both"/>
        <w:rPr>
          <w:rFonts w:ascii="Book Antiqua" w:hAnsi="Book Antiqua" w:cs="Arial"/>
          <w:sz w:val="22"/>
        </w:rPr>
      </w:pPr>
      <w:r w:rsidRPr="00DD4004">
        <w:rPr>
          <w:rFonts w:ascii="Book Antiqua" w:hAnsi="Book Antiqua" w:cs="Arial"/>
          <w:sz w:val="22"/>
        </w:rPr>
        <w:t>“Where the child is a British citizen, it will not be reasonable to expect them to leave the UK with the applicant parent or primary carer facing removal.”</w:t>
      </w:r>
    </w:p>
    <w:p w:rsidR="0075609A" w:rsidRPr="00DD4004" w:rsidRDefault="0075609A" w:rsidP="00DD4004">
      <w:pPr>
        <w:spacing w:before="120" w:after="120"/>
        <w:ind w:left="1701" w:right="567" w:hanging="567"/>
        <w:jc w:val="both"/>
        <w:rPr>
          <w:rFonts w:ascii="Book Antiqua" w:hAnsi="Book Antiqua" w:cs="Arial"/>
          <w:sz w:val="22"/>
        </w:rPr>
      </w:pPr>
      <w:r w:rsidRPr="00DD4004">
        <w:rPr>
          <w:rFonts w:ascii="Book Antiqua" w:hAnsi="Book Antiqua" w:cs="Arial"/>
          <w:sz w:val="22"/>
        </w:rPr>
        <w:t>54.</w:t>
      </w:r>
      <w:r w:rsidRPr="00DD4004">
        <w:rPr>
          <w:rFonts w:ascii="Book Antiqua" w:hAnsi="Book Antiqua" w:cs="Arial"/>
          <w:sz w:val="22"/>
        </w:rPr>
        <w:tab/>
      </w:r>
      <w:r w:rsidR="0037323F" w:rsidRPr="00DD4004">
        <w:rPr>
          <w:rFonts w:ascii="Book Antiqua" w:hAnsi="Book Antiqua" w:cs="Arial"/>
          <w:sz w:val="22"/>
        </w:rPr>
        <w:t xml:space="preserve">The guidance outlines some “particular circumstances” when it may be appropriate to refuse a grant of leave where the parent or primary carer’s conduct gives rise to public interest considerations of such weight as to justify their removal.  None is applicable here; the examples given greatly exceed the seriousness of the conduct of this Appellant.  For example, the commission of significant or persistent criminal offences, or repeatedly and deliberately breaching the Immigration Rules.  By contrast, this Appellant used false representations in support of a single application five years ago.  For my own part, I agree with the approach in the guidance.  It is in the best interests of this British child to remain in the United Kingdom, with his British mother, and his Indian father.  Both mother and child, as British citizens, are entitled to the full panoply of State services, and a particular </w:t>
      </w:r>
      <w:r w:rsidR="00567DD0" w:rsidRPr="00DD4004">
        <w:rPr>
          <w:rFonts w:ascii="Book Antiqua" w:hAnsi="Book Antiqua" w:cs="Arial"/>
          <w:sz w:val="22"/>
        </w:rPr>
        <w:t>importance attaches to the a</w:t>
      </w:r>
      <w:r w:rsidR="0037323F" w:rsidRPr="00DD4004">
        <w:rPr>
          <w:rFonts w:ascii="Book Antiqua" w:hAnsi="Book Antiqua" w:cs="Arial"/>
          <w:sz w:val="22"/>
        </w:rPr>
        <w:t>bility of a child to remain in the country of which he is a citizen.  To her credit, Ms Solomon accepted that the Respondent’s own guidance is that it is unreasonable to require a British child to leave the United Kingdom in the circumstances.</w:t>
      </w:r>
    </w:p>
    <w:p w:rsidR="005377BE" w:rsidRPr="00DD4004" w:rsidRDefault="005377BE" w:rsidP="00DD4004">
      <w:pPr>
        <w:spacing w:before="120" w:after="120"/>
        <w:ind w:left="1701" w:right="567" w:hanging="567"/>
        <w:jc w:val="both"/>
        <w:rPr>
          <w:rFonts w:ascii="Book Antiqua" w:hAnsi="Book Antiqua" w:cs="Arial"/>
          <w:sz w:val="22"/>
        </w:rPr>
      </w:pPr>
      <w:r w:rsidRPr="00DD4004">
        <w:rPr>
          <w:rFonts w:ascii="Book Antiqua" w:hAnsi="Book Antiqua" w:cs="Arial"/>
          <w:sz w:val="22"/>
        </w:rPr>
        <w:t>55.</w:t>
      </w:r>
      <w:r w:rsidRPr="00DD4004">
        <w:rPr>
          <w:rFonts w:ascii="Book Antiqua" w:hAnsi="Book Antiqua" w:cs="Arial"/>
          <w:sz w:val="22"/>
        </w:rPr>
        <w:tab/>
        <w:t>I find, therefore, that the Appellant is a person who has a genuine and subsisting parental relationship with a British child, and because the child is British, and bearing in mind his best interest and British nationality; it would not be reasonable to expect the child to leave the United Kingdom.</w:t>
      </w:r>
    </w:p>
    <w:p w:rsidR="00E07288" w:rsidRPr="00DD4004" w:rsidRDefault="00E07288" w:rsidP="00DD4004">
      <w:pPr>
        <w:spacing w:before="120" w:after="120"/>
        <w:ind w:left="1701" w:right="567" w:hanging="567"/>
        <w:jc w:val="both"/>
        <w:rPr>
          <w:rFonts w:ascii="Book Antiqua" w:hAnsi="Book Antiqua" w:cs="Arial"/>
          <w:sz w:val="22"/>
        </w:rPr>
      </w:pPr>
      <w:r w:rsidRPr="00DD4004">
        <w:rPr>
          <w:rFonts w:ascii="Book Antiqua" w:hAnsi="Book Antiqua" w:cs="Arial"/>
          <w:sz w:val="22"/>
        </w:rPr>
        <w:t>56.</w:t>
      </w:r>
      <w:r w:rsidRPr="00DD4004">
        <w:rPr>
          <w:rFonts w:ascii="Book Antiqua" w:hAnsi="Book Antiqua" w:cs="Arial"/>
          <w:sz w:val="22"/>
        </w:rPr>
        <w:tab/>
        <w:t>This Appellant, of course is not a person liable to deportation.  The Respondent did not refuse this application on conduciveness grounds, or take any other decisions which could give rise to a finding that the Appellant is a person “liable to deportation”.</w:t>
      </w:r>
    </w:p>
    <w:p w:rsidR="007F546F" w:rsidRPr="00DD4004" w:rsidRDefault="00676C1C" w:rsidP="00DD4004">
      <w:pPr>
        <w:spacing w:before="120" w:after="120"/>
        <w:ind w:left="1701" w:right="567" w:hanging="567"/>
        <w:jc w:val="both"/>
        <w:rPr>
          <w:rFonts w:ascii="Book Antiqua" w:hAnsi="Book Antiqua" w:cs="Arial"/>
          <w:sz w:val="22"/>
        </w:rPr>
      </w:pPr>
      <w:r w:rsidRPr="00DD4004">
        <w:rPr>
          <w:rFonts w:ascii="Book Antiqua" w:hAnsi="Book Antiqua" w:cs="Arial"/>
          <w:sz w:val="22"/>
        </w:rPr>
        <w:t>57.</w:t>
      </w:r>
      <w:r w:rsidRPr="00DD4004">
        <w:rPr>
          <w:rFonts w:ascii="Book Antiqua" w:hAnsi="Book Antiqua" w:cs="Arial"/>
          <w:sz w:val="22"/>
        </w:rPr>
        <w:tab/>
        <w:t>That being so, the public interest in the Appellant’s removal is not made out.  The Appellant has met the requirements of secti</w:t>
      </w:r>
      <w:r w:rsidR="008422E0" w:rsidRPr="00DD4004">
        <w:rPr>
          <w:rFonts w:ascii="Book Antiqua" w:hAnsi="Book Antiqua" w:cs="Arial"/>
          <w:sz w:val="22"/>
        </w:rPr>
        <w:t>o</w:t>
      </w:r>
      <w:r w:rsidRPr="00DD4004">
        <w:rPr>
          <w:rFonts w:ascii="Book Antiqua" w:hAnsi="Book Antiqua" w:cs="Arial"/>
          <w:sz w:val="22"/>
        </w:rPr>
        <w:t>n 117B(6).  I must conclude that the public interest does not require his removal, even weighing against it the findings against the Appellant I have made in relation to his TOEIC test.  His removal would be disproportionate for the purposes of Article 8 ECHR on this account.</w:t>
      </w:r>
    </w:p>
    <w:p w:rsidR="00C746F7" w:rsidRPr="00DD4004" w:rsidRDefault="00C746F7" w:rsidP="00DD4004">
      <w:pPr>
        <w:spacing w:before="120" w:after="120"/>
        <w:ind w:left="1701" w:right="567" w:hanging="567"/>
        <w:jc w:val="both"/>
        <w:rPr>
          <w:rFonts w:ascii="Book Antiqua" w:hAnsi="Book Antiqua" w:cs="Arial"/>
          <w:sz w:val="22"/>
        </w:rPr>
      </w:pPr>
      <w:r w:rsidRPr="00DD4004">
        <w:rPr>
          <w:rFonts w:ascii="Book Antiqua" w:hAnsi="Book Antiqua" w:cs="Arial"/>
          <w:sz w:val="22"/>
        </w:rPr>
        <w:lastRenderedPageBreak/>
        <w:t>58.</w:t>
      </w:r>
      <w:r w:rsidR="002345B2" w:rsidRPr="00DD4004">
        <w:rPr>
          <w:rFonts w:ascii="Book Antiqua" w:hAnsi="Book Antiqua" w:cs="Arial"/>
          <w:sz w:val="22"/>
        </w:rPr>
        <w:tab/>
        <w:t>This appeal is therefore allowed on the basis of the Appellant’s genuine and subsisting relationship with his British child.”</w:t>
      </w:r>
    </w:p>
    <w:p w:rsidR="00C746F7" w:rsidRDefault="00C746F7"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In the grounds of </w:t>
      </w:r>
      <w:proofErr w:type="gramStart"/>
      <w:r>
        <w:rPr>
          <w:rFonts w:ascii="Book Antiqua" w:hAnsi="Book Antiqua" w:cs="Arial"/>
        </w:rPr>
        <w:t>appeal</w:t>
      </w:r>
      <w:proofErr w:type="gramEnd"/>
      <w:r>
        <w:rPr>
          <w:rFonts w:ascii="Book Antiqua" w:hAnsi="Book Antiqua" w:cs="Arial"/>
        </w:rPr>
        <w:t xml:space="preserve"> the Secretary of State argued that the judge had erred in restricting his consideration to whether it would be reasonable to expect the appellant’s wife and children to accompany him to India given his fraudulent activity in employing a proxy to take his TOEIC examination.  He had failed to consider the alternative of the child remaining in the UK with his mother.  He had not applied the correct weight to the public interest and there was a need to deter others who might be persuaded to use a British child as a “trump card” in securing status.  He had conflated the two considerations required – that of the child’s best interests and the proportionality exercise required.  He had not considered all aspects of Section 117.  There was no compulsion on the appellant’s wife and child to return to India with the appellant.  That was simply a choice for the family to make.  The deception had continued for a number of years and was not simply an </w:t>
      </w:r>
      <w:r w:rsidR="005F5DE1">
        <w:rPr>
          <w:rFonts w:ascii="Book Antiqua" w:hAnsi="Book Antiqua" w:cs="Arial"/>
        </w:rPr>
        <w:t>act a</w:t>
      </w:r>
      <w:r>
        <w:rPr>
          <w:rFonts w:ascii="Book Antiqua" w:hAnsi="Book Antiqua" w:cs="Arial"/>
        </w:rPr>
        <w:t xml:space="preserve"> number of years ago as the judge had said at paragraph 54 of the decision.</w:t>
      </w:r>
      <w:r w:rsidR="005F5DE1">
        <w:rPr>
          <w:rFonts w:ascii="Book Antiqua" w:hAnsi="Book Antiqua" w:cs="Arial"/>
        </w:rPr>
        <w:t xml:space="preserve">  It was a prolonged and sustained act of deception over a period of five years.  The relationship had been formed when the appellant’s status was at best precarious if not illegal given the deception.  There had been no assessment of whether the </w:t>
      </w:r>
      <w:r w:rsidR="0051462C">
        <w:rPr>
          <w:rFonts w:ascii="Book Antiqua" w:hAnsi="Book Antiqua" w:cs="Arial"/>
        </w:rPr>
        <w:t>a</w:t>
      </w:r>
      <w:r w:rsidR="005F5DE1">
        <w:rPr>
          <w:rFonts w:ascii="Book Antiqua" w:hAnsi="Book Antiqua" w:cs="Arial"/>
        </w:rPr>
        <w:t xml:space="preserve">ppellant was financially independent and he had continued to practice deception for a number of years.  The balance had clearly shifted in favour of removal.  </w:t>
      </w:r>
    </w:p>
    <w:p w:rsidR="00C746F7" w:rsidRDefault="00C746F7" w:rsidP="00BF23BB">
      <w:pPr>
        <w:tabs>
          <w:tab w:val="left" w:pos="567"/>
        </w:tabs>
        <w:ind w:left="567" w:hanging="567"/>
        <w:jc w:val="both"/>
        <w:rPr>
          <w:rFonts w:ascii="Book Antiqua" w:hAnsi="Book Antiqua" w:cs="Arial"/>
        </w:rPr>
      </w:pPr>
    </w:p>
    <w:p w:rsidR="00C746F7" w:rsidRDefault="00C746F7" w:rsidP="00BF23BB">
      <w:pPr>
        <w:tabs>
          <w:tab w:val="left" w:pos="567"/>
        </w:tabs>
        <w:ind w:left="567" w:hanging="567"/>
        <w:jc w:val="both"/>
        <w:rPr>
          <w:rFonts w:ascii="Book Antiqua" w:hAnsi="Book Antiqua" w:cs="Arial"/>
        </w:rPr>
      </w:pPr>
      <w:r>
        <w:rPr>
          <w:rFonts w:ascii="Book Antiqua" w:hAnsi="Book Antiqua" w:cs="Arial"/>
        </w:rPr>
        <w:t>7.</w:t>
      </w:r>
      <w:r w:rsidR="005F5DE1">
        <w:rPr>
          <w:rFonts w:ascii="Book Antiqua" w:hAnsi="Book Antiqua" w:cs="Arial"/>
        </w:rPr>
        <w:tab/>
        <w:t>The appellant filed a response on 27</w:t>
      </w:r>
      <w:r w:rsidR="005F5DE1">
        <w:rPr>
          <w:rFonts w:ascii="Book Antiqua" w:hAnsi="Book Antiqua" w:cs="Arial"/>
          <w:vertAlign w:val="superscript"/>
        </w:rPr>
        <w:t xml:space="preserve"> </w:t>
      </w:r>
      <w:r w:rsidR="005F5DE1">
        <w:rPr>
          <w:rFonts w:ascii="Book Antiqua" w:hAnsi="Book Antiqua" w:cs="Arial"/>
        </w:rPr>
        <w:t xml:space="preserve">June 2018.  It was pointed out that the appellant had left the UK in March 2014 following the refusal of his student visa.  The disputed test had been taken prior to his departure.  He had </w:t>
      </w:r>
      <w:r w:rsidR="00EB5FC1">
        <w:rPr>
          <w:rFonts w:ascii="Book Antiqua" w:hAnsi="Book Antiqua" w:cs="Arial"/>
        </w:rPr>
        <w:t xml:space="preserve">left the country and </w:t>
      </w:r>
      <w:r w:rsidR="005F5DE1">
        <w:rPr>
          <w:rFonts w:ascii="Book Antiqua" w:hAnsi="Book Antiqua" w:cs="Arial"/>
        </w:rPr>
        <w:t xml:space="preserve">returned on a spouse visa </w:t>
      </w:r>
      <w:r w:rsidR="00EB5FC1">
        <w:rPr>
          <w:rFonts w:ascii="Book Antiqua" w:hAnsi="Book Antiqua" w:cs="Arial"/>
        </w:rPr>
        <w:t>- he</w:t>
      </w:r>
      <w:r w:rsidR="005F5DE1">
        <w:rPr>
          <w:rFonts w:ascii="Book Antiqua" w:hAnsi="Book Antiqua" w:cs="Arial"/>
        </w:rPr>
        <w:t xml:space="preserve"> had not used his relationship with his British partner to extend his leave.  His departure had been voluntary.  The idea that he was using a child as a trump card was emphatically rejected.  Indeed the appellant’s wife was pregnant with their second child and the couple were expecting a baby in December 2018.</w:t>
      </w:r>
      <w:r w:rsidR="00AB50DD">
        <w:rPr>
          <w:rFonts w:ascii="Book Antiqua" w:hAnsi="Book Antiqua" w:cs="Arial"/>
        </w:rPr>
        <w:t xml:space="preserve">  The appellant and his wife had met the financial test required in line with Appendix FM-SE of the Rules and were financially independent.  In the light of </w:t>
      </w:r>
      <w:r w:rsidR="00AB50DD" w:rsidRPr="0091384E">
        <w:rPr>
          <w:rFonts w:ascii="Book Antiqua" w:hAnsi="Book Antiqua" w:cs="Arial"/>
          <w:u w:val="single"/>
        </w:rPr>
        <w:t>ZH (Tanzania) v Secretary of State</w:t>
      </w:r>
      <w:r w:rsidR="00AB50DD" w:rsidRPr="0091384E">
        <w:rPr>
          <w:rFonts w:ascii="Book Antiqua" w:hAnsi="Book Antiqua" w:cs="Arial"/>
        </w:rPr>
        <w:t xml:space="preserve"> [2011] UKSC 4 </w:t>
      </w:r>
      <w:r w:rsidR="00AB50DD">
        <w:rPr>
          <w:rFonts w:ascii="Book Antiqua" w:hAnsi="Book Antiqua" w:cs="Arial"/>
        </w:rPr>
        <w:t>the best interests of the child should be regarded as a primary consideration and it would be wrong in principle to devalue what was in the child’s best interest by something for which they could in no way be held responsible.  It was pointed out that the Presenting Officer, Miss Solomon, had agreed with the judge that the appellant should be granted leave on human rights grounds based on the Secretary of State’s policy.</w:t>
      </w:r>
    </w:p>
    <w:p w:rsidR="005F5DE1" w:rsidRDefault="005F5DE1" w:rsidP="00BF23BB">
      <w:pPr>
        <w:tabs>
          <w:tab w:val="left" w:pos="567"/>
        </w:tabs>
        <w:ind w:left="567" w:hanging="567"/>
        <w:jc w:val="both"/>
        <w:rPr>
          <w:rFonts w:ascii="Book Antiqua" w:hAnsi="Book Antiqua" w:cs="Arial"/>
        </w:rPr>
      </w:pPr>
    </w:p>
    <w:p w:rsidR="005F5DE1" w:rsidRDefault="005F5DE1" w:rsidP="00BF23BB">
      <w:pPr>
        <w:tabs>
          <w:tab w:val="left" w:pos="567"/>
        </w:tabs>
        <w:ind w:left="567" w:hanging="567"/>
        <w:jc w:val="both"/>
        <w:rPr>
          <w:rFonts w:ascii="Book Antiqua" w:hAnsi="Book Antiqua" w:cs="Arial"/>
        </w:rPr>
      </w:pPr>
      <w:r>
        <w:rPr>
          <w:rFonts w:ascii="Book Antiqua" w:hAnsi="Book Antiqua" w:cs="Arial"/>
        </w:rPr>
        <w:t>8.</w:t>
      </w:r>
      <w:r w:rsidR="00AB50DD">
        <w:rPr>
          <w:rFonts w:ascii="Book Antiqua" w:hAnsi="Book Antiqua" w:cs="Arial"/>
        </w:rPr>
        <w:tab/>
        <w:t>At the hearing</w:t>
      </w:r>
      <w:r w:rsidR="00062DAE">
        <w:rPr>
          <w:rFonts w:ascii="Book Antiqua" w:hAnsi="Book Antiqua" w:cs="Arial"/>
        </w:rPr>
        <w:t xml:space="preserve"> Ms Everett relied on the grounds of appeal and submitted that the judge had conflated the issues in paragraph 55 of his decision.  In concluding that it was not reasonable to expect the child to leave the United Kingdom he had no</w:t>
      </w:r>
      <w:r w:rsidR="00E213E4">
        <w:rPr>
          <w:rFonts w:ascii="Book Antiqua" w:hAnsi="Book Antiqua" w:cs="Arial"/>
        </w:rPr>
        <w:t>t</w:t>
      </w:r>
      <w:r w:rsidR="00062DAE">
        <w:rPr>
          <w:rFonts w:ascii="Book Antiqua" w:hAnsi="Book Antiqua" w:cs="Arial"/>
        </w:rPr>
        <w:t xml:space="preserve"> had regard to the option the appellant had to leave and apply from outside the UK to return.  The child would not be required to leave the UK.  Further the judge had found against the appellant on the ETS issue and that was an ongoing deception and not simply one five years ago.  If an error was made out it would be a material error.  The judge had not engaged properly with the suitability issue and had conflated that issue with the proportionality exercise.  </w:t>
      </w:r>
      <w:r w:rsidR="005B5848">
        <w:rPr>
          <w:rFonts w:ascii="Book Antiqua" w:hAnsi="Book Antiqua" w:cs="Arial"/>
        </w:rPr>
        <w:t>She</w:t>
      </w:r>
      <w:r w:rsidR="003458D6" w:rsidRPr="003458D6">
        <w:rPr>
          <w:rFonts w:ascii="Book Antiqua" w:hAnsi="Book Antiqua" w:cs="Arial"/>
        </w:rPr>
        <w:t xml:space="preserve"> submitted that the judge had said in paragraph 56 that </w:t>
      </w:r>
      <w:r w:rsidR="003458D6" w:rsidRPr="003458D6">
        <w:rPr>
          <w:rFonts w:ascii="Book Antiqua" w:hAnsi="Book Antiqua" w:cs="Arial"/>
        </w:rPr>
        <w:lastRenderedPageBreak/>
        <w:t xml:space="preserve">the appellant was not liable to deportation and had started paragraph 57 by stating “that being so, the public interest in the appellant’s removal is not made out …”.  The deception had not been one-off but was ongoing.  Ms Everett did not seek to go behind what had been said by the Presenting Officer but it was not the Secretary of State’s case that all the family were required to go back to India.  </w:t>
      </w:r>
    </w:p>
    <w:p w:rsidR="00062DAE" w:rsidRDefault="00062DAE" w:rsidP="00BF23BB">
      <w:pPr>
        <w:tabs>
          <w:tab w:val="left" w:pos="567"/>
        </w:tabs>
        <w:ind w:left="567" w:hanging="567"/>
        <w:jc w:val="both"/>
        <w:rPr>
          <w:rFonts w:ascii="Book Antiqua" w:hAnsi="Book Antiqua" w:cs="Arial"/>
        </w:rPr>
      </w:pPr>
    </w:p>
    <w:p w:rsidR="00062DAE" w:rsidRDefault="00062DAE" w:rsidP="00BF23BB">
      <w:pPr>
        <w:tabs>
          <w:tab w:val="left" w:pos="567"/>
        </w:tabs>
        <w:ind w:left="567" w:hanging="567"/>
        <w:jc w:val="both"/>
        <w:rPr>
          <w:rFonts w:ascii="Book Antiqua" w:hAnsi="Book Antiqua" w:cs="Arial"/>
        </w:rPr>
      </w:pPr>
      <w:r>
        <w:rPr>
          <w:rFonts w:ascii="Book Antiqua" w:hAnsi="Book Antiqua" w:cs="Arial"/>
        </w:rPr>
        <w:t>9.</w:t>
      </w:r>
      <w:r w:rsidR="00436DEB">
        <w:rPr>
          <w:rFonts w:ascii="Book Antiqua" w:hAnsi="Book Antiqua" w:cs="Arial"/>
        </w:rPr>
        <w:tab/>
        <w:t xml:space="preserve">Mr Khan drew attention to the skeleton argument (of which he was not the author) and the Rule 24 response.  Issue was not taken for the purposes of the hearing with the judge’s ETS findings.  It was submitted that the judge had not materially erred in law.  What the judge had said in paragraph 50 had to be seen in the context of the preceding paragraphs.  Despite the judge’s findings in respect of the deception issue he had accepted the appellant’s genuine and subsisting relationship with his son in paragraph 52.  He had correctly approached Section 117B(6).  He had accepted that the relationship was genuine.  Reference was made to what was said in </w:t>
      </w:r>
      <w:r w:rsidR="00436DEB" w:rsidRPr="0091384E">
        <w:rPr>
          <w:rFonts w:ascii="Book Antiqua" w:hAnsi="Book Antiqua" w:cs="Arial"/>
        </w:rPr>
        <w:t>MA (Pakistan)</w:t>
      </w:r>
      <w:r w:rsidR="0091384E" w:rsidRPr="0091384E">
        <w:rPr>
          <w:rFonts w:ascii="Book Antiqua" w:hAnsi="Book Antiqua" w:cs="Arial"/>
          <w:u w:val="single"/>
        </w:rPr>
        <w:t xml:space="preserve"> v Upper Tribunal</w:t>
      </w:r>
      <w:r w:rsidR="0091384E">
        <w:rPr>
          <w:rFonts w:ascii="Book Antiqua" w:hAnsi="Book Antiqua" w:cs="Arial"/>
        </w:rPr>
        <w:t xml:space="preserve"> </w:t>
      </w:r>
      <w:r w:rsidR="00436DEB" w:rsidRPr="0091384E">
        <w:rPr>
          <w:rFonts w:ascii="Book Antiqua" w:hAnsi="Book Antiqua" w:cs="Arial"/>
        </w:rPr>
        <w:t xml:space="preserve">[2016] EWCA </w:t>
      </w:r>
      <w:proofErr w:type="spellStart"/>
      <w:r w:rsidR="00436DEB" w:rsidRPr="0091384E">
        <w:rPr>
          <w:rFonts w:ascii="Book Antiqua" w:hAnsi="Book Antiqua" w:cs="Arial"/>
        </w:rPr>
        <w:t>Civ</w:t>
      </w:r>
      <w:proofErr w:type="spellEnd"/>
      <w:r w:rsidR="00436DEB" w:rsidRPr="0091384E">
        <w:rPr>
          <w:rFonts w:ascii="Book Antiqua" w:hAnsi="Book Antiqua" w:cs="Arial"/>
        </w:rPr>
        <w:t xml:space="preserve"> 705</w:t>
      </w:r>
      <w:r w:rsidR="00436DEB">
        <w:rPr>
          <w:rFonts w:ascii="Book Antiqua" w:hAnsi="Book Antiqua" w:cs="Arial"/>
        </w:rPr>
        <w:t xml:space="preserve"> at paragraph 47</w:t>
      </w:r>
      <w:r w:rsidR="0091384E">
        <w:rPr>
          <w:rFonts w:ascii="Book Antiqua" w:hAnsi="Book Antiqua" w:cs="Arial"/>
        </w:rPr>
        <w:t>:</w:t>
      </w:r>
    </w:p>
    <w:p w:rsidR="00C833C5" w:rsidRPr="00DD4004" w:rsidRDefault="00C833C5" w:rsidP="00DD4004">
      <w:pPr>
        <w:spacing w:before="120" w:after="120"/>
        <w:ind w:left="1134" w:right="567"/>
        <w:jc w:val="both"/>
        <w:rPr>
          <w:rFonts w:ascii="Book Antiqua" w:hAnsi="Book Antiqua" w:cs="Arial"/>
          <w:sz w:val="22"/>
        </w:rPr>
      </w:pPr>
      <w:r w:rsidRPr="00DD4004">
        <w:rPr>
          <w:rFonts w:ascii="Book Antiqua" w:hAnsi="Book Antiqua" w:cs="Arial"/>
          <w:sz w:val="22"/>
        </w:rPr>
        <w:t>“… what could not be considered however, would be the conduct and immigration history of the parents.”</w:t>
      </w:r>
    </w:p>
    <w:p w:rsidR="00C833C5" w:rsidRDefault="008F681F" w:rsidP="00BF23BB">
      <w:pPr>
        <w:tabs>
          <w:tab w:val="left" w:pos="567"/>
        </w:tabs>
        <w:ind w:left="567" w:hanging="567"/>
        <w:jc w:val="both"/>
        <w:rPr>
          <w:rFonts w:ascii="Book Antiqua" w:hAnsi="Book Antiqua" w:cs="Arial"/>
        </w:rPr>
      </w:pPr>
      <w:r>
        <w:rPr>
          <w:rFonts w:ascii="Book Antiqua" w:hAnsi="Book Antiqua" w:cs="Arial"/>
        </w:rPr>
        <w:tab/>
      </w:r>
      <w:r w:rsidR="00C833C5">
        <w:rPr>
          <w:rFonts w:ascii="Book Antiqua" w:hAnsi="Book Antiqua" w:cs="Arial"/>
        </w:rPr>
        <w:t xml:space="preserve">Counsel also referred to the skeleton argument at paragraph 24 and the reference to </w:t>
      </w:r>
      <w:r w:rsidR="00C833C5" w:rsidRPr="0091384E">
        <w:rPr>
          <w:rFonts w:ascii="Book Antiqua" w:hAnsi="Book Antiqua" w:cs="Arial"/>
          <w:u w:val="single"/>
        </w:rPr>
        <w:t>Treebhawon (Section 117</w:t>
      </w:r>
      <w:proofErr w:type="gramStart"/>
      <w:r w:rsidR="00C833C5" w:rsidRPr="0091384E">
        <w:rPr>
          <w:rFonts w:ascii="Book Antiqua" w:hAnsi="Book Antiqua" w:cs="Arial"/>
          <w:u w:val="single"/>
        </w:rPr>
        <w:t>B(</w:t>
      </w:r>
      <w:proofErr w:type="gramEnd"/>
      <w:r w:rsidR="00C833C5" w:rsidRPr="0091384E">
        <w:rPr>
          <w:rFonts w:ascii="Book Antiqua" w:hAnsi="Book Antiqua" w:cs="Arial"/>
          <w:u w:val="single"/>
        </w:rPr>
        <w:t>6))</w:t>
      </w:r>
      <w:r w:rsidR="00C833C5" w:rsidRPr="0091384E">
        <w:rPr>
          <w:rFonts w:ascii="Book Antiqua" w:hAnsi="Book Antiqua" w:cs="Arial"/>
        </w:rPr>
        <w:t xml:space="preserve"> [2015] UKUT 674 (IAC) </w:t>
      </w:r>
      <w:r w:rsidR="00C833C5">
        <w:rPr>
          <w:rFonts w:ascii="Book Antiqua" w:hAnsi="Book Antiqua" w:cs="Arial"/>
        </w:rPr>
        <w:t>– if the criteria in Section 117B(6) were met then Article 8 would be infringed and no further balancing consideration was needed.</w:t>
      </w:r>
    </w:p>
    <w:p w:rsidR="00436DEB" w:rsidRDefault="00436DEB" w:rsidP="00BF23BB">
      <w:pPr>
        <w:tabs>
          <w:tab w:val="left" w:pos="567"/>
        </w:tabs>
        <w:ind w:left="567" w:hanging="567"/>
        <w:jc w:val="both"/>
        <w:rPr>
          <w:rFonts w:ascii="Book Antiqua" w:hAnsi="Book Antiqua" w:cs="Arial"/>
        </w:rPr>
      </w:pPr>
    </w:p>
    <w:p w:rsidR="00436DEB" w:rsidRDefault="008F681F" w:rsidP="00BF23BB">
      <w:pPr>
        <w:tabs>
          <w:tab w:val="left" w:pos="567"/>
        </w:tabs>
        <w:ind w:left="567" w:hanging="567"/>
        <w:jc w:val="both"/>
        <w:rPr>
          <w:rFonts w:ascii="Book Antiqua" w:hAnsi="Book Antiqua" w:cs="Arial"/>
        </w:rPr>
      </w:pPr>
      <w:r>
        <w:rPr>
          <w:rFonts w:ascii="Book Antiqua" w:hAnsi="Book Antiqua" w:cs="Arial"/>
        </w:rPr>
        <w:t>10</w:t>
      </w:r>
      <w:r w:rsidR="00436DEB">
        <w:rPr>
          <w:rFonts w:ascii="Book Antiqua" w:hAnsi="Book Antiqua" w:cs="Arial"/>
        </w:rPr>
        <w:t>.</w:t>
      </w:r>
      <w:r>
        <w:rPr>
          <w:rFonts w:ascii="Book Antiqua" w:hAnsi="Book Antiqua" w:cs="Arial"/>
        </w:rPr>
        <w:tab/>
        <w:t xml:space="preserve">The judge had been entitled to rely on the policy in paragraph 54 of his decision and indeed the matter had been accepted by the Presenting Officer.  The appellant was not a persistent offender.  </w:t>
      </w:r>
    </w:p>
    <w:p w:rsidR="008F681F" w:rsidRDefault="008F681F" w:rsidP="00BF23BB">
      <w:pPr>
        <w:tabs>
          <w:tab w:val="left" w:pos="567"/>
        </w:tabs>
        <w:ind w:left="567" w:hanging="567"/>
        <w:jc w:val="both"/>
        <w:rPr>
          <w:rFonts w:ascii="Book Antiqua" w:hAnsi="Book Antiqua" w:cs="Arial"/>
        </w:rPr>
      </w:pPr>
    </w:p>
    <w:p w:rsidR="00552F12" w:rsidRDefault="005B5848" w:rsidP="00BF23BB">
      <w:pPr>
        <w:tabs>
          <w:tab w:val="left" w:pos="567"/>
        </w:tabs>
        <w:ind w:left="567" w:hanging="567"/>
        <w:jc w:val="both"/>
        <w:rPr>
          <w:rFonts w:ascii="Book Antiqua" w:hAnsi="Book Antiqua" w:cs="Arial"/>
        </w:rPr>
      </w:pPr>
      <w:r>
        <w:rPr>
          <w:rFonts w:ascii="Book Antiqua" w:hAnsi="Book Antiqua" w:cs="Arial"/>
        </w:rPr>
        <w:t>11</w:t>
      </w:r>
      <w:r w:rsidR="00552F12">
        <w:rPr>
          <w:rFonts w:ascii="Book Antiqua" w:hAnsi="Book Antiqua" w:cs="Arial"/>
        </w:rPr>
        <w:t>.</w:t>
      </w:r>
      <w:r w:rsidR="00552F12">
        <w:rPr>
          <w:rFonts w:ascii="Book Antiqua" w:hAnsi="Book Antiqua" w:cs="Arial"/>
        </w:rPr>
        <w:tab/>
        <w:t>Counsel submitted that what the judge had said in the opening words of paragraph 57 did not simply relate to paragraph 56 but had to be seen in the context of the preceding paragraphs as well.  There had only been one incidence of deception.  Counsel referred to the guidance applicable at the time of the respondent’s decision at page 259 of the bundle.  The guidance addressed the question of how a decisionmaker should consider whether it was reasonable to expect a child to leave the UK.  Various examples are set out including the case where a child does not live with the applicant parent.  Reliance is placed on the following paragraphs:</w:t>
      </w:r>
    </w:p>
    <w:p w:rsidR="00552F12" w:rsidRPr="00DD4004" w:rsidRDefault="00552F12" w:rsidP="00DD4004">
      <w:pPr>
        <w:spacing w:before="120" w:after="120"/>
        <w:ind w:left="1134"/>
        <w:jc w:val="both"/>
        <w:rPr>
          <w:rFonts w:ascii="Book Antiqua" w:hAnsi="Book Antiqua" w:cs="Arial"/>
        </w:rPr>
      </w:pPr>
      <w:r w:rsidRPr="00DD4004">
        <w:rPr>
          <w:rFonts w:ascii="Book Antiqua" w:hAnsi="Book Antiqua" w:cs="Arial"/>
        </w:rPr>
        <w:t>“If the departure of the non-EEA national parent or carer would not result in the child being required to leave the UK, because the child will (or is likely to) remain living here with another parent or primary carer, then the question of whether it is reasonable to expect the child to leave the UK will not arise.  In these circumstances paragraph EX.1.(a) does not apply.</w:t>
      </w:r>
    </w:p>
    <w:p w:rsidR="00552F12" w:rsidRPr="00DD4004" w:rsidRDefault="00552F12" w:rsidP="00DD4004">
      <w:pPr>
        <w:spacing w:before="120" w:after="120"/>
        <w:ind w:left="1134"/>
        <w:jc w:val="both"/>
        <w:rPr>
          <w:rFonts w:ascii="Book Antiqua" w:hAnsi="Book Antiqua" w:cs="Arial"/>
        </w:rPr>
      </w:pPr>
      <w:proofErr w:type="gramStart"/>
      <w:r w:rsidRPr="00DD4004">
        <w:rPr>
          <w:rFonts w:ascii="Book Antiqua" w:hAnsi="Book Antiqua" w:cs="Arial"/>
        </w:rPr>
        <w:t>However</w:t>
      </w:r>
      <w:proofErr w:type="gramEnd"/>
      <w:r w:rsidRPr="00DD4004">
        <w:rPr>
          <w:rFonts w:ascii="Book Antiqua" w:hAnsi="Book Antiqua" w:cs="Arial"/>
        </w:rPr>
        <w:t xml:space="preserve"> where there is a genuine and subsisting parental relationship between the applicant and the child, the removal of the applicant </w:t>
      </w:r>
      <w:r w:rsidR="008B399E" w:rsidRPr="00DD4004">
        <w:rPr>
          <w:rFonts w:ascii="Book Antiqua" w:hAnsi="Book Antiqua" w:cs="Arial"/>
        </w:rPr>
        <w:t xml:space="preserve">may still disrupt their relationship with their child.  For that reason, the decisionmaker will still need to consider whether, in the round, removal of the applicant is appropriate in light of all the circumstances of the case, taking into account the best interests of the child as a primary consideration and the impact on the child of the applicant’s </w:t>
      </w:r>
      <w:r w:rsidR="008B399E" w:rsidRPr="00DD4004">
        <w:rPr>
          <w:rFonts w:ascii="Book Antiqua" w:hAnsi="Book Antiqua" w:cs="Arial"/>
        </w:rPr>
        <w:lastRenderedPageBreak/>
        <w:t xml:space="preserve">departure from the UK.  If it is considered that refusal would lead to unjustifiably harsh consequences for the applicant, the child or their family, leave will fall to be granted on the basis of exceptional circumstances.  </w:t>
      </w:r>
    </w:p>
    <w:p w:rsidR="00524A64" w:rsidRPr="00DD4004" w:rsidRDefault="00524A64" w:rsidP="00DD4004">
      <w:pPr>
        <w:spacing w:before="120" w:after="120"/>
        <w:ind w:left="1134"/>
        <w:jc w:val="both"/>
        <w:rPr>
          <w:rFonts w:ascii="Book Antiqua" w:hAnsi="Book Antiqua" w:cs="Arial"/>
        </w:rPr>
      </w:pPr>
      <w:r w:rsidRPr="00DD4004">
        <w:rPr>
          <w:rFonts w:ascii="Book Antiqua" w:hAnsi="Book Antiqua" w:cs="Arial"/>
        </w:rPr>
        <w:t xml:space="preserve">If the decisionmaker is minded </w:t>
      </w:r>
      <w:proofErr w:type="gramStart"/>
      <w:r w:rsidRPr="00DD4004">
        <w:rPr>
          <w:rFonts w:ascii="Book Antiqua" w:hAnsi="Book Antiqua" w:cs="Arial"/>
        </w:rPr>
        <w:t>to refuse</w:t>
      </w:r>
      <w:proofErr w:type="gramEnd"/>
      <w:r w:rsidRPr="00DD4004">
        <w:rPr>
          <w:rFonts w:ascii="Book Antiqua" w:hAnsi="Book Antiqua" w:cs="Arial"/>
        </w:rPr>
        <w:t xml:space="preserve"> an application in circumstances in which the applicant would then be separated from a child in the UK, this decision should normally be discussed with a senior caseworker.”</w:t>
      </w:r>
    </w:p>
    <w:p w:rsidR="005B5848" w:rsidRDefault="005B5848" w:rsidP="005B5848">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At the conclusion of the submissions I reserved my decision. I remind myself that I can only interfere with the determination if the First-tier Judge erred in law.</w:t>
      </w:r>
    </w:p>
    <w:p w:rsidR="00552F12" w:rsidRDefault="00552F12" w:rsidP="00BF23BB">
      <w:pPr>
        <w:tabs>
          <w:tab w:val="left" w:pos="567"/>
        </w:tabs>
        <w:ind w:left="567" w:hanging="567"/>
        <w:jc w:val="both"/>
        <w:rPr>
          <w:rFonts w:ascii="Book Antiqua" w:hAnsi="Book Antiqua" w:cs="Arial"/>
        </w:rPr>
      </w:pPr>
    </w:p>
    <w:p w:rsidR="00552F12" w:rsidRDefault="00552F12" w:rsidP="00BF23BB">
      <w:pPr>
        <w:tabs>
          <w:tab w:val="left" w:pos="567"/>
        </w:tabs>
        <w:ind w:left="567" w:hanging="567"/>
        <w:jc w:val="both"/>
        <w:rPr>
          <w:rFonts w:ascii="Book Antiqua" w:hAnsi="Book Antiqua" w:cs="Arial"/>
        </w:rPr>
      </w:pPr>
      <w:r>
        <w:rPr>
          <w:rFonts w:ascii="Book Antiqua" w:hAnsi="Book Antiqua" w:cs="Arial"/>
        </w:rPr>
        <w:t>13.</w:t>
      </w:r>
      <w:r w:rsidR="00524A64">
        <w:rPr>
          <w:rFonts w:ascii="Book Antiqua" w:hAnsi="Book Antiqua" w:cs="Arial"/>
        </w:rPr>
        <w:tab/>
      </w:r>
      <w:r w:rsidR="005B5848">
        <w:rPr>
          <w:rFonts w:ascii="Book Antiqua" w:hAnsi="Book Antiqua" w:cs="Arial"/>
        </w:rPr>
        <w:t>In relation to the points made about the guidance, t</w:t>
      </w:r>
      <w:r w:rsidR="00524A64">
        <w:rPr>
          <w:rFonts w:ascii="Book Antiqua" w:hAnsi="Book Antiqua" w:cs="Arial"/>
        </w:rPr>
        <w:t xml:space="preserve">he judge took into account the more recent guidance published on 22 February 2018.  The judge agreed with </w:t>
      </w:r>
      <w:r w:rsidR="00043C95">
        <w:rPr>
          <w:rFonts w:ascii="Book Antiqua" w:hAnsi="Book Antiqua" w:cs="Arial"/>
        </w:rPr>
        <w:t>the approach in the guidance,</w:t>
      </w:r>
      <w:r w:rsidR="00524A64">
        <w:rPr>
          <w:rFonts w:ascii="Book Antiqua" w:hAnsi="Book Antiqua" w:cs="Arial"/>
        </w:rPr>
        <w:t xml:space="preserve"> </w:t>
      </w:r>
      <w:r w:rsidR="00043C95">
        <w:rPr>
          <w:rFonts w:ascii="Book Antiqua" w:hAnsi="Book Antiqua" w:cs="Arial"/>
        </w:rPr>
        <w:t>noting</w:t>
      </w:r>
      <w:r w:rsidR="00524A64">
        <w:rPr>
          <w:rFonts w:ascii="Book Antiqua" w:hAnsi="Book Antiqua" w:cs="Arial"/>
        </w:rPr>
        <w:t xml:space="preserve"> the </w:t>
      </w:r>
      <w:r w:rsidR="00265ADD">
        <w:rPr>
          <w:rFonts w:ascii="Book Antiqua" w:hAnsi="Book Antiqua" w:cs="Arial"/>
        </w:rPr>
        <w:t xml:space="preserve">Presenting </w:t>
      </w:r>
      <w:r w:rsidR="00524A64">
        <w:rPr>
          <w:rFonts w:ascii="Book Antiqua" w:hAnsi="Book Antiqua" w:cs="Arial"/>
        </w:rPr>
        <w:t>Officer’s acceptance that the respondent’s guidance was that it was “unreasonable to require a British child to leave the United Kingdom in</w:t>
      </w:r>
      <w:r w:rsidR="004A59DB">
        <w:rPr>
          <w:rFonts w:ascii="Book Antiqua" w:hAnsi="Book Antiqua" w:cs="Arial"/>
        </w:rPr>
        <w:t xml:space="preserve"> the circumstances</w:t>
      </w:r>
      <w:r w:rsidR="00524A64">
        <w:rPr>
          <w:rFonts w:ascii="Book Antiqua" w:hAnsi="Book Antiqua" w:cs="Arial"/>
        </w:rPr>
        <w:t>”</w:t>
      </w:r>
      <w:r w:rsidR="004A59DB">
        <w:rPr>
          <w:rFonts w:ascii="Book Antiqua" w:hAnsi="Book Antiqua" w:cs="Arial"/>
        </w:rPr>
        <w:t>.</w:t>
      </w:r>
    </w:p>
    <w:p w:rsidR="004A59DB" w:rsidRDefault="004A59DB" w:rsidP="00BF23BB">
      <w:pPr>
        <w:tabs>
          <w:tab w:val="left" w:pos="567"/>
        </w:tabs>
        <w:ind w:left="567" w:hanging="567"/>
        <w:jc w:val="both"/>
        <w:rPr>
          <w:rFonts w:ascii="Book Antiqua" w:hAnsi="Book Antiqua" w:cs="Arial"/>
        </w:rPr>
      </w:pPr>
    </w:p>
    <w:p w:rsidR="004A59DB" w:rsidRDefault="004A59DB"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Of course it is not the case for the Secretary of State that the British citizen child will be required to leave the UK.  However the guidance </w:t>
      </w:r>
      <w:r w:rsidR="00043C95">
        <w:rPr>
          <w:rFonts w:ascii="Book Antiqua" w:hAnsi="Book Antiqua" w:cs="Arial"/>
        </w:rPr>
        <w:t>which I have set out at paragraph 11</w:t>
      </w:r>
      <w:r w:rsidR="00954FFA">
        <w:rPr>
          <w:rFonts w:ascii="Book Antiqua" w:hAnsi="Book Antiqua" w:cs="Arial"/>
        </w:rPr>
        <w:t xml:space="preserve"> </w:t>
      </w:r>
      <w:r w:rsidR="00043C95">
        <w:rPr>
          <w:rFonts w:ascii="Book Antiqua" w:hAnsi="Book Antiqua" w:cs="Arial"/>
        </w:rPr>
        <w:t xml:space="preserve">above </w:t>
      </w:r>
      <w:r>
        <w:rPr>
          <w:rFonts w:ascii="Book Antiqua" w:hAnsi="Book Antiqua" w:cs="Arial"/>
        </w:rPr>
        <w:t xml:space="preserve">does cover the issue of a case where there is a genuine and subsisting parental relationship between the applicant spouse and the child.  </w:t>
      </w:r>
    </w:p>
    <w:p w:rsidR="004A59DB" w:rsidRDefault="004A59DB" w:rsidP="00BF23BB">
      <w:pPr>
        <w:tabs>
          <w:tab w:val="left" w:pos="567"/>
        </w:tabs>
        <w:ind w:left="567" w:hanging="567"/>
        <w:jc w:val="both"/>
        <w:rPr>
          <w:rFonts w:ascii="Book Antiqua" w:hAnsi="Book Antiqua" w:cs="Arial"/>
        </w:rPr>
      </w:pPr>
    </w:p>
    <w:p w:rsidR="00C3217D" w:rsidRDefault="004A59DB"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The judge plainly gave consideration to what is set out in the February 2018 guidance.  It was open to the judge to draw a distinction between the appellant’s behaviour and the examples in the guidance.  </w:t>
      </w:r>
      <w:r w:rsidR="00C3217D">
        <w:rPr>
          <w:rFonts w:ascii="Book Antiqua" w:hAnsi="Book Antiqua" w:cs="Arial"/>
        </w:rPr>
        <w:t xml:space="preserve">His description of the appellant’s offending in paragraph 54 does not in my view indicate an erroneous approach as contended. </w:t>
      </w:r>
      <w:r>
        <w:rPr>
          <w:rFonts w:ascii="Book Antiqua" w:hAnsi="Book Antiqua" w:cs="Arial"/>
        </w:rPr>
        <w:t xml:space="preserve">It may be that another judge would have interpreted matters differently but I am not satisfied that what the judge said was materially flawed in law.  </w:t>
      </w:r>
    </w:p>
    <w:p w:rsidR="00C3217D" w:rsidRDefault="00C3217D" w:rsidP="00BF23BB">
      <w:pPr>
        <w:tabs>
          <w:tab w:val="left" w:pos="567"/>
        </w:tabs>
        <w:ind w:left="567" w:hanging="567"/>
        <w:jc w:val="both"/>
        <w:rPr>
          <w:rFonts w:ascii="Book Antiqua" w:hAnsi="Book Antiqua" w:cs="Arial"/>
        </w:rPr>
      </w:pPr>
    </w:p>
    <w:p w:rsidR="002F017D" w:rsidRDefault="00C3217D" w:rsidP="00BF23BB">
      <w:pPr>
        <w:tabs>
          <w:tab w:val="left" w:pos="567"/>
        </w:tabs>
        <w:ind w:left="567" w:hanging="567"/>
        <w:jc w:val="both"/>
        <w:rPr>
          <w:rFonts w:ascii="Book Antiqua" w:hAnsi="Book Antiqua" w:cs="Arial"/>
          <w:b/>
        </w:rPr>
      </w:pPr>
      <w:r>
        <w:rPr>
          <w:rFonts w:ascii="Book Antiqua" w:hAnsi="Book Antiqua" w:cs="Arial"/>
        </w:rPr>
        <w:t>16.</w:t>
      </w:r>
      <w:r>
        <w:rPr>
          <w:rFonts w:ascii="Book Antiqua" w:hAnsi="Book Antiqua" w:cs="Arial"/>
        </w:rPr>
        <w:tab/>
      </w:r>
      <w:r w:rsidR="00A05648">
        <w:rPr>
          <w:rFonts w:ascii="Book Antiqua" w:hAnsi="Book Antiqua" w:cs="Arial"/>
        </w:rPr>
        <w:t>C</w:t>
      </w:r>
      <w:r>
        <w:rPr>
          <w:rFonts w:ascii="Book Antiqua" w:hAnsi="Book Antiqua" w:cs="Arial"/>
        </w:rPr>
        <w:t xml:space="preserve">ounsel makes what is in my view </w:t>
      </w:r>
      <w:r w:rsidR="004A59DB">
        <w:rPr>
          <w:rFonts w:ascii="Book Antiqua" w:hAnsi="Book Antiqua" w:cs="Arial"/>
        </w:rPr>
        <w:t xml:space="preserve"> a fair point that the appellant left the country and came in on a properly issued </w:t>
      </w:r>
      <w:r>
        <w:rPr>
          <w:rFonts w:ascii="Book Antiqua" w:hAnsi="Book Antiqua" w:cs="Arial"/>
        </w:rPr>
        <w:t xml:space="preserve">spouse </w:t>
      </w:r>
      <w:r w:rsidR="004A59DB">
        <w:rPr>
          <w:rFonts w:ascii="Book Antiqua" w:hAnsi="Book Antiqua" w:cs="Arial"/>
        </w:rPr>
        <w:t xml:space="preserve">visa.  </w:t>
      </w:r>
      <w:r w:rsidR="005B5848">
        <w:rPr>
          <w:rFonts w:ascii="Book Antiqua" w:hAnsi="Book Antiqua" w:cs="Arial"/>
        </w:rPr>
        <w:t xml:space="preserve">The issue of precariousness would need to be seen in that context: see </w:t>
      </w:r>
      <w:r w:rsidR="005B5848" w:rsidRPr="0091384E">
        <w:rPr>
          <w:rFonts w:ascii="Book Antiqua" w:hAnsi="Book Antiqua" w:cs="Arial"/>
          <w:u w:val="single"/>
        </w:rPr>
        <w:t>Secretary of State for the Home Department v Barry</w:t>
      </w:r>
      <w:r w:rsidR="005B5848" w:rsidRPr="0091384E">
        <w:rPr>
          <w:rFonts w:ascii="Book Antiqua" w:hAnsi="Book Antiqua" w:cs="Arial"/>
        </w:rPr>
        <w:t xml:space="preserve"> [2018] EWCA Civ 790</w:t>
      </w:r>
      <w:r w:rsidR="002F017D" w:rsidRPr="0091384E">
        <w:rPr>
          <w:rFonts w:ascii="Book Antiqua" w:hAnsi="Book Antiqua" w:cs="Arial"/>
        </w:rPr>
        <w:t xml:space="preserve"> </w:t>
      </w:r>
      <w:r w:rsidR="002F017D" w:rsidRPr="002F017D">
        <w:rPr>
          <w:rFonts w:ascii="Book Antiqua" w:hAnsi="Book Antiqua" w:cs="Arial"/>
        </w:rPr>
        <w:t xml:space="preserve">at paragraphs 62-63 </w:t>
      </w:r>
      <w:r w:rsidR="00032E61">
        <w:rPr>
          <w:rFonts w:ascii="Book Antiqua" w:hAnsi="Book Antiqua" w:cs="Arial"/>
        </w:rPr>
        <w:t xml:space="preserve">where </w:t>
      </w:r>
      <w:r w:rsidR="002F017D" w:rsidRPr="002F017D">
        <w:rPr>
          <w:rFonts w:ascii="Book Antiqua" w:hAnsi="Book Antiqua" w:cs="Arial"/>
        </w:rPr>
        <w:t>Singh LJ</w:t>
      </w:r>
      <w:r w:rsidR="00032E61">
        <w:rPr>
          <w:rFonts w:ascii="Book Antiqua" w:hAnsi="Book Antiqua" w:cs="Arial"/>
        </w:rPr>
        <w:t xml:space="preserve"> considered </w:t>
      </w:r>
      <w:proofErr w:type="spellStart"/>
      <w:r w:rsidR="00032E61" w:rsidRPr="0091384E">
        <w:rPr>
          <w:rFonts w:ascii="Book Antiqua" w:hAnsi="Book Antiqua" w:cs="Arial"/>
          <w:u w:val="single"/>
        </w:rPr>
        <w:t>Rhuppiah</w:t>
      </w:r>
      <w:proofErr w:type="spellEnd"/>
      <w:r w:rsidR="00032E61" w:rsidRPr="0091384E">
        <w:rPr>
          <w:rFonts w:ascii="Book Antiqua" w:hAnsi="Book Antiqua" w:cs="Arial"/>
          <w:u w:val="single"/>
        </w:rPr>
        <w:t xml:space="preserve"> v Secretary of State for the Home Department</w:t>
      </w:r>
      <w:r w:rsidR="00032E61" w:rsidRPr="0091384E">
        <w:rPr>
          <w:rFonts w:ascii="Book Antiqua" w:hAnsi="Book Antiqua" w:cs="Arial"/>
        </w:rPr>
        <w:t xml:space="preserve"> [2016] EWCA </w:t>
      </w:r>
      <w:proofErr w:type="spellStart"/>
      <w:r w:rsidR="00032E61" w:rsidRPr="0091384E">
        <w:rPr>
          <w:rFonts w:ascii="Book Antiqua" w:hAnsi="Book Antiqua" w:cs="Arial"/>
        </w:rPr>
        <w:t>Civ</w:t>
      </w:r>
      <w:proofErr w:type="spellEnd"/>
      <w:r w:rsidR="00032E61" w:rsidRPr="0091384E">
        <w:rPr>
          <w:rFonts w:ascii="Book Antiqua" w:hAnsi="Book Antiqua" w:cs="Arial"/>
        </w:rPr>
        <w:t xml:space="preserve"> 803</w:t>
      </w:r>
      <w:r w:rsidR="002F017D">
        <w:rPr>
          <w:rFonts w:ascii="Book Antiqua" w:hAnsi="Book Antiqua" w:cs="Arial"/>
        </w:rPr>
        <w:t>:</w:t>
      </w:r>
    </w:p>
    <w:p w:rsidR="002F017D" w:rsidRPr="00DD4004" w:rsidRDefault="007A3011" w:rsidP="00DD4004">
      <w:pPr>
        <w:tabs>
          <w:tab w:val="left" w:pos="1701"/>
        </w:tabs>
        <w:spacing w:before="120" w:after="120"/>
        <w:ind w:left="1134" w:right="567"/>
        <w:jc w:val="both"/>
        <w:rPr>
          <w:rFonts w:ascii="Book Antiqua" w:hAnsi="Book Antiqua" w:cs="Arial"/>
          <w:sz w:val="22"/>
        </w:rPr>
      </w:pPr>
      <w:bookmarkStart w:id="2" w:name="para62"/>
      <w:r w:rsidRPr="00DD4004">
        <w:rPr>
          <w:rFonts w:ascii="Book Antiqua" w:hAnsi="Book Antiqua" w:cs="Arial"/>
          <w:sz w:val="22"/>
        </w:rPr>
        <w:t>“</w:t>
      </w:r>
      <w:r w:rsidR="002F017D" w:rsidRPr="00DD4004">
        <w:rPr>
          <w:rFonts w:ascii="Book Antiqua" w:hAnsi="Book Antiqua" w:cs="Arial"/>
          <w:sz w:val="22"/>
        </w:rPr>
        <w:t>62.</w:t>
      </w:r>
      <w:r w:rsidR="00DD4004">
        <w:rPr>
          <w:rFonts w:ascii="Book Antiqua" w:hAnsi="Book Antiqua" w:cs="Arial"/>
          <w:sz w:val="22"/>
        </w:rPr>
        <w:tab/>
      </w:r>
      <w:r w:rsidR="002F017D" w:rsidRPr="00DD4004">
        <w:rPr>
          <w:rFonts w:ascii="Book Antiqua" w:hAnsi="Book Antiqua" w:cs="Arial"/>
          <w:sz w:val="22"/>
        </w:rPr>
        <w:t>In my view, the facts of the present case were not on all fours with those of </w:t>
      </w:r>
      <w:r w:rsidR="002F017D" w:rsidRPr="00DD4004">
        <w:rPr>
          <w:rFonts w:ascii="Book Antiqua" w:hAnsi="Book Antiqua" w:cs="Arial"/>
          <w:sz w:val="22"/>
          <w:u w:val="single"/>
        </w:rPr>
        <w:t>Rhuppiah</w:t>
      </w:r>
      <w:r w:rsidR="002F017D" w:rsidRPr="00DD4004">
        <w:rPr>
          <w:rFonts w:ascii="Book Antiqua" w:hAnsi="Book Antiqua" w:cs="Arial"/>
          <w:sz w:val="22"/>
        </w:rPr>
        <w:t>. In the circumstances of the present case, the fact is that the Respondent was not merely a student at all relevant times. He married a British citizen in 2009. Although that would not have guaranteed him the grant of leave to remain, and other provisions in the Rules would have had to be satisfied, nevertheless, that factor did entitle the FTT to take the view (as it did at paras. 151-152) that the Respondent's position was not entirely precarious. Further, the FTT was careful to draw a distinction between the situation at the time of the marriage and the birth of the first child, on the one hand, and what happened later, at the time of the birth of the second child, on the other, when the Respondent's situation was indeed precarious.</w:t>
      </w:r>
      <w:bookmarkEnd w:id="2"/>
    </w:p>
    <w:p w:rsidR="002F017D" w:rsidRPr="00DD4004" w:rsidRDefault="002F017D" w:rsidP="00DD4004">
      <w:pPr>
        <w:tabs>
          <w:tab w:val="left" w:pos="1701"/>
        </w:tabs>
        <w:spacing w:before="120" w:after="120"/>
        <w:ind w:left="1134" w:right="567"/>
        <w:jc w:val="both"/>
        <w:rPr>
          <w:rFonts w:ascii="Book Antiqua" w:hAnsi="Book Antiqua" w:cs="Arial"/>
          <w:b/>
          <w:sz w:val="22"/>
        </w:rPr>
      </w:pPr>
      <w:bookmarkStart w:id="3" w:name="para63"/>
      <w:r w:rsidRPr="00DD4004">
        <w:rPr>
          <w:rFonts w:ascii="Book Antiqua" w:hAnsi="Book Antiqua" w:cs="Arial"/>
          <w:sz w:val="22"/>
        </w:rPr>
        <w:t>63.</w:t>
      </w:r>
      <w:r w:rsidR="00DD4004">
        <w:rPr>
          <w:rFonts w:ascii="Book Antiqua" w:hAnsi="Book Antiqua" w:cs="Arial"/>
          <w:sz w:val="22"/>
        </w:rPr>
        <w:tab/>
      </w:r>
      <w:r w:rsidRPr="00DD4004">
        <w:rPr>
          <w:rFonts w:ascii="Book Antiqua" w:hAnsi="Book Antiqua" w:cs="Arial"/>
          <w:sz w:val="22"/>
        </w:rPr>
        <w:t xml:space="preserve">It might have been preferable if the FTT had not included this point in the side of the balance sheet where it set out factors in favour of the Respondent but, when read in context, it is clear that what it was saying was that the fact that his </w:t>
      </w:r>
      <w:r w:rsidRPr="00DD4004">
        <w:rPr>
          <w:rFonts w:ascii="Book Antiqua" w:hAnsi="Book Antiqua" w:cs="Arial"/>
          <w:sz w:val="22"/>
        </w:rPr>
        <w:lastRenderedPageBreak/>
        <w:t>situation was not entirely precarious at all times meant that the positive factors which it had set out in his favour at points one, two and three had undiluted force.</w:t>
      </w:r>
      <w:bookmarkEnd w:id="3"/>
      <w:r w:rsidR="007A3011" w:rsidRPr="00DD4004">
        <w:rPr>
          <w:rFonts w:ascii="Book Antiqua" w:hAnsi="Book Antiqua" w:cs="Arial"/>
          <w:sz w:val="22"/>
        </w:rPr>
        <w:t>”</w:t>
      </w:r>
    </w:p>
    <w:p w:rsidR="003E370A" w:rsidRDefault="008A09C8" w:rsidP="00BF23BB">
      <w:pPr>
        <w:tabs>
          <w:tab w:val="left" w:pos="567"/>
        </w:tabs>
        <w:ind w:left="567" w:hanging="567"/>
        <w:jc w:val="both"/>
        <w:rPr>
          <w:rFonts w:ascii="Book Antiqua" w:hAnsi="Book Antiqua" w:cs="Arial"/>
        </w:rPr>
      </w:pPr>
      <w:r>
        <w:rPr>
          <w:rFonts w:ascii="Book Antiqua" w:hAnsi="Book Antiqua" w:cs="Arial"/>
        </w:rPr>
        <w:t>17</w:t>
      </w:r>
      <w:r w:rsidR="004A59DB">
        <w:rPr>
          <w:rFonts w:ascii="Book Antiqua" w:hAnsi="Book Antiqua" w:cs="Arial"/>
        </w:rPr>
        <w:t>.</w:t>
      </w:r>
      <w:r w:rsidR="004A59DB">
        <w:rPr>
          <w:rFonts w:ascii="Book Antiqua" w:hAnsi="Book Antiqua" w:cs="Arial"/>
        </w:rPr>
        <w:tab/>
        <w:t>As is pointed</w:t>
      </w:r>
      <w:r w:rsidR="00C3217D">
        <w:rPr>
          <w:rFonts w:ascii="Book Antiqua" w:hAnsi="Book Antiqua" w:cs="Arial"/>
        </w:rPr>
        <w:t xml:space="preserve"> by </w:t>
      </w:r>
      <w:proofErr w:type="gramStart"/>
      <w:r w:rsidR="00C3217D">
        <w:rPr>
          <w:rFonts w:ascii="Book Antiqua" w:hAnsi="Book Antiqua" w:cs="Arial"/>
        </w:rPr>
        <w:t xml:space="preserve">counsel </w:t>
      </w:r>
      <w:r w:rsidR="004A59DB">
        <w:rPr>
          <w:rFonts w:ascii="Book Antiqua" w:hAnsi="Book Antiqua" w:cs="Arial"/>
        </w:rPr>
        <w:t xml:space="preserve"> in</w:t>
      </w:r>
      <w:proofErr w:type="gramEnd"/>
      <w:r w:rsidR="004A59DB">
        <w:rPr>
          <w:rFonts w:ascii="Book Antiqua" w:hAnsi="Book Antiqua" w:cs="Arial"/>
        </w:rPr>
        <w:t xml:space="preserve"> relation to </w:t>
      </w:r>
      <w:r w:rsidR="00482CBF">
        <w:rPr>
          <w:rFonts w:ascii="Book Antiqua" w:hAnsi="Book Antiqua" w:cs="Arial"/>
        </w:rPr>
        <w:t xml:space="preserve"> </w:t>
      </w:r>
      <w:r w:rsidR="00C3217D">
        <w:rPr>
          <w:rFonts w:ascii="Book Antiqua" w:hAnsi="Book Antiqua" w:cs="Arial"/>
        </w:rPr>
        <w:t xml:space="preserve">the </w:t>
      </w:r>
      <w:r w:rsidR="00482CBF">
        <w:rPr>
          <w:rFonts w:ascii="Book Antiqua" w:hAnsi="Book Antiqua" w:cs="Arial"/>
        </w:rPr>
        <w:t>question</w:t>
      </w:r>
      <w:r w:rsidR="00C3217D">
        <w:rPr>
          <w:rFonts w:ascii="Book Antiqua" w:hAnsi="Book Antiqua" w:cs="Arial"/>
        </w:rPr>
        <w:t xml:space="preserve"> of </w:t>
      </w:r>
      <w:r w:rsidR="004A59DB">
        <w:rPr>
          <w:rFonts w:ascii="Book Antiqua" w:hAnsi="Book Antiqua" w:cs="Arial"/>
        </w:rPr>
        <w:t>financial independence</w:t>
      </w:r>
      <w:r w:rsidR="00482CBF">
        <w:rPr>
          <w:rFonts w:ascii="Book Antiqua" w:hAnsi="Book Antiqua" w:cs="Arial"/>
        </w:rPr>
        <w:t xml:space="preserve"> in 117B(3),  </w:t>
      </w:r>
      <w:r w:rsidR="004A59DB">
        <w:rPr>
          <w:rFonts w:ascii="Book Antiqua" w:hAnsi="Book Antiqua" w:cs="Arial"/>
        </w:rPr>
        <w:t xml:space="preserve"> the issue would have been resolved in the appellant’s </w:t>
      </w:r>
      <w:r w:rsidR="00C3217D">
        <w:rPr>
          <w:rFonts w:ascii="Book Antiqua" w:hAnsi="Book Antiqua" w:cs="Arial"/>
        </w:rPr>
        <w:t>favour</w:t>
      </w:r>
      <w:r w:rsidR="004A59DB">
        <w:rPr>
          <w:rFonts w:ascii="Book Antiqua" w:hAnsi="Book Antiqua" w:cs="Arial"/>
        </w:rPr>
        <w:t xml:space="preserve"> prior to the grant of an entry clearance.</w:t>
      </w:r>
      <w:r w:rsidR="001548CF">
        <w:rPr>
          <w:rFonts w:ascii="Book Antiqua" w:hAnsi="Book Antiqua" w:cs="Arial"/>
        </w:rPr>
        <w:t xml:space="preserve"> On the point that the judge “conflated” issues the judge made clear findings in paragraphs 53 to 58 of his decision</w:t>
      </w:r>
      <w:r w:rsidR="005B274C">
        <w:rPr>
          <w:rFonts w:ascii="Book Antiqua" w:hAnsi="Book Antiqua" w:cs="Arial"/>
        </w:rPr>
        <w:t xml:space="preserve">. Ms Everett </w:t>
      </w:r>
      <w:r w:rsidR="0090191C">
        <w:rPr>
          <w:rFonts w:ascii="Book Antiqua" w:hAnsi="Book Antiqua" w:cs="Arial"/>
        </w:rPr>
        <w:t>pointed to the opening words of paragraph 57 “That being so, the public interest in the Appellant’s removal is not made out. ” indicating a reference simply to the preceding paragraph but I accept counsel’s point that  paragraphs 54ff need to be read as a whole. It is quite clear that the judge had in mind and gave appropriate weight to the appellant’s behaviour – after all he gone into the question of deception with great care in 13 pages of a 15 page determination</w:t>
      </w:r>
      <w:r w:rsidR="003E370A">
        <w:rPr>
          <w:rFonts w:ascii="Book Antiqua" w:hAnsi="Book Antiqua" w:cs="Arial"/>
        </w:rPr>
        <w:t xml:space="preserve"> and indeed makes express reference to his findings against the appellant in paragraph 57.</w:t>
      </w:r>
      <w:r w:rsidR="0090191C">
        <w:rPr>
          <w:rFonts w:ascii="Book Antiqua" w:hAnsi="Book Antiqua" w:cs="Arial"/>
        </w:rPr>
        <w:t xml:space="preserve"> </w:t>
      </w:r>
      <w:r w:rsidR="005B274C">
        <w:rPr>
          <w:rFonts w:ascii="Book Antiqua" w:hAnsi="Book Antiqua" w:cs="Arial"/>
        </w:rPr>
        <w:t xml:space="preserve">I do not find that the judge neglected to take into </w:t>
      </w:r>
      <w:r w:rsidR="0091384E">
        <w:rPr>
          <w:rFonts w:ascii="Book Antiqua" w:hAnsi="Book Antiqua" w:cs="Arial"/>
        </w:rPr>
        <w:t>account the</w:t>
      </w:r>
      <w:r w:rsidR="005B274C">
        <w:rPr>
          <w:rFonts w:ascii="Book Antiqua" w:hAnsi="Book Antiqua" w:cs="Arial"/>
        </w:rPr>
        <w:t xml:space="preserve"> public interest when considering the question of reasonableness</w:t>
      </w:r>
      <w:r w:rsidR="00043C95">
        <w:rPr>
          <w:rFonts w:ascii="Book Antiqua" w:hAnsi="Book Antiqua" w:cs="Arial"/>
        </w:rPr>
        <w:t xml:space="preserve"> - in</w:t>
      </w:r>
      <w:r w:rsidR="00043C95" w:rsidRPr="00043C95">
        <w:rPr>
          <w:rFonts w:ascii="Book Antiqua" w:hAnsi="Book Antiqua" w:cs="Arial"/>
        </w:rPr>
        <w:t xml:space="preserve"> </w:t>
      </w:r>
      <w:r w:rsidR="00043C95">
        <w:rPr>
          <w:rFonts w:ascii="Book Antiqua" w:hAnsi="Book Antiqua" w:cs="Arial"/>
        </w:rPr>
        <w:t xml:space="preserve">accordance with </w:t>
      </w:r>
      <w:r w:rsidR="00043C95" w:rsidRPr="0091384E">
        <w:rPr>
          <w:rFonts w:ascii="Book Antiqua" w:hAnsi="Book Antiqua" w:cs="Arial"/>
          <w:u w:val="single"/>
        </w:rPr>
        <w:t>MA (Pakistan)</w:t>
      </w:r>
      <w:r w:rsidR="00043C95" w:rsidRPr="00043C95">
        <w:rPr>
          <w:rFonts w:ascii="Book Antiqua" w:hAnsi="Book Antiqua" w:cs="Arial"/>
        </w:rPr>
        <w:t xml:space="preserve"> -</w:t>
      </w:r>
      <w:r w:rsidR="005B274C">
        <w:rPr>
          <w:rFonts w:ascii="Book Antiqua" w:hAnsi="Book Antiqua" w:cs="Arial"/>
        </w:rPr>
        <w:t xml:space="preserve"> when these paragraphs are read as a whole</w:t>
      </w:r>
      <w:r w:rsidR="003E370A">
        <w:rPr>
          <w:rFonts w:ascii="Book Antiqua" w:hAnsi="Book Antiqua" w:cs="Arial"/>
        </w:rPr>
        <w:t>.</w:t>
      </w:r>
      <w:r w:rsidR="005B274C">
        <w:rPr>
          <w:rFonts w:ascii="Book Antiqua" w:hAnsi="Book Antiqua" w:cs="Arial"/>
        </w:rPr>
        <w:t xml:space="preserve"> </w:t>
      </w:r>
      <w:r w:rsidR="001548CF">
        <w:rPr>
          <w:rFonts w:ascii="Book Antiqua" w:hAnsi="Book Antiqua" w:cs="Arial"/>
        </w:rPr>
        <w:t xml:space="preserve"> </w:t>
      </w:r>
      <w:bookmarkStart w:id="4" w:name="para24"/>
      <w:r w:rsidR="005E5A79">
        <w:rPr>
          <w:rFonts w:ascii="Book Antiqua" w:hAnsi="Book Antiqua" w:cs="Arial"/>
        </w:rPr>
        <w:t xml:space="preserve">To adopt the words of </w:t>
      </w:r>
      <w:r w:rsidR="005E5A79" w:rsidRPr="003E370A">
        <w:rPr>
          <w:rFonts w:ascii="Book Antiqua" w:hAnsi="Book Antiqua" w:cs="Arial"/>
        </w:rPr>
        <w:t>Keene LJ</w:t>
      </w:r>
      <w:r w:rsidR="005E5A79">
        <w:rPr>
          <w:rFonts w:ascii="Book Antiqua" w:hAnsi="Book Antiqua" w:cs="Arial"/>
        </w:rPr>
        <w:t xml:space="preserve"> in </w:t>
      </w:r>
      <w:r w:rsidR="005E5A79" w:rsidRPr="0091384E">
        <w:rPr>
          <w:rFonts w:ascii="Book Antiqua" w:hAnsi="Book Antiqua" w:cs="Arial"/>
          <w:u w:val="single"/>
        </w:rPr>
        <w:t xml:space="preserve">Y v Secretary of State [2006] EWCA Civ 1223 </w:t>
      </w:r>
      <w:r w:rsidR="005E5A79">
        <w:rPr>
          <w:rFonts w:ascii="Book Antiqua" w:hAnsi="Book Antiqua" w:cs="Arial"/>
        </w:rPr>
        <w:t>at para 24</w:t>
      </w:r>
      <w:r w:rsidR="0091384E">
        <w:rPr>
          <w:rFonts w:ascii="Book Antiqua" w:hAnsi="Book Antiqua" w:cs="Arial"/>
        </w:rPr>
        <w:t>:</w:t>
      </w:r>
      <w:r w:rsidR="005E5A79">
        <w:rPr>
          <w:rFonts w:ascii="Book Antiqua" w:hAnsi="Book Antiqua" w:cs="Arial"/>
        </w:rPr>
        <w:t xml:space="preserve"> </w:t>
      </w:r>
      <w:r w:rsidR="00043C95">
        <w:rPr>
          <w:rFonts w:ascii="Book Antiqua" w:hAnsi="Book Antiqua" w:cs="Arial"/>
        </w:rPr>
        <w:t>“</w:t>
      </w:r>
      <w:r w:rsidR="00043C95" w:rsidRPr="003E370A">
        <w:rPr>
          <w:rFonts w:ascii="Book Antiqua" w:hAnsi="Book Antiqua" w:cs="Arial"/>
        </w:rPr>
        <w:t>Particular</w:t>
      </w:r>
      <w:r w:rsidR="005E5A79" w:rsidRPr="005E5A79">
        <w:rPr>
          <w:rFonts w:ascii="Book Antiqua" w:hAnsi="Book Antiqua" w:cs="Arial"/>
        </w:rPr>
        <w:t xml:space="preserve"> passages in his decision should not be analysed as though they emanated from a Parliamentary draftsman.</w:t>
      </w:r>
      <w:bookmarkEnd w:id="4"/>
      <w:r w:rsidR="005E5A79">
        <w:rPr>
          <w:rFonts w:ascii="Book Antiqua" w:hAnsi="Book Antiqua" w:cs="Arial"/>
        </w:rPr>
        <w:t>”</w:t>
      </w:r>
    </w:p>
    <w:p w:rsidR="003E370A" w:rsidRDefault="003E370A" w:rsidP="00BF23BB">
      <w:pPr>
        <w:tabs>
          <w:tab w:val="left" w:pos="567"/>
        </w:tabs>
        <w:ind w:left="567" w:hanging="567"/>
        <w:jc w:val="both"/>
        <w:rPr>
          <w:rFonts w:ascii="Book Antiqua" w:hAnsi="Book Antiqua" w:cs="Arial"/>
        </w:rPr>
      </w:pPr>
    </w:p>
    <w:p w:rsidR="004A59DB" w:rsidRDefault="005E5A79" w:rsidP="00435357">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There was discussio</w:t>
      </w:r>
      <w:r w:rsidR="00435357">
        <w:rPr>
          <w:rFonts w:ascii="Book Antiqua" w:hAnsi="Book Antiqua" w:cs="Arial"/>
        </w:rPr>
        <w:t xml:space="preserve">n at the hearing about precisely what the Presenting Officer was to be taken as </w:t>
      </w:r>
      <w:r w:rsidR="005D683C">
        <w:rPr>
          <w:rFonts w:ascii="Book Antiqua" w:hAnsi="Book Antiqua" w:cs="Arial"/>
        </w:rPr>
        <w:t>accepting in</w:t>
      </w:r>
      <w:r w:rsidR="00435357">
        <w:rPr>
          <w:rFonts w:ascii="Book Antiqua" w:hAnsi="Book Antiqua" w:cs="Arial"/>
        </w:rPr>
        <w:t xml:space="preserve"> the f</w:t>
      </w:r>
      <w:r w:rsidR="005D683C">
        <w:rPr>
          <w:rFonts w:ascii="Book Antiqua" w:hAnsi="Book Antiqua" w:cs="Arial"/>
        </w:rPr>
        <w:t xml:space="preserve">inal sentence of paragraph 54. </w:t>
      </w:r>
      <w:r w:rsidR="00435357">
        <w:rPr>
          <w:rFonts w:ascii="Book Antiqua" w:hAnsi="Book Antiqua" w:cs="Arial"/>
        </w:rPr>
        <w:t>It may be that she was saying no more than that it was accepted that it was unreasonable on the guidance for the child to be required to leave. Whatever was intended I do not find that the judge was deflected from reaching a properly reasoned and lawful decision.  W</w:t>
      </w:r>
      <w:r w:rsidR="004A59DB">
        <w:rPr>
          <w:rFonts w:ascii="Book Antiqua" w:hAnsi="Book Antiqua" w:cs="Arial"/>
        </w:rPr>
        <w:t>hile another judge might have given different</w:t>
      </w:r>
      <w:r w:rsidR="00450EFD">
        <w:rPr>
          <w:rFonts w:ascii="Book Antiqua" w:hAnsi="Book Antiqua" w:cs="Arial"/>
        </w:rPr>
        <w:t xml:space="preserve"> emphasis to</w:t>
      </w:r>
      <w:r w:rsidR="004A59DB">
        <w:rPr>
          <w:rFonts w:ascii="Book Antiqua" w:hAnsi="Book Antiqua" w:cs="Arial"/>
        </w:rPr>
        <w:t xml:space="preserve"> different matters it was open to this particular judge to decide as he did.</w:t>
      </w:r>
      <w:r w:rsidR="00435357">
        <w:rPr>
          <w:rFonts w:ascii="Book Antiqua" w:hAnsi="Book Antiqua" w:cs="Arial"/>
        </w:rPr>
        <w:t xml:space="preserve"> There is no material error of law.</w:t>
      </w:r>
    </w:p>
    <w:p w:rsidR="00DC6C4D" w:rsidRDefault="00DC6C4D" w:rsidP="00BF23BB">
      <w:pPr>
        <w:tabs>
          <w:tab w:val="left" w:pos="567"/>
        </w:tabs>
        <w:ind w:left="567" w:hanging="567"/>
        <w:jc w:val="both"/>
        <w:rPr>
          <w:rFonts w:ascii="Book Antiqua" w:hAnsi="Book Antiqua" w:cs="Arial"/>
        </w:rPr>
      </w:pPr>
    </w:p>
    <w:p w:rsidR="00DC6C4D" w:rsidRDefault="008A09C8" w:rsidP="00BF23BB">
      <w:pPr>
        <w:tabs>
          <w:tab w:val="left" w:pos="567"/>
        </w:tabs>
        <w:ind w:left="567" w:hanging="567"/>
        <w:jc w:val="both"/>
        <w:rPr>
          <w:rFonts w:ascii="Book Antiqua" w:hAnsi="Book Antiqua" w:cs="Arial"/>
        </w:rPr>
      </w:pPr>
      <w:r>
        <w:rPr>
          <w:rFonts w:ascii="Book Antiqua" w:hAnsi="Book Antiqua" w:cs="Arial"/>
        </w:rPr>
        <w:t>19</w:t>
      </w:r>
      <w:r w:rsidR="00DC6C4D">
        <w:rPr>
          <w:rFonts w:ascii="Book Antiqua" w:hAnsi="Book Antiqua" w:cs="Arial"/>
        </w:rPr>
        <w:t>.</w:t>
      </w:r>
      <w:r w:rsidR="00DC6C4D">
        <w:rPr>
          <w:rFonts w:ascii="Book Antiqua" w:hAnsi="Book Antiqua" w:cs="Arial"/>
        </w:rPr>
        <w:tab/>
        <w:t xml:space="preserve">Accordingly this appeal is dismissed and the decision of the First-tier Judge is confirmed.  </w:t>
      </w:r>
    </w:p>
    <w:p w:rsidR="00DC6C4D" w:rsidRDefault="00DC6C4D" w:rsidP="00BF23BB">
      <w:pPr>
        <w:tabs>
          <w:tab w:val="left" w:pos="567"/>
        </w:tabs>
        <w:ind w:left="567" w:hanging="567"/>
        <w:jc w:val="both"/>
        <w:rPr>
          <w:rFonts w:ascii="Book Antiqua" w:hAnsi="Book Antiqua" w:cs="Arial"/>
        </w:rPr>
      </w:pPr>
    </w:p>
    <w:p w:rsidR="00DC6C4D" w:rsidRDefault="008A09C8" w:rsidP="00BF23BB">
      <w:pPr>
        <w:tabs>
          <w:tab w:val="left" w:pos="567"/>
        </w:tabs>
        <w:ind w:left="567" w:hanging="567"/>
        <w:jc w:val="both"/>
        <w:rPr>
          <w:rFonts w:ascii="Book Antiqua" w:hAnsi="Book Antiqua" w:cs="Arial"/>
        </w:rPr>
      </w:pPr>
      <w:r>
        <w:rPr>
          <w:rFonts w:ascii="Book Antiqua" w:hAnsi="Book Antiqua" w:cs="Arial"/>
        </w:rPr>
        <w:t>20</w:t>
      </w:r>
      <w:r w:rsidR="00DC6C4D">
        <w:rPr>
          <w:rFonts w:ascii="Book Antiqua" w:hAnsi="Book Antiqua" w:cs="Arial"/>
        </w:rPr>
        <w:t>.</w:t>
      </w:r>
      <w:r w:rsidR="00DC6C4D">
        <w:rPr>
          <w:rFonts w:ascii="Book Antiqua" w:hAnsi="Book Antiqua" w:cs="Arial"/>
        </w:rPr>
        <w:tab/>
        <w:t>The First-tier Judge made no anonymity order and I make none.</w:t>
      </w:r>
    </w:p>
    <w:p w:rsidR="004B71FD" w:rsidRDefault="004B71FD" w:rsidP="00BF23BB">
      <w:pPr>
        <w:tabs>
          <w:tab w:val="left" w:pos="567"/>
        </w:tabs>
        <w:ind w:left="567" w:hanging="567"/>
        <w:jc w:val="both"/>
        <w:rPr>
          <w:rFonts w:ascii="Book Antiqua" w:hAnsi="Book Antiqua" w:cs="Arial"/>
        </w:rPr>
      </w:pPr>
    </w:p>
    <w:p w:rsidR="00DD4004" w:rsidRDefault="00DD4004" w:rsidP="004B71FD">
      <w:pPr>
        <w:jc w:val="both"/>
        <w:rPr>
          <w:rFonts w:ascii="Book Antiqua" w:hAnsi="Book Antiqua" w:cs="Arial"/>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4B71FD" w:rsidRDefault="0071046B" w:rsidP="004B71FD">
      <w:pPr>
        <w:jc w:val="both"/>
        <w:rPr>
          <w:rFonts w:ascii="Book Antiqua" w:hAnsi="Book Antiqua" w:cs="Arial"/>
        </w:rPr>
      </w:pPr>
      <w:r>
        <w:rPr>
          <w:rFonts w:ascii="Book Antiqua" w:hAnsi="Book Antiqua" w:cs="Arial"/>
        </w:rPr>
        <w:t>The First-tier Judge made no fee award and I make none.</w:t>
      </w:r>
    </w:p>
    <w:p w:rsidR="004B71FD" w:rsidRDefault="004B71FD" w:rsidP="004B71FD">
      <w:pPr>
        <w:jc w:val="both"/>
        <w:rPr>
          <w:rFonts w:ascii="Book Antiqua" w:hAnsi="Book Antiqua" w:cs="Arial"/>
        </w:rPr>
      </w:pPr>
    </w:p>
    <w:p w:rsidR="0071046B" w:rsidRDefault="0071046B" w:rsidP="004B71FD">
      <w:pPr>
        <w:jc w:val="both"/>
        <w:rPr>
          <w:rFonts w:ascii="Book Antiqua" w:hAnsi="Book Antiqua" w:cs="Arial"/>
        </w:rPr>
      </w:pPr>
    </w:p>
    <w:p w:rsidR="0071046B" w:rsidRDefault="0071046B"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5D683C">
        <w:rPr>
          <w:rFonts w:ascii="Book Antiqua" w:hAnsi="Book Antiqua" w:cs="Arial"/>
        </w:rPr>
        <w:t xml:space="preserve"> 14 August 2018</w:t>
      </w:r>
    </w:p>
    <w:p w:rsidR="004B71FD" w:rsidRPr="001C5703" w:rsidRDefault="004B71FD" w:rsidP="004B71FD">
      <w:pPr>
        <w:tabs>
          <w:tab w:val="left" w:pos="2520"/>
        </w:tabs>
        <w:ind w:left="540" w:hanging="540"/>
        <w:jc w:val="both"/>
        <w:rPr>
          <w:rFonts w:ascii="Book Antiqua" w:hAnsi="Book Antiqua" w:cs="Arial"/>
        </w:rPr>
      </w:pPr>
    </w:p>
    <w:p w:rsidR="0010335F" w:rsidRPr="001C5703" w:rsidRDefault="00450EFD" w:rsidP="009A0C11">
      <w:pPr>
        <w:tabs>
          <w:tab w:val="left" w:pos="2520"/>
        </w:tabs>
        <w:ind w:left="540" w:hanging="540"/>
        <w:jc w:val="both"/>
        <w:rPr>
          <w:rFonts w:ascii="Book Antiqua" w:hAnsi="Book Antiqua" w:cs="Arial"/>
          <w:color w:val="000000"/>
        </w:rPr>
      </w:pPr>
      <w:r>
        <w:rPr>
          <w:rFonts w:ascii="Book Antiqua" w:hAnsi="Book Antiqua" w:cs="Arial"/>
          <w:color w:val="000000"/>
        </w:rPr>
        <w:t xml:space="preserve">G Warr, Judge of the Upper Tribunal </w:t>
      </w:r>
    </w:p>
    <w:sectPr w:rsidR="0010335F"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AD0" w:rsidRDefault="005C0AD0">
      <w:r>
        <w:separator/>
      </w:r>
    </w:p>
  </w:endnote>
  <w:endnote w:type="continuationSeparator" w:id="0">
    <w:p w:rsidR="005C0AD0" w:rsidRDefault="005C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DC0D71">
      <w:rPr>
        <w:rStyle w:val="PageNumber"/>
        <w:rFonts w:ascii="Book Antiqua" w:hAnsi="Book Antiqua" w:cs="Arial"/>
        <w:noProof/>
        <w:sz w:val="16"/>
        <w:szCs w:val="16"/>
      </w:rPr>
      <w:t>7</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AD0" w:rsidRDefault="005C0AD0">
      <w:r>
        <w:separator/>
      </w:r>
    </w:p>
  </w:footnote>
  <w:footnote w:type="continuationSeparator" w:id="0">
    <w:p w:rsidR="005C0AD0" w:rsidRDefault="005C0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265ADD">
      <w:rPr>
        <w:rFonts w:ascii="Book Antiqua" w:hAnsi="Book Antiqua" w:cs="Arial"/>
        <w:sz w:val="16"/>
        <w:szCs w:val="16"/>
      </w:rPr>
      <w:t>HU/05</w:t>
    </w:r>
    <w:r w:rsidR="00CE57C0">
      <w:rPr>
        <w:rFonts w:ascii="Book Antiqua" w:hAnsi="Book Antiqua" w:cs="Arial"/>
        <w:sz w:val="16"/>
        <w:szCs w:val="16"/>
      </w:rPr>
      <w:t>497/2017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A772C"/>
    <w:multiLevelType w:val="multilevel"/>
    <w:tmpl w:val="8E6A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5215E"/>
    <w:multiLevelType w:val="multilevel"/>
    <w:tmpl w:val="8E6A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62"/>
    </w:lvlOverride>
  </w:num>
  <w:num w:numId="2">
    <w:abstractNumId w:val="1"/>
    <w:lvlOverride w:ilvl="0">
      <w:startOverride w:val="63"/>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D0"/>
    <w:rsid w:val="00000621"/>
    <w:rsid w:val="000036C2"/>
    <w:rsid w:val="00025437"/>
    <w:rsid w:val="00032E61"/>
    <w:rsid w:val="00033D3D"/>
    <w:rsid w:val="00043C95"/>
    <w:rsid w:val="00062DAE"/>
    <w:rsid w:val="00062F02"/>
    <w:rsid w:val="00071A7E"/>
    <w:rsid w:val="000746C0"/>
    <w:rsid w:val="00074D1D"/>
    <w:rsid w:val="00092580"/>
    <w:rsid w:val="00093D4D"/>
    <w:rsid w:val="000C40AB"/>
    <w:rsid w:val="000D5D94"/>
    <w:rsid w:val="000F1A0E"/>
    <w:rsid w:val="000F2591"/>
    <w:rsid w:val="000F30BD"/>
    <w:rsid w:val="0010335F"/>
    <w:rsid w:val="001165A7"/>
    <w:rsid w:val="001356DF"/>
    <w:rsid w:val="001548CF"/>
    <w:rsid w:val="00167D3A"/>
    <w:rsid w:val="001731EE"/>
    <w:rsid w:val="00174A01"/>
    <w:rsid w:val="001970A9"/>
    <w:rsid w:val="001A3082"/>
    <w:rsid w:val="001B186A"/>
    <w:rsid w:val="001B2F75"/>
    <w:rsid w:val="001C5703"/>
    <w:rsid w:val="001D7BF5"/>
    <w:rsid w:val="001F2716"/>
    <w:rsid w:val="00203FD5"/>
    <w:rsid w:val="00207617"/>
    <w:rsid w:val="0023134B"/>
    <w:rsid w:val="002345B2"/>
    <w:rsid w:val="00265ADD"/>
    <w:rsid w:val="00283659"/>
    <w:rsid w:val="00284A9E"/>
    <w:rsid w:val="002B014B"/>
    <w:rsid w:val="002C576E"/>
    <w:rsid w:val="002C6BD4"/>
    <w:rsid w:val="002D68BF"/>
    <w:rsid w:val="002F017D"/>
    <w:rsid w:val="002F6B98"/>
    <w:rsid w:val="00333691"/>
    <w:rsid w:val="00336CBF"/>
    <w:rsid w:val="00343FE3"/>
    <w:rsid w:val="003458D6"/>
    <w:rsid w:val="003543A1"/>
    <w:rsid w:val="003546C8"/>
    <w:rsid w:val="0037323F"/>
    <w:rsid w:val="003824D5"/>
    <w:rsid w:val="003A7CF2"/>
    <w:rsid w:val="003C5CE5"/>
    <w:rsid w:val="003E267B"/>
    <w:rsid w:val="003E370A"/>
    <w:rsid w:val="003E7CD1"/>
    <w:rsid w:val="003F5CCC"/>
    <w:rsid w:val="00402B9E"/>
    <w:rsid w:val="004249CB"/>
    <w:rsid w:val="00435357"/>
    <w:rsid w:val="00436DEB"/>
    <w:rsid w:val="0044127D"/>
    <w:rsid w:val="004448DB"/>
    <w:rsid w:val="00446C9A"/>
    <w:rsid w:val="00450EFD"/>
    <w:rsid w:val="00452F2B"/>
    <w:rsid w:val="00477193"/>
    <w:rsid w:val="00482CBF"/>
    <w:rsid w:val="004A1848"/>
    <w:rsid w:val="004A2FFA"/>
    <w:rsid w:val="004A3D5F"/>
    <w:rsid w:val="004A59DB"/>
    <w:rsid w:val="004A6F4A"/>
    <w:rsid w:val="004B71FD"/>
    <w:rsid w:val="004D2CC3"/>
    <w:rsid w:val="004E4717"/>
    <w:rsid w:val="00500437"/>
    <w:rsid w:val="00507FEC"/>
    <w:rsid w:val="00510F0E"/>
    <w:rsid w:val="0051462C"/>
    <w:rsid w:val="00520345"/>
    <w:rsid w:val="0052070D"/>
    <w:rsid w:val="00524A64"/>
    <w:rsid w:val="005377BE"/>
    <w:rsid w:val="005479E1"/>
    <w:rsid w:val="00552F12"/>
    <w:rsid w:val="00553E0A"/>
    <w:rsid w:val="005570FD"/>
    <w:rsid w:val="005575EA"/>
    <w:rsid w:val="00567DD0"/>
    <w:rsid w:val="0057790C"/>
    <w:rsid w:val="00593795"/>
    <w:rsid w:val="005A75FF"/>
    <w:rsid w:val="005B1C60"/>
    <w:rsid w:val="005B274C"/>
    <w:rsid w:val="005B5848"/>
    <w:rsid w:val="005C0AD0"/>
    <w:rsid w:val="005D10AB"/>
    <w:rsid w:val="005D683C"/>
    <w:rsid w:val="005E5A79"/>
    <w:rsid w:val="005F5DE1"/>
    <w:rsid w:val="00601D8F"/>
    <w:rsid w:val="00653E97"/>
    <w:rsid w:val="00676C1C"/>
    <w:rsid w:val="00684A74"/>
    <w:rsid w:val="00690B8A"/>
    <w:rsid w:val="00692148"/>
    <w:rsid w:val="006D4B0B"/>
    <w:rsid w:val="006F2CF1"/>
    <w:rsid w:val="006F3DC0"/>
    <w:rsid w:val="007038ED"/>
    <w:rsid w:val="00703BC3"/>
    <w:rsid w:val="00704B61"/>
    <w:rsid w:val="0071046B"/>
    <w:rsid w:val="0071607B"/>
    <w:rsid w:val="0072161D"/>
    <w:rsid w:val="007552A9"/>
    <w:rsid w:val="0075609A"/>
    <w:rsid w:val="00761858"/>
    <w:rsid w:val="00767D59"/>
    <w:rsid w:val="00776E97"/>
    <w:rsid w:val="00780F86"/>
    <w:rsid w:val="00786821"/>
    <w:rsid w:val="007912AD"/>
    <w:rsid w:val="00791995"/>
    <w:rsid w:val="007A3011"/>
    <w:rsid w:val="007B0824"/>
    <w:rsid w:val="007B5D3C"/>
    <w:rsid w:val="007C05DE"/>
    <w:rsid w:val="007C56C3"/>
    <w:rsid w:val="007F546F"/>
    <w:rsid w:val="00821B72"/>
    <w:rsid w:val="00823B3F"/>
    <w:rsid w:val="00823EF2"/>
    <w:rsid w:val="00825DDF"/>
    <w:rsid w:val="008303B8"/>
    <w:rsid w:val="00833DCE"/>
    <w:rsid w:val="008422E0"/>
    <w:rsid w:val="00871D34"/>
    <w:rsid w:val="008A09C8"/>
    <w:rsid w:val="008B0BE6"/>
    <w:rsid w:val="008B270C"/>
    <w:rsid w:val="008B399E"/>
    <w:rsid w:val="008B5078"/>
    <w:rsid w:val="008C3D3D"/>
    <w:rsid w:val="008D4131"/>
    <w:rsid w:val="008F1932"/>
    <w:rsid w:val="008F681F"/>
    <w:rsid w:val="0090191C"/>
    <w:rsid w:val="00904924"/>
    <w:rsid w:val="0091384E"/>
    <w:rsid w:val="00921062"/>
    <w:rsid w:val="009405A9"/>
    <w:rsid w:val="00954FFA"/>
    <w:rsid w:val="009722BC"/>
    <w:rsid w:val="009727A3"/>
    <w:rsid w:val="00980E2C"/>
    <w:rsid w:val="00987774"/>
    <w:rsid w:val="009A0C11"/>
    <w:rsid w:val="009A11E8"/>
    <w:rsid w:val="009F5220"/>
    <w:rsid w:val="00A05648"/>
    <w:rsid w:val="00A10174"/>
    <w:rsid w:val="00A15234"/>
    <w:rsid w:val="00A201AB"/>
    <w:rsid w:val="00A31C8B"/>
    <w:rsid w:val="00A40996"/>
    <w:rsid w:val="00A509FA"/>
    <w:rsid w:val="00A57B3D"/>
    <w:rsid w:val="00A72793"/>
    <w:rsid w:val="00A845DC"/>
    <w:rsid w:val="00A90A85"/>
    <w:rsid w:val="00AB384C"/>
    <w:rsid w:val="00AB50DD"/>
    <w:rsid w:val="00AE5ABF"/>
    <w:rsid w:val="00AE7219"/>
    <w:rsid w:val="00B26AA2"/>
    <w:rsid w:val="00B31D78"/>
    <w:rsid w:val="00B3524D"/>
    <w:rsid w:val="00B40F69"/>
    <w:rsid w:val="00B46616"/>
    <w:rsid w:val="00B56B2E"/>
    <w:rsid w:val="00B7040A"/>
    <w:rsid w:val="00B81793"/>
    <w:rsid w:val="00B83391"/>
    <w:rsid w:val="00B95326"/>
    <w:rsid w:val="00BA3A97"/>
    <w:rsid w:val="00BD4196"/>
    <w:rsid w:val="00BF22CA"/>
    <w:rsid w:val="00BF23BB"/>
    <w:rsid w:val="00C26032"/>
    <w:rsid w:val="00C3217D"/>
    <w:rsid w:val="00C345E1"/>
    <w:rsid w:val="00C43BFD"/>
    <w:rsid w:val="00C746F7"/>
    <w:rsid w:val="00C833C5"/>
    <w:rsid w:val="00C91DD2"/>
    <w:rsid w:val="00CB23C3"/>
    <w:rsid w:val="00CB6E35"/>
    <w:rsid w:val="00CE1A46"/>
    <w:rsid w:val="00CE57C0"/>
    <w:rsid w:val="00D12953"/>
    <w:rsid w:val="00D20757"/>
    <w:rsid w:val="00D22636"/>
    <w:rsid w:val="00D40FD9"/>
    <w:rsid w:val="00D53769"/>
    <w:rsid w:val="00D64505"/>
    <w:rsid w:val="00D80E00"/>
    <w:rsid w:val="00D85C13"/>
    <w:rsid w:val="00D9111A"/>
    <w:rsid w:val="00D91BE3"/>
    <w:rsid w:val="00D94AFC"/>
    <w:rsid w:val="00DB70AE"/>
    <w:rsid w:val="00DC0D71"/>
    <w:rsid w:val="00DC6C4D"/>
    <w:rsid w:val="00DD4004"/>
    <w:rsid w:val="00DD5071"/>
    <w:rsid w:val="00DD5C39"/>
    <w:rsid w:val="00DE0F12"/>
    <w:rsid w:val="00DE7DB7"/>
    <w:rsid w:val="00E00A0A"/>
    <w:rsid w:val="00E066DE"/>
    <w:rsid w:val="00E07288"/>
    <w:rsid w:val="00E07F57"/>
    <w:rsid w:val="00E213E4"/>
    <w:rsid w:val="00E30683"/>
    <w:rsid w:val="00E31524"/>
    <w:rsid w:val="00E33855"/>
    <w:rsid w:val="00E453D8"/>
    <w:rsid w:val="00E50BCE"/>
    <w:rsid w:val="00E574BF"/>
    <w:rsid w:val="00E61292"/>
    <w:rsid w:val="00E77C4D"/>
    <w:rsid w:val="00E81D01"/>
    <w:rsid w:val="00EB5FC1"/>
    <w:rsid w:val="00EE45D8"/>
    <w:rsid w:val="00EE64E8"/>
    <w:rsid w:val="00F2036F"/>
    <w:rsid w:val="00F22EDA"/>
    <w:rsid w:val="00F54EC9"/>
    <w:rsid w:val="00F63C51"/>
    <w:rsid w:val="00FA272E"/>
    <w:rsid w:val="00FB410B"/>
    <w:rsid w:val="00FB6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8C02F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83270">
      <w:bodyDiv w:val="1"/>
      <w:marLeft w:val="0"/>
      <w:marRight w:val="0"/>
      <w:marTop w:val="0"/>
      <w:marBottom w:val="0"/>
      <w:divBdr>
        <w:top w:val="none" w:sz="0" w:space="0" w:color="auto"/>
        <w:left w:val="none" w:sz="0" w:space="0" w:color="auto"/>
        <w:bottom w:val="none" w:sz="0" w:space="0" w:color="auto"/>
        <w:right w:val="none" w:sz="0" w:space="0" w:color="auto"/>
      </w:divBdr>
    </w:div>
    <w:div w:id="152621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3428</Words>
  <Characters>16597</Characters>
  <Application>Microsoft Office Word</Application>
  <DocSecurity>0</DocSecurity>
  <Lines>138</Lines>
  <Paragraphs>39</Paragraphs>
  <ScaleCrop>false</ScaleCrop>
  <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2018-09-05T12:05:00Z</dcterms:created>
  <dcterms:modified xsi:type="dcterms:W3CDTF">2018-09-05T12:05:00Z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