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C90068" w:rsidP="00C321B5">
      <w:pPr>
        <w:jc w:val="center"/>
        <w:rPr>
          <w:rFonts w:ascii="Book Antiqua" w:hAnsi="Book Antiqua" w:cs="Arial"/>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9B2D09">
        <w:rPr>
          <w:rFonts w:ascii="Book Antiqua" w:hAnsi="Book Antiqua" w:cs="Arial"/>
          <w:b/>
        </w:rPr>
        <w:t>Tribunal</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950FF2">
        <w:rPr>
          <w:rFonts w:ascii="Book Antiqua" w:hAnsi="Book Antiqua" w:cs="Arial"/>
          <w:b/>
        </w:rPr>
        <w:t xml:space="preserve">   </w:t>
      </w:r>
      <w:proofErr w:type="gramEnd"/>
      <w:r w:rsidR="00950FF2">
        <w:rPr>
          <w:rFonts w:ascii="Book Antiqua" w:hAnsi="Book Antiqua" w:cs="Arial"/>
          <w:b/>
        </w:rPr>
        <w:t xml:space="preserve">                    </w:t>
      </w:r>
      <w:r w:rsidR="00B3524D" w:rsidRPr="00950FF2">
        <w:rPr>
          <w:rFonts w:ascii="Book Antiqua" w:hAnsi="Book Antiqua" w:cs="Arial"/>
          <w:b/>
        </w:rPr>
        <w:t>Appeal Number</w:t>
      </w:r>
      <w:r w:rsidR="00D53769" w:rsidRPr="00950FF2">
        <w:rPr>
          <w:rFonts w:ascii="Book Antiqua" w:hAnsi="Book Antiqua" w:cs="Arial"/>
          <w:b/>
        </w:rPr>
        <w:t>:</w:t>
      </w:r>
      <w:r w:rsidR="00B3524D" w:rsidRPr="00950FF2">
        <w:rPr>
          <w:rFonts w:ascii="Book Antiqua" w:hAnsi="Book Antiqua" w:cs="Arial"/>
          <w:b/>
        </w:rPr>
        <w:t xml:space="preserve"> </w:t>
      </w:r>
      <w:r w:rsidR="00AC31D7" w:rsidRPr="00950FF2">
        <w:rPr>
          <w:rFonts w:ascii="Book Antiqua" w:hAnsi="Book Antiqua" w:cs="Arial"/>
          <w:b/>
          <w:caps/>
        </w:rPr>
        <w:t>HU/05554</w:t>
      </w:r>
      <w:r w:rsidR="00CB4A10" w:rsidRPr="00950FF2">
        <w:rPr>
          <w:rFonts w:ascii="Book Antiqua" w:hAnsi="Book Antiqua" w:cs="Arial"/>
          <w:b/>
          <w:caps/>
        </w:rPr>
        <w:t>/201</w:t>
      </w:r>
      <w:r w:rsidR="00B40B20" w:rsidRPr="00950FF2">
        <w:rPr>
          <w:rFonts w:ascii="Book Antiqua" w:hAnsi="Book Antiqua" w:cs="Arial"/>
          <w:b/>
          <w:caps/>
        </w:rPr>
        <w:t>5</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803"/>
        <w:gridCol w:w="3960"/>
      </w:tblGrid>
      <w:tr w:rsidR="00D22636" w:rsidRPr="00B26BAE" w:rsidTr="00950FF2">
        <w:tc>
          <w:tcPr>
            <w:tcW w:w="5245"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Heard at </w:t>
            </w:r>
            <w:r w:rsidR="00AC31D7">
              <w:rPr>
                <w:rFonts w:ascii="Book Antiqua" w:hAnsi="Book Antiqua" w:cs="Arial"/>
                <w:b/>
              </w:rPr>
              <w:t xml:space="preserve">Birmingham </w:t>
            </w:r>
          </w:p>
        </w:tc>
        <w:tc>
          <w:tcPr>
            <w:tcW w:w="4763" w:type="dxa"/>
            <w:gridSpan w:val="2"/>
            <w:shd w:val="clear" w:color="auto" w:fill="auto"/>
          </w:tcPr>
          <w:p w:rsidR="00D22636" w:rsidRPr="00B26BAE" w:rsidRDefault="00950FF2" w:rsidP="00B26BAE">
            <w:pPr>
              <w:jc w:val="both"/>
              <w:rPr>
                <w:rFonts w:ascii="Book Antiqua" w:hAnsi="Book Antiqua" w:cs="Arial"/>
                <w:b/>
              </w:rPr>
            </w:pPr>
            <w:r>
              <w:rPr>
                <w:rFonts w:ascii="Book Antiqua" w:hAnsi="Book Antiqua" w:cs="Arial"/>
                <w:b/>
              </w:rPr>
              <w:t xml:space="preserve"> </w:t>
            </w:r>
            <w:r w:rsidR="00C77259" w:rsidRPr="00B26BAE">
              <w:rPr>
                <w:rFonts w:ascii="Book Antiqua" w:hAnsi="Book Antiqua" w:cs="Arial"/>
                <w:b/>
              </w:rPr>
              <w:t>Decision &amp; Reasons</w:t>
            </w:r>
            <w:r w:rsidR="00B768CA" w:rsidRPr="00B26BAE">
              <w:rPr>
                <w:rFonts w:ascii="Book Antiqua" w:hAnsi="Book Antiqua" w:cs="Arial"/>
                <w:b/>
              </w:rPr>
              <w:t xml:space="preserve"> Promulgated</w:t>
            </w:r>
            <w:r w:rsidR="008C63D4" w:rsidRPr="00B26BAE">
              <w:rPr>
                <w:rFonts w:ascii="Book Antiqua" w:hAnsi="Book Antiqua" w:cs="Arial"/>
                <w:b/>
              </w:rPr>
              <w:t xml:space="preserve"> </w:t>
            </w:r>
          </w:p>
        </w:tc>
      </w:tr>
      <w:tr w:rsidR="00D22636" w:rsidRPr="00B26BAE" w:rsidTr="00950FF2">
        <w:tc>
          <w:tcPr>
            <w:tcW w:w="5245"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On </w:t>
            </w:r>
            <w:r w:rsidR="00AC31D7">
              <w:rPr>
                <w:rFonts w:ascii="Book Antiqua" w:hAnsi="Book Antiqua" w:cs="Arial"/>
                <w:b/>
              </w:rPr>
              <w:t>19</w:t>
            </w:r>
            <w:r w:rsidR="00AC31D7" w:rsidRPr="00AC31D7">
              <w:rPr>
                <w:rFonts w:ascii="Book Antiqua" w:hAnsi="Book Antiqua" w:cs="Arial"/>
                <w:b/>
                <w:vertAlign w:val="superscript"/>
              </w:rPr>
              <w:t>th</w:t>
            </w:r>
            <w:r w:rsidR="00AC31D7">
              <w:rPr>
                <w:rFonts w:ascii="Book Antiqua" w:hAnsi="Book Antiqua" w:cs="Arial"/>
                <w:b/>
              </w:rPr>
              <w:t xml:space="preserve"> June</w:t>
            </w:r>
            <w:r w:rsidR="000D436D">
              <w:rPr>
                <w:rFonts w:ascii="Book Antiqua" w:hAnsi="Book Antiqua" w:cs="Arial"/>
                <w:b/>
              </w:rPr>
              <w:t xml:space="preserve"> </w:t>
            </w:r>
            <w:r w:rsidR="00CB4A10" w:rsidRPr="00B26BAE">
              <w:rPr>
                <w:rFonts w:ascii="Book Antiqua" w:hAnsi="Book Antiqua" w:cs="Arial"/>
                <w:b/>
              </w:rPr>
              <w:t>201</w:t>
            </w:r>
            <w:r w:rsidR="001233BA">
              <w:rPr>
                <w:rFonts w:ascii="Book Antiqua" w:hAnsi="Book Antiqua" w:cs="Arial"/>
                <w:b/>
              </w:rPr>
              <w:t>8</w:t>
            </w:r>
          </w:p>
        </w:tc>
        <w:tc>
          <w:tcPr>
            <w:tcW w:w="4763" w:type="dxa"/>
            <w:gridSpan w:val="2"/>
            <w:shd w:val="clear" w:color="auto" w:fill="auto"/>
          </w:tcPr>
          <w:p w:rsidR="00D22636" w:rsidRPr="00B26BAE" w:rsidRDefault="00950FF2" w:rsidP="00B26BAE">
            <w:pPr>
              <w:jc w:val="both"/>
              <w:rPr>
                <w:rFonts w:ascii="Book Antiqua" w:hAnsi="Book Antiqua" w:cs="Arial"/>
                <w:b/>
              </w:rPr>
            </w:pPr>
            <w:r>
              <w:rPr>
                <w:rFonts w:ascii="Book Antiqua" w:hAnsi="Book Antiqua" w:cs="Arial"/>
                <w:b/>
              </w:rPr>
              <w:t xml:space="preserve"> </w:t>
            </w:r>
            <w:r w:rsidR="00DB2E7A">
              <w:rPr>
                <w:rFonts w:ascii="Book Antiqua" w:hAnsi="Book Antiqua" w:cs="Arial"/>
                <w:b/>
              </w:rPr>
              <w:t>On 22</w:t>
            </w:r>
            <w:r w:rsidR="00DB2E7A" w:rsidRPr="00DB2E7A">
              <w:rPr>
                <w:rFonts w:ascii="Book Antiqua" w:hAnsi="Book Antiqua" w:cs="Arial"/>
                <w:b/>
                <w:vertAlign w:val="superscript"/>
              </w:rPr>
              <w:t>nd</w:t>
            </w:r>
            <w:r w:rsidR="00DB2E7A">
              <w:rPr>
                <w:rFonts w:ascii="Book Antiqua" w:hAnsi="Book Antiqua" w:cs="Arial"/>
                <w:b/>
              </w:rPr>
              <w:t xml:space="preserve"> June 2018</w:t>
            </w:r>
          </w:p>
        </w:tc>
      </w:tr>
      <w:tr w:rsidR="00D22636" w:rsidRPr="00B26BAE" w:rsidTr="00B26BAE">
        <w:tc>
          <w:tcPr>
            <w:tcW w:w="6048" w:type="dxa"/>
            <w:gridSpan w:val="2"/>
            <w:shd w:val="clear" w:color="auto" w:fill="auto"/>
          </w:tcPr>
          <w:p w:rsidR="00D22636" w:rsidRPr="00B26BAE" w:rsidRDefault="00D22636" w:rsidP="00B26BAE">
            <w:pPr>
              <w:jc w:val="both"/>
              <w:rPr>
                <w:rFonts w:ascii="Book Antiqua" w:hAnsi="Book Antiqua" w:cs="Arial"/>
                <w:b/>
              </w:rPr>
            </w:pPr>
          </w:p>
        </w:tc>
        <w:tc>
          <w:tcPr>
            <w:tcW w:w="3960" w:type="dxa"/>
            <w:shd w:val="clear" w:color="auto" w:fill="auto"/>
          </w:tcPr>
          <w:p w:rsidR="00D22636" w:rsidRPr="00B26BAE" w:rsidRDefault="00D22636" w:rsidP="00B26BA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9B2D09">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AC31D7" w:rsidP="00742A8D">
      <w:pPr>
        <w:jc w:val="center"/>
        <w:rPr>
          <w:rFonts w:ascii="Book Antiqua" w:hAnsi="Book Antiqua" w:cs="Arial"/>
          <w:b/>
          <w:caps/>
        </w:rPr>
      </w:pPr>
      <w:r>
        <w:rPr>
          <w:rFonts w:ascii="Book Antiqua" w:hAnsi="Book Antiqua" w:cs="Arial"/>
          <w:b/>
          <w:caps/>
        </w:rPr>
        <w:t>ZAHID SHAH</w:t>
      </w:r>
    </w:p>
    <w:p w:rsidR="00C77259" w:rsidRPr="00950FF2" w:rsidRDefault="00C77259" w:rsidP="00C77259">
      <w:pPr>
        <w:jc w:val="center"/>
        <w:rPr>
          <w:rFonts w:ascii="Book Antiqua" w:hAnsi="Book Antiqua" w:cs="Arial"/>
          <w:caps/>
        </w:rPr>
      </w:pPr>
      <w:r w:rsidRPr="00950FF2">
        <w:rPr>
          <w:rFonts w:ascii="Book Antiqua" w:hAnsi="Book Antiqua" w:cs="Arial"/>
          <w:caps/>
        </w:rPr>
        <w:t xml:space="preserve">(ANONYMITY DIRECTION </w:t>
      </w:r>
      <w:r w:rsidR="00B40B20" w:rsidRPr="00950FF2">
        <w:rPr>
          <w:rFonts w:ascii="Book Antiqua" w:hAnsi="Book Antiqua" w:cs="Arial"/>
          <w:caps/>
        </w:rPr>
        <w:t xml:space="preserve">not </w:t>
      </w:r>
      <w:r w:rsidR="00CB4A10" w:rsidRPr="00950FF2">
        <w:rPr>
          <w:rFonts w:ascii="Book Antiqua" w:hAnsi="Book Antiqua" w:cs="Arial"/>
          <w:caps/>
        </w:rPr>
        <w:t>made</w:t>
      </w:r>
      <w:r w:rsidRPr="00950FF2">
        <w:rPr>
          <w:rFonts w:ascii="Book Antiqua" w:hAnsi="Book Antiqua" w:cs="Arial"/>
          <w:caps/>
        </w:rPr>
        <w:t>)</w:t>
      </w:r>
    </w:p>
    <w:p w:rsidR="00704B61" w:rsidRPr="00F5664C" w:rsidRDefault="009B2D09" w:rsidP="00704B61">
      <w:pPr>
        <w:jc w:val="right"/>
        <w:rPr>
          <w:rFonts w:ascii="Book Antiqua" w:hAnsi="Book Antiqua" w:cs="Arial"/>
          <w:u w:val="single"/>
        </w:rPr>
      </w:pPr>
      <w:r>
        <w:rPr>
          <w:rFonts w:ascii="Book Antiqua" w:hAnsi="Book Antiqua" w:cs="Arial"/>
          <w:u w:val="single"/>
        </w:rPr>
        <w:t>Appellant</w:t>
      </w:r>
    </w:p>
    <w:p w:rsidR="00950FF2" w:rsidRDefault="00950FF2"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950FF2" w:rsidRPr="00F5664C" w:rsidRDefault="00950FF2"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9B2D09"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1E47A5">
      <w:pPr>
        <w:tabs>
          <w:tab w:val="left" w:pos="2552"/>
        </w:tabs>
        <w:ind w:left="2520" w:hanging="2520"/>
        <w:rPr>
          <w:rFonts w:ascii="Book Antiqua" w:hAnsi="Book Antiqua" w:cs="Arial"/>
        </w:rPr>
      </w:pPr>
      <w:r w:rsidRPr="00F5664C">
        <w:rPr>
          <w:rFonts w:ascii="Book Antiqua" w:hAnsi="Book Antiqua" w:cs="Arial"/>
        </w:rPr>
        <w:t xml:space="preserve">For the </w:t>
      </w:r>
      <w:r w:rsidR="009B2D09">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AC31D7">
        <w:rPr>
          <w:rFonts w:ascii="Book Antiqua" w:hAnsi="Book Antiqua" w:cs="Arial"/>
        </w:rPr>
        <w:t>Mr S. Woodhouse</w:t>
      </w:r>
      <w:r w:rsidR="001233BA">
        <w:rPr>
          <w:rFonts w:ascii="Book Antiqua" w:hAnsi="Book Antiqua" w:cs="Arial"/>
        </w:rPr>
        <w:t>,</w:t>
      </w:r>
      <w:r w:rsidR="001E47A5">
        <w:rPr>
          <w:rFonts w:ascii="Book Antiqua" w:hAnsi="Book Antiqua" w:cs="Arial"/>
        </w:rPr>
        <w:t xml:space="preserve"> instructed on behalf of the </w:t>
      </w:r>
      <w:r w:rsidR="009B2D09">
        <w:rPr>
          <w:rFonts w:ascii="Book Antiqua" w:hAnsi="Book Antiqua" w:cs="Arial"/>
        </w:rPr>
        <w:t>Appellant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9B2D09">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AC31D7">
        <w:rPr>
          <w:rFonts w:ascii="Book Antiqua" w:hAnsi="Book Antiqua" w:cs="Arial"/>
        </w:rPr>
        <w:t xml:space="preserve">Ms H. </w:t>
      </w:r>
      <w:proofErr w:type="spellStart"/>
      <w:r w:rsidR="00AC31D7">
        <w:rPr>
          <w:rFonts w:ascii="Book Antiqua" w:hAnsi="Book Antiqua" w:cs="Arial"/>
        </w:rPr>
        <w:t>Aboni</w:t>
      </w:r>
      <w:proofErr w:type="spellEnd"/>
      <w:r w:rsidR="002B1371">
        <w:rPr>
          <w:rFonts w:ascii="Book Antiqua" w:hAnsi="Book Antiqua" w:cs="Arial"/>
        </w:rPr>
        <w:t>, Senior Presenting Officer</w:t>
      </w:r>
    </w:p>
    <w:p w:rsidR="00DE7DB7" w:rsidRPr="00F5664C" w:rsidRDefault="00DE7DB7" w:rsidP="00402B9E">
      <w:pPr>
        <w:tabs>
          <w:tab w:val="left" w:pos="2520"/>
        </w:tabs>
        <w:jc w:val="center"/>
        <w:rPr>
          <w:rFonts w:ascii="Book Antiqua" w:hAnsi="Book Antiqua" w:cs="Arial"/>
        </w:rPr>
      </w:pPr>
    </w:p>
    <w:p w:rsidR="00DE7DB7" w:rsidRPr="00F5664C" w:rsidRDefault="00C7725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2B1371" w:rsidRDefault="002B1371" w:rsidP="00402B9E">
      <w:pPr>
        <w:tabs>
          <w:tab w:val="left" w:pos="2520"/>
        </w:tabs>
        <w:jc w:val="both"/>
        <w:rPr>
          <w:rFonts w:ascii="Book Antiqua" w:hAnsi="Book Antiqua" w:cs="Arial"/>
        </w:rPr>
      </w:pPr>
    </w:p>
    <w:p w:rsidR="00963953" w:rsidRPr="00963953" w:rsidRDefault="002B1371" w:rsidP="00963953">
      <w:pPr>
        <w:numPr>
          <w:ilvl w:val="0"/>
          <w:numId w:val="3"/>
        </w:numPr>
        <w:spacing w:before="240"/>
        <w:jc w:val="both"/>
        <w:rPr>
          <w:rFonts w:ascii="Book Antiqua" w:hAnsi="Book Antiqua" w:cs="Arial"/>
        </w:rPr>
      </w:pPr>
      <w:r>
        <w:rPr>
          <w:rFonts w:ascii="Book Antiqua" w:hAnsi="Book Antiqua" w:cs="Arial"/>
        </w:rPr>
        <w:t>Th</w:t>
      </w:r>
      <w:r w:rsidR="00723DEB">
        <w:rPr>
          <w:rFonts w:ascii="Book Antiqua" w:hAnsi="Book Antiqua" w:cs="Arial"/>
        </w:rPr>
        <w:t xml:space="preserve">e </w:t>
      </w:r>
      <w:r w:rsidR="009B2D09">
        <w:rPr>
          <w:rFonts w:ascii="Book Antiqua" w:hAnsi="Book Antiqua" w:cs="Arial"/>
        </w:rPr>
        <w:t>Appellant</w:t>
      </w:r>
      <w:r w:rsidR="00AC31D7">
        <w:rPr>
          <w:rFonts w:ascii="Book Antiqua" w:hAnsi="Book Antiqua" w:cs="Arial"/>
        </w:rPr>
        <w:t xml:space="preserve"> is a citizen of Pakistan</w:t>
      </w:r>
      <w:r>
        <w:rPr>
          <w:rFonts w:ascii="Book Antiqua" w:hAnsi="Book Antiqua" w:cs="Arial"/>
        </w:rPr>
        <w:t xml:space="preserve">.  </w:t>
      </w:r>
    </w:p>
    <w:p w:rsidR="002B1371" w:rsidRDefault="007D0CFC" w:rsidP="00B40B20">
      <w:pPr>
        <w:numPr>
          <w:ilvl w:val="0"/>
          <w:numId w:val="3"/>
        </w:numPr>
        <w:spacing w:before="240"/>
        <w:jc w:val="both"/>
        <w:rPr>
          <w:rFonts w:ascii="Book Antiqua" w:hAnsi="Book Antiqua" w:cs="Arial"/>
        </w:rPr>
      </w:pPr>
      <w:r w:rsidRPr="000D436D">
        <w:rPr>
          <w:rFonts w:ascii="Book Antiqua" w:hAnsi="Book Antiqua" w:cs="Arial"/>
        </w:rPr>
        <w:t xml:space="preserve">The </w:t>
      </w:r>
      <w:r w:rsidR="009B2D09">
        <w:rPr>
          <w:rFonts w:ascii="Book Antiqua" w:hAnsi="Book Antiqua" w:cs="Arial"/>
        </w:rPr>
        <w:t>Appellant</w:t>
      </w:r>
      <w:r w:rsidR="00C44EFB">
        <w:rPr>
          <w:rFonts w:ascii="Book Antiqua" w:hAnsi="Book Antiqua" w:cs="Arial"/>
        </w:rPr>
        <w:t>,</w:t>
      </w:r>
      <w:r w:rsidR="00B5034A">
        <w:rPr>
          <w:rFonts w:ascii="Book Antiqua" w:hAnsi="Book Antiqua" w:cs="Arial"/>
        </w:rPr>
        <w:t xml:space="preserve"> with permission</w:t>
      </w:r>
      <w:r w:rsidR="00C44EFB">
        <w:rPr>
          <w:rFonts w:ascii="Book Antiqua" w:hAnsi="Book Antiqua" w:cs="Arial"/>
        </w:rPr>
        <w:t>,</w:t>
      </w:r>
      <w:r w:rsidRPr="000D436D">
        <w:rPr>
          <w:rFonts w:ascii="Book Antiqua" w:hAnsi="Book Antiqua" w:cs="Arial"/>
        </w:rPr>
        <w:t xml:space="preserve"> appeals against the decision of the </w:t>
      </w:r>
      <w:r w:rsidR="009C74C5" w:rsidRPr="000D436D">
        <w:rPr>
          <w:rFonts w:ascii="Book Antiqua" w:hAnsi="Book Antiqua" w:cs="Arial"/>
        </w:rPr>
        <w:t>First</w:t>
      </w:r>
      <w:r w:rsidRPr="000D436D">
        <w:rPr>
          <w:rFonts w:ascii="Book Antiqua" w:hAnsi="Book Antiqua" w:cs="Arial"/>
        </w:rPr>
        <w:t xml:space="preserve">-tier </w:t>
      </w:r>
      <w:r w:rsidR="009B2D09">
        <w:rPr>
          <w:rFonts w:ascii="Book Antiqua" w:hAnsi="Book Antiqua" w:cs="Arial"/>
        </w:rPr>
        <w:t>Tribunal</w:t>
      </w:r>
      <w:r w:rsidR="00AC31D7">
        <w:rPr>
          <w:rFonts w:ascii="Book Antiqua" w:hAnsi="Book Antiqua" w:cs="Arial"/>
        </w:rPr>
        <w:t xml:space="preserve"> Judge Juss</w:t>
      </w:r>
      <w:r w:rsidRPr="000D436D">
        <w:rPr>
          <w:rFonts w:ascii="Book Antiqua" w:hAnsi="Book Antiqua" w:cs="Arial"/>
        </w:rPr>
        <w:t>, who, in a determination promulgated</w:t>
      </w:r>
      <w:r w:rsidR="001E47A5" w:rsidRPr="000D436D">
        <w:rPr>
          <w:rFonts w:ascii="Book Antiqua" w:hAnsi="Book Antiqua" w:cs="Arial"/>
        </w:rPr>
        <w:t xml:space="preserve"> on</w:t>
      </w:r>
      <w:r w:rsidRPr="000D436D">
        <w:rPr>
          <w:rFonts w:ascii="Book Antiqua" w:hAnsi="Book Antiqua" w:cs="Arial"/>
        </w:rPr>
        <w:t xml:space="preserve"> </w:t>
      </w:r>
      <w:r w:rsidR="00723DEB" w:rsidRPr="000D436D">
        <w:rPr>
          <w:rFonts w:ascii="Book Antiqua" w:hAnsi="Book Antiqua" w:cs="Arial"/>
        </w:rPr>
        <w:t xml:space="preserve">the </w:t>
      </w:r>
      <w:r w:rsidR="00AC31D7">
        <w:rPr>
          <w:rFonts w:ascii="Book Antiqua" w:hAnsi="Book Antiqua" w:cs="Arial"/>
        </w:rPr>
        <w:t>22</w:t>
      </w:r>
      <w:r w:rsidR="00AC31D7" w:rsidRPr="00AC31D7">
        <w:rPr>
          <w:rFonts w:ascii="Book Antiqua" w:hAnsi="Book Antiqua" w:cs="Arial"/>
          <w:vertAlign w:val="superscript"/>
        </w:rPr>
        <w:t>nd</w:t>
      </w:r>
      <w:r w:rsidR="00AC31D7">
        <w:rPr>
          <w:rFonts w:ascii="Book Antiqua" w:hAnsi="Book Antiqua" w:cs="Arial"/>
        </w:rPr>
        <w:t xml:space="preserve"> March</w:t>
      </w:r>
      <w:r w:rsidR="001233BA">
        <w:rPr>
          <w:rFonts w:ascii="Book Antiqua" w:hAnsi="Book Antiqua" w:cs="Arial"/>
        </w:rPr>
        <w:t xml:space="preserve"> 2017</w:t>
      </w:r>
      <w:r w:rsidR="00B5034A">
        <w:rPr>
          <w:rFonts w:ascii="Book Antiqua" w:hAnsi="Book Antiqua" w:cs="Arial"/>
        </w:rPr>
        <w:t>,</w:t>
      </w:r>
      <w:r w:rsidR="00AC31D7">
        <w:rPr>
          <w:rFonts w:ascii="Book Antiqua" w:hAnsi="Book Antiqua" w:cs="Arial"/>
        </w:rPr>
        <w:t xml:space="preserve"> dismissed his</w:t>
      </w:r>
      <w:r w:rsidR="00B40B20">
        <w:rPr>
          <w:rFonts w:ascii="Book Antiqua" w:hAnsi="Book Antiqua" w:cs="Arial"/>
        </w:rPr>
        <w:t xml:space="preserve"> appeal against the decision of the </w:t>
      </w:r>
      <w:r w:rsidR="009B2D09">
        <w:rPr>
          <w:rFonts w:ascii="Book Antiqua" w:hAnsi="Book Antiqua" w:cs="Arial"/>
        </w:rPr>
        <w:t>Respondent</w:t>
      </w:r>
      <w:r w:rsidR="00AC31D7">
        <w:rPr>
          <w:rFonts w:ascii="Book Antiqua" w:hAnsi="Book Antiqua" w:cs="Arial"/>
        </w:rPr>
        <w:t xml:space="preserve"> made on the 20</w:t>
      </w:r>
      <w:r w:rsidR="00AC31D7" w:rsidRPr="00AC31D7">
        <w:rPr>
          <w:rFonts w:ascii="Book Antiqua" w:hAnsi="Book Antiqua" w:cs="Arial"/>
          <w:vertAlign w:val="superscript"/>
        </w:rPr>
        <w:t>th</w:t>
      </w:r>
      <w:r w:rsidR="00AC31D7">
        <w:rPr>
          <w:rFonts w:ascii="Book Antiqua" w:hAnsi="Book Antiqua" w:cs="Arial"/>
        </w:rPr>
        <w:t xml:space="preserve"> August 2017</w:t>
      </w:r>
      <w:r w:rsidR="00B40B20">
        <w:rPr>
          <w:rFonts w:ascii="Book Antiqua" w:hAnsi="Book Antiqua" w:cs="Arial"/>
        </w:rPr>
        <w:t xml:space="preserve"> to refuse entry clearance.</w:t>
      </w:r>
      <w:r w:rsidRPr="000D436D">
        <w:rPr>
          <w:rFonts w:ascii="Book Antiqua" w:hAnsi="Book Antiqua" w:cs="Arial"/>
        </w:rPr>
        <w:t xml:space="preserve"> </w:t>
      </w:r>
    </w:p>
    <w:p w:rsidR="00E71567" w:rsidRDefault="00E71567" w:rsidP="00E71567">
      <w:pPr>
        <w:numPr>
          <w:ilvl w:val="0"/>
          <w:numId w:val="3"/>
        </w:numPr>
        <w:spacing w:before="240"/>
        <w:jc w:val="both"/>
        <w:rPr>
          <w:rFonts w:ascii="Book Antiqua" w:hAnsi="Book Antiqua" w:cs="Arial"/>
        </w:rPr>
      </w:pPr>
      <w:r>
        <w:rPr>
          <w:rFonts w:ascii="Book Antiqua" w:hAnsi="Book Antiqua" w:cs="Arial"/>
        </w:rPr>
        <w:t xml:space="preserve">Permission to appeal was refused initially by the First-tier </w:t>
      </w:r>
      <w:r w:rsidR="009B2D09">
        <w:rPr>
          <w:rFonts w:ascii="Book Antiqua" w:hAnsi="Book Antiqua" w:cs="Arial"/>
        </w:rPr>
        <w:t>Tribunal</w:t>
      </w:r>
      <w:r>
        <w:rPr>
          <w:rFonts w:ascii="Book Antiqua" w:hAnsi="Book Antiqua" w:cs="Arial"/>
        </w:rPr>
        <w:t xml:space="preserve"> but on renewal was granted by Upper </w:t>
      </w:r>
      <w:r w:rsidR="009B2D09">
        <w:rPr>
          <w:rFonts w:ascii="Book Antiqua" w:hAnsi="Book Antiqua" w:cs="Arial"/>
        </w:rPr>
        <w:t>Tribunal</w:t>
      </w:r>
      <w:r w:rsidR="00AC31D7">
        <w:rPr>
          <w:rFonts w:ascii="Book Antiqua" w:hAnsi="Book Antiqua" w:cs="Arial"/>
        </w:rPr>
        <w:t xml:space="preserve"> Storey</w:t>
      </w:r>
      <w:r>
        <w:rPr>
          <w:rFonts w:ascii="Book Antiqua" w:hAnsi="Book Antiqua" w:cs="Arial"/>
        </w:rPr>
        <w:t xml:space="preserve"> on the 2</w:t>
      </w:r>
      <w:r w:rsidR="00AC31D7">
        <w:rPr>
          <w:rFonts w:ascii="Book Antiqua" w:hAnsi="Book Antiqua" w:cs="Arial"/>
        </w:rPr>
        <w:t>2</w:t>
      </w:r>
      <w:r w:rsidR="00AC31D7" w:rsidRPr="00AC31D7">
        <w:rPr>
          <w:rFonts w:ascii="Book Antiqua" w:hAnsi="Book Antiqua" w:cs="Arial"/>
          <w:vertAlign w:val="superscript"/>
        </w:rPr>
        <w:t>nd</w:t>
      </w:r>
      <w:r w:rsidR="00AC31D7">
        <w:rPr>
          <w:rFonts w:ascii="Book Antiqua" w:hAnsi="Book Antiqua" w:cs="Arial"/>
        </w:rPr>
        <w:t xml:space="preserve"> November 2017</w:t>
      </w:r>
      <w:r>
        <w:rPr>
          <w:rFonts w:ascii="Book Antiqua" w:hAnsi="Book Antiqua" w:cs="Arial"/>
        </w:rPr>
        <w:t>.</w:t>
      </w:r>
    </w:p>
    <w:p w:rsidR="006C642C" w:rsidRPr="006C642C" w:rsidRDefault="00E71567" w:rsidP="006C642C">
      <w:pPr>
        <w:numPr>
          <w:ilvl w:val="0"/>
          <w:numId w:val="3"/>
        </w:numPr>
        <w:spacing w:before="240"/>
        <w:jc w:val="both"/>
        <w:rPr>
          <w:rFonts w:ascii="Book Antiqua" w:hAnsi="Book Antiqua" w:cs="Arial"/>
        </w:rPr>
      </w:pPr>
      <w:r>
        <w:rPr>
          <w:rFonts w:ascii="Book Antiqua" w:hAnsi="Book Antiqua" w:cs="Arial"/>
        </w:rPr>
        <w:lastRenderedPageBreak/>
        <w:t xml:space="preserve">The </w:t>
      </w:r>
      <w:r w:rsidR="009B2D09">
        <w:rPr>
          <w:rFonts w:ascii="Book Antiqua" w:hAnsi="Book Antiqua" w:cs="Arial"/>
        </w:rPr>
        <w:t>Appellant</w:t>
      </w:r>
      <w:r>
        <w:rPr>
          <w:rFonts w:ascii="Book Antiqua" w:hAnsi="Book Antiqua" w:cs="Arial"/>
        </w:rPr>
        <w:t xml:space="preserve"> made an application for entry c</w:t>
      </w:r>
      <w:r w:rsidR="009B2D09">
        <w:rPr>
          <w:rFonts w:ascii="Book Antiqua" w:hAnsi="Book Antiqua" w:cs="Arial"/>
        </w:rPr>
        <w:t xml:space="preserve">learance as a </w:t>
      </w:r>
      <w:proofErr w:type="spellStart"/>
      <w:r w:rsidR="009B2D09">
        <w:rPr>
          <w:rFonts w:ascii="Book Antiqua" w:hAnsi="Book Antiqua" w:cs="Arial"/>
        </w:rPr>
        <w:t>fiance</w:t>
      </w:r>
      <w:proofErr w:type="spellEnd"/>
      <w:r w:rsidR="00AC31D7">
        <w:rPr>
          <w:rFonts w:ascii="Book Antiqua" w:hAnsi="Book Antiqua" w:cs="Arial"/>
        </w:rPr>
        <w:t xml:space="preserve"> on the 5</w:t>
      </w:r>
      <w:r w:rsidR="00AC31D7" w:rsidRPr="00AC31D7">
        <w:rPr>
          <w:rFonts w:ascii="Book Antiqua" w:hAnsi="Book Antiqua" w:cs="Arial"/>
          <w:vertAlign w:val="superscript"/>
        </w:rPr>
        <w:t>th</w:t>
      </w:r>
      <w:r w:rsidR="00AC31D7">
        <w:rPr>
          <w:rFonts w:ascii="Book Antiqua" w:hAnsi="Book Antiqua" w:cs="Arial"/>
        </w:rPr>
        <w:t xml:space="preserve"> June</w:t>
      </w:r>
      <w:r>
        <w:rPr>
          <w:rFonts w:ascii="Book Antiqua" w:hAnsi="Book Antiqua" w:cs="Arial"/>
        </w:rPr>
        <w:t xml:space="preserve"> 2015. A decision was made on that application b</w:t>
      </w:r>
      <w:r w:rsidR="0062053B">
        <w:rPr>
          <w:rFonts w:ascii="Book Antiqua" w:hAnsi="Book Antiqua" w:cs="Arial"/>
        </w:rPr>
        <w:t>y the Entry Clearance O</w:t>
      </w:r>
      <w:r w:rsidR="00AC31D7">
        <w:rPr>
          <w:rFonts w:ascii="Book Antiqua" w:hAnsi="Book Antiqua" w:cs="Arial"/>
        </w:rPr>
        <w:t>fficer on the 20</w:t>
      </w:r>
      <w:r w:rsidR="00AC31D7" w:rsidRPr="00AC31D7">
        <w:rPr>
          <w:rFonts w:ascii="Book Antiqua" w:hAnsi="Book Antiqua" w:cs="Arial"/>
          <w:vertAlign w:val="superscript"/>
        </w:rPr>
        <w:t>th</w:t>
      </w:r>
      <w:r w:rsidR="00AC31D7">
        <w:rPr>
          <w:rFonts w:ascii="Book Antiqua" w:hAnsi="Book Antiqua" w:cs="Arial"/>
        </w:rPr>
        <w:t xml:space="preserve"> August </w:t>
      </w:r>
      <w:r>
        <w:rPr>
          <w:rFonts w:ascii="Book Antiqua" w:hAnsi="Book Antiqua" w:cs="Arial"/>
        </w:rPr>
        <w:t>20</w:t>
      </w:r>
      <w:r w:rsidR="006C642C">
        <w:rPr>
          <w:rFonts w:ascii="Book Antiqua" w:hAnsi="Book Antiqua" w:cs="Arial"/>
        </w:rPr>
        <w:t xml:space="preserve">15 who refused the application. In respect of the current application, the </w:t>
      </w:r>
      <w:r w:rsidR="009B2D09">
        <w:rPr>
          <w:rFonts w:ascii="Book Antiqua" w:hAnsi="Book Antiqua" w:cs="Arial"/>
        </w:rPr>
        <w:t>Appellant</w:t>
      </w:r>
      <w:r w:rsidR="006C642C">
        <w:rPr>
          <w:rFonts w:ascii="Book Antiqua" w:hAnsi="Book Antiqua" w:cs="Arial"/>
        </w:rPr>
        <w:t xml:space="preserve"> was applying as a </w:t>
      </w:r>
      <w:proofErr w:type="spellStart"/>
      <w:r w:rsidR="006C642C">
        <w:rPr>
          <w:rFonts w:ascii="Book Antiqua" w:hAnsi="Book Antiqua" w:cs="Arial"/>
        </w:rPr>
        <w:t>fiance</w:t>
      </w:r>
      <w:proofErr w:type="spellEnd"/>
      <w:r w:rsidR="006C642C">
        <w:rPr>
          <w:rFonts w:ascii="Book Antiqua" w:hAnsi="Book Antiqua" w:cs="Arial"/>
        </w:rPr>
        <w:t xml:space="preserve"> with intention to marry in the UK. The ECO was not satisfied that he had submitted evidence of bookings or arrangements for the proposed wedding and further </w:t>
      </w:r>
      <w:proofErr w:type="gramStart"/>
      <w:r w:rsidR="006C642C">
        <w:rPr>
          <w:rFonts w:ascii="Book Antiqua" w:hAnsi="Book Antiqua" w:cs="Arial"/>
        </w:rPr>
        <w:t>made reference</w:t>
      </w:r>
      <w:proofErr w:type="gramEnd"/>
      <w:r w:rsidR="006C642C">
        <w:rPr>
          <w:rFonts w:ascii="Book Antiqua" w:hAnsi="Book Antiqua" w:cs="Arial"/>
        </w:rPr>
        <w:t xml:space="preserve"> to the interview responses of the </w:t>
      </w:r>
      <w:r w:rsidR="009B2D09">
        <w:rPr>
          <w:rFonts w:ascii="Book Antiqua" w:hAnsi="Book Antiqua" w:cs="Arial"/>
        </w:rPr>
        <w:t>Appellant</w:t>
      </w:r>
      <w:r w:rsidR="006C642C">
        <w:rPr>
          <w:rFonts w:ascii="Book Antiqua" w:hAnsi="Book Antiqua" w:cs="Arial"/>
        </w:rPr>
        <w:t xml:space="preserve"> which were inconsistent with evidence submitted on 25 August. The ECO was not satisfied that he was seeking entry to enable the marriage to take place. </w:t>
      </w:r>
    </w:p>
    <w:p w:rsidR="00AC31D7" w:rsidRPr="006C642C" w:rsidRDefault="006C642C" w:rsidP="006C642C">
      <w:pPr>
        <w:numPr>
          <w:ilvl w:val="0"/>
          <w:numId w:val="3"/>
        </w:numPr>
        <w:spacing w:before="240"/>
        <w:jc w:val="both"/>
        <w:rPr>
          <w:rFonts w:ascii="Book Antiqua" w:hAnsi="Book Antiqua" w:cs="Arial"/>
        </w:rPr>
      </w:pPr>
      <w:r>
        <w:rPr>
          <w:rFonts w:ascii="Book Antiqua" w:hAnsi="Book Antiqua" w:cs="Arial"/>
        </w:rPr>
        <w:t xml:space="preserve">The ECO </w:t>
      </w:r>
      <w:proofErr w:type="gramStart"/>
      <w:r>
        <w:rPr>
          <w:rFonts w:ascii="Book Antiqua" w:hAnsi="Book Antiqua" w:cs="Arial"/>
        </w:rPr>
        <w:t>made reference</w:t>
      </w:r>
      <w:proofErr w:type="gramEnd"/>
      <w:r>
        <w:rPr>
          <w:rFonts w:ascii="Book Antiqua" w:hAnsi="Book Antiqua" w:cs="Arial"/>
        </w:rPr>
        <w:t xml:space="preserve"> to the previous applications that were made by the </w:t>
      </w:r>
      <w:r w:rsidR="009B2D09">
        <w:rPr>
          <w:rFonts w:ascii="Book Antiqua" w:hAnsi="Book Antiqua" w:cs="Arial"/>
        </w:rPr>
        <w:t>Appellant</w:t>
      </w:r>
      <w:r>
        <w:rPr>
          <w:rFonts w:ascii="Book Antiqua" w:hAnsi="Book Antiqua" w:cs="Arial"/>
        </w:rPr>
        <w:t xml:space="preserve"> which had been refused </w:t>
      </w:r>
      <w:r w:rsidR="009B2D09">
        <w:rPr>
          <w:rFonts w:ascii="Book Antiqua" w:hAnsi="Book Antiqua" w:cs="Arial"/>
        </w:rPr>
        <w:t>and the appeals were</w:t>
      </w:r>
      <w:r>
        <w:rPr>
          <w:rFonts w:ascii="Book Antiqua" w:hAnsi="Book Antiqua" w:cs="Arial"/>
        </w:rPr>
        <w:t xml:space="preserve"> dismissed but that this was the first application to which he had been interviewed to establish the nature of the relationship. In this respect the ECO </w:t>
      </w:r>
      <w:proofErr w:type="gramStart"/>
      <w:r>
        <w:rPr>
          <w:rFonts w:ascii="Book Antiqua" w:hAnsi="Book Antiqua" w:cs="Arial"/>
        </w:rPr>
        <w:t>made reference</w:t>
      </w:r>
      <w:proofErr w:type="gramEnd"/>
      <w:r>
        <w:rPr>
          <w:rFonts w:ascii="Book Antiqua" w:hAnsi="Book Antiqua" w:cs="Arial"/>
        </w:rPr>
        <w:t xml:space="preserve"> to the </w:t>
      </w:r>
      <w:r w:rsidR="009B2D09">
        <w:rPr>
          <w:rFonts w:ascii="Book Antiqua" w:hAnsi="Book Antiqua" w:cs="Arial"/>
        </w:rPr>
        <w:t>Appellant’s</w:t>
      </w:r>
      <w:r>
        <w:rPr>
          <w:rFonts w:ascii="Book Antiqua" w:hAnsi="Book Antiqua" w:cs="Arial"/>
        </w:rPr>
        <w:t xml:space="preserve"> answers in interview which the ECO did not find to be consistent with his claim that this was a genuine and subsisting marriage.  </w:t>
      </w:r>
    </w:p>
    <w:p w:rsidR="00E71567" w:rsidRDefault="00E71567" w:rsidP="00E71567">
      <w:pPr>
        <w:numPr>
          <w:ilvl w:val="0"/>
          <w:numId w:val="3"/>
        </w:numPr>
        <w:spacing w:before="240"/>
        <w:jc w:val="both"/>
        <w:rPr>
          <w:rFonts w:ascii="Book Antiqua" w:hAnsi="Book Antiqua" w:cs="Arial"/>
        </w:rPr>
      </w:pPr>
      <w:r w:rsidRPr="00AC31D7">
        <w:rPr>
          <w:rFonts w:ascii="Book Antiqua" w:hAnsi="Book Antiqua" w:cs="Arial"/>
        </w:rPr>
        <w:t xml:space="preserve">The </w:t>
      </w:r>
      <w:r w:rsidR="009B2D09">
        <w:rPr>
          <w:rFonts w:ascii="Book Antiqua" w:hAnsi="Book Antiqua" w:cs="Arial"/>
        </w:rPr>
        <w:t>Appellant</w:t>
      </w:r>
      <w:r w:rsidRPr="00AC31D7">
        <w:rPr>
          <w:rFonts w:ascii="Book Antiqua" w:hAnsi="Book Antiqua" w:cs="Arial"/>
        </w:rPr>
        <w:t xml:space="preserve"> sought permission to appeal </w:t>
      </w:r>
      <w:r w:rsidR="0062053B" w:rsidRPr="00AC31D7">
        <w:rPr>
          <w:rFonts w:ascii="Book Antiqua" w:hAnsi="Book Antiqua" w:cs="Arial"/>
        </w:rPr>
        <w:t>and the appeal came before the F</w:t>
      </w:r>
      <w:r w:rsidRPr="00AC31D7">
        <w:rPr>
          <w:rFonts w:ascii="Book Antiqua" w:hAnsi="Book Antiqua" w:cs="Arial"/>
        </w:rPr>
        <w:t xml:space="preserve">irst-tier </w:t>
      </w:r>
      <w:r w:rsidR="009B2D09">
        <w:rPr>
          <w:rFonts w:ascii="Book Antiqua" w:hAnsi="Book Antiqua" w:cs="Arial"/>
        </w:rPr>
        <w:t>Tribunal</w:t>
      </w:r>
      <w:r w:rsidR="00AC31D7">
        <w:rPr>
          <w:rFonts w:ascii="Book Antiqua" w:hAnsi="Book Antiqua" w:cs="Arial"/>
        </w:rPr>
        <w:t xml:space="preserve"> on the 3</w:t>
      </w:r>
      <w:r w:rsidR="00AC31D7" w:rsidRPr="00AC31D7">
        <w:rPr>
          <w:rFonts w:ascii="Book Antiqua" w:hAnsi="Book Antiqua" w:cs="Arial"/>
          <w:vertAlign w:val="superscript"/>
        </w:rPr>
        <w:t>rd</w:t>
      </w:r>
      <w:r w:rsidR="00AC31D7">
        <w:rPr>
          <w:rFonts w:ascii="Book Antiqua" w:hAnsi="Book Antiqua" w:cs="Arial"/>
        </w:rPr>
        <w:t xml:space="preserve"> March </w:t>
      </w:r>
      <w:r w:rsidRPr="00AC31D7">
        <w:rPr>
          <w:rFonts w:ascii="Book Antiqua" w:hAnsi="Book Antiqua" w:cs="Arial"/>
        </w:rPr>
        <w:t>2017. In a deter</w:t>
      </w:r>
      <w:r w:rsidR="00AC31D7">
        <w:rPr>
          <w:rFonts w:ascii="Book Antiqua" w:hAnsi="Book Antiqua" w:cs="Arial"/>
        </w:rPr>
        <w:t>mination promulgated on the 22</w:t>
      </w:r>
      <w:r w:rsidR="00AC31D7" w:rsidRPr="00AC31D7">
        <w:rPr>
          <w:rFonts w:ascii="Book Antiqua" w:hAnsi="Book Antiqua" w:cs="Arial"/>
          <w:vertAlign w:val="superscript"/>
        </w:rPr>
        <w:t>nd</w:t>
      </w:r>
      <w:r w:rsidR="00AC31D7">
        <w:rPr>
          <w:rFonts w:ascii="Book Antiqua" w:hAnsi="Book Antiqua" w:cs="Arial"/>
        </w:rPr>
        <w:t xml:space="preserve"> March </w:t>
      </w:r>
      <w:r w:rsidRPr="00AC31D7">
        <w:rPr>
          <w:rFonts w:ascii="Book Antiqua" w:hAnsi="Book Antiqua" w:cs="Arial"/>
        </w:rPr>
        <w:t>2017 the</w:t>
      </w:r>
      <w:r w:rsidR="0062053B" w:rsidRPr="00AC31D7">
        <w:rPr>
          <w:rFonts w:ascii="Book Antiqua" w:hAnsi="Book Antiqua" w:cs="Arial"/>
        </w:rPr>
        <w:t xml:space="preserve"> J</w:t>
      </w:r>
      <w:r w:rsidRPr="00AC31D7">
        <w:rPr>
          <w:rFonts w:ascii="Book Antiqua" w:hAnsi="Book Antiqua" w:cs="Arial"/>
        </w:rPr>
        <w:t xml:space="preserve">udge </w:t>
      </w:r>
      <w:r w:rsidR="0062053B" w:rsidRPr="00AC31D7">
        <w:rPr>
          <w:rFonts w:ascii="Book Antiqua" w:hAnsi="Book Antiqua" w:cs="Arial"/>
        </w:rPr>
        <w:t>dismissed th</w:t>
      </w:r>
      <w:r w:rsidR="00AC31D7">
        <w:rPr>
          <w:rFonts w:ascii="Book Antiqua" w:hAnsi="Book Antiqua" w:cs="Arial"/>
        </w:rPr>
        <w:t>e appeal.</w:t>
      </w:r>
    </w:p>
    <w:p w:rsidR="006C642C" w:rsidRDefault="006C642C" w:rsidP="00E71567">
      <w:pPr>
        <w:numPr>
          <w:ilvl w:val="0"/>
          <w:numId w:val="3"/>
        </w:numPr>
        <w:spacing w:before="240"/>
        <w:jc w:val="both"/>
        <w:rPr>
          <w:rFonts w:ascii="Book Antiqua" w:hAnsi="Book Antiqua" w:cs="Arial"/>
        </w:rPr>
      </w:pPr>
      <w:r>
        <w:rPr>
          <w:rFonts w:ascii="Book Antiqua" w:hAnsi="Book Antiqua" w:cs="Arial"/>
        </w:rPr>
        <w:t xml:space="preserve">At the hearing Mr Woodhouse relied upon the grounds submitted. He stated that the judge had demonstrated a lack of reasoning in his decision to dismiss the appeal. He directed the </w:t>
      </w:r>
      <w:r w:rsidR="009B2D09">
        <w:rPr>
          <w:rFonts w:ascii="Book Antiqua" w:hAnsi="Book Antiqua" w:cs="Arial"/>
        </w:rPr>
        <w:t>Tribunal</w:t>
      </w:r>
      <w:r>
        <w:rPr>
          <w:rFonts w:ascii="Book Antiqua" w:hAnsi="Book Antiqua" w:cs="Arial"/>
        </w:rPr>
        <w:t xml:space="preserve"> to paragraph</w:t>
      </w:r>
      <w:r w:rsidR="009B2D09">
        <w:rPr>
          <w:rFonts w:ascii="Book Antiqua" w:hAnsi="Book Antiqua" w:cs="Arial"/>
        </w:rPr>
        <w:t>s</w:t>
      </w:r>
      <w:r>
        <w:rPr>
          <w:rFonts w:ascii="Book Antiqua" w:hAnsi="Book Antiqua" w:cs="Arial"/>
        </w:rPr>
        <w:t xml:space="preserve"> 11 and 12 which were the only paragraphs in which the judge reportedly made any reference to the evidence. He submitted that those paragraphs were confusing and it was unclear what findings of fact he </w:t>
      </w:r>
      <w:proofErr w:type="gramStart"/>
      <w:r>
        <w:rPr>
          <w:rFonts w:ascii="Book Antiqua" w:hAnsi="Book Antiqua" w:cs="Arial"/>
        </w:rPr>
        <w:t>actually made</w:t>
      </w:r>
      <w:proofErr w:type="gramEnd"/>
      <w:r>
        <w:rPr>
          <w:rFonts w:ascii="Book Antiqua" w:hAnsi="Book Antiqua" w:cs="Arial"/>
        </w:rPr>
        <w:t xml:space="preserve">. </w:t>
      </w:r>
    </w:p>
    <w:p w:rsidR="008C2BFF" w:rsidRDefault="006C642C" w:rsidP="00E71567">
      <w:pPr>
        <w:numPr>
          <w:ilvl w:val="0"/>
          <w:numId w:val="3"/>
        </w:numPr>
        <w:spacing w:before="240"/>
        <w:jc w:val="both"/>
        <w:rPr>
          <w:rFonts w:ascii="Book Antiqua" w:hAnsi="Book Antiqua" w:cs="Arial"/>
        </w:rPr>
      </w:pPr>
      <w:r>
        <w:rPr>
          <w:rFonts w:ascii="Book Antiqua" w:hAnsi="Book Antiqua" w:cs="Arial"/>
        </w:rPr>
        <w:t xml:space="preserve">He accepted that the </w:t>
      </w:r>
      <w:proofErr w:type="spellStart"/>
      <w:r>
        <w:rPr>
          <w:rFonts w:ascii="Book Antiqua" w:hAnsi="Book Antiqua" w:cs="Arial"/>
        </w:rPr>
        <w:t>Devaseelan</w:t>
      </w:r>
      <w:proofErr w:type="spellEnd"/>
      <w:r>
        <w:rPr>
          <w:rFonts w:ascii="Book Antiqua" w:hAnsi="Book Antiqua" w:cs="Arial"/>
        </w:rPr>
        <w:t xml:space="preserve"> principles applied given that there had been two previous decisions but stated that the first decision of IJ Telford had made no findings on whether this was a genuine and subsisting relationship. The second decision which was referred to by the judge at paragraph 11 did </w:t>
      </w:r>
      <w:proofErr w:type="gramStart"/>
      <w:r>
        <w:rPr>
          <w:rFonts w:ascii="Book Antiqua" w:hAnsi="Book Antiqua" w:cs="Arial"/>
        </w:rPr>
        <w:t>make reference</w:t>
      </w:r>
      <w:proofErr w:type="gramEnd"/>
      <w:r>
        <w:rPr>
          <w:rFonts w:ascii="Book Antiqua" w:hAnsi="Book Antiqua" w:cs="Arial"/>
        </w:rPr>
        <w:t xml:space="preserve"> to the evidence at that time, however in the current application the </w:t>
      </w:r>
      <w:r w:rsidR="009B2D09">
        <w:rPr>
          <w:rFonts w:ascii="Book Antiqua" w:hAnsi="Book Antiqua" w:cs="Arial"/>
        </w:rPr>
        <w:t>Appellant</w:t>
      </w:r>
      <w:r>
        <w:rPr>
          <w:rFonts w:ascii="Book Antiqua" w:hAnsi="Book Antiqua" w:cs="Arial"/>
        </w:rPr>
        <w:t xml:space="preserve"> had produced further evidence of continuing contact in the form of itemised phone calls and correspondence, and evidence of remittances. There was also evidence of a further visit to Pakistan as evidenced by the air tickets and passport stamps.</w:t>
      </w:r>
    </w:p>
    <w:p w:rsidR="006C642C" w:rsidRDefault="006C642C" w:rsidP="00E71567">
      <w:pPr>
        <w:numPr>
          <w:ilvl w:val="0"/>
          <w:numId w:val="3"/>
        </w:numPr>
        <w:spacing w:before="240"/>
        <w:jc w:val="both"/>
        <w:rPr>
          <w:rFonts w:ascii="Book Antiqua" w:hAnsi="Book Antiqua" w:cs="Arial"/>
        </w:rPr>
      </w:pPr>
      <w:proofErr w:type="gramStart"/>
      <w:r>
        <w:rPr>
          <w:rFonts w:ascii="Book Antiqua" w:hAnsi="Book Antiqua" w:cs="Arial"/>
        </w:rPr>
        <w:t>Thus</w:t>
      </w:r>
      <w:proofErr w:type="gramEnd"/>
      <w:r>
        <w:rPr>
          <w:rFonts w:ascii="Book Antiqua" w:hAnsi="Book Antiqua" w:cs="Arial"/>
        </w:rPr>
        <w:t xml:space="preserve"> he submitted there was evidence to potentially overcome the issues identified by IJ Rose and the judge was required to conduct an assessment of all the evidence and it was here that the judge fell into error. </w:t>
      </w:r>
    </w:p>
    <w:p w:rsidR="006C642C" w:rsidRDefault="006C642C" w:rsidP="00E71567">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Aboni</w:t>
      </w:r>
      <w:proofErr w:type="spellEnd"/>
      <w:r>
        <w:rPr>
          <w:rFonts w:ascii="Book Antiqua" w:hAnsi="Book Antiqua" w:cs="Arial"/>
        </w:rPr>
        <w:t xml:space="preserve"> on behalf of the </w:t>
      </w:r>
      <w:r w:rsidR="009B2D09">
        <w:rPr>
          <w:rFonts w:ascii="Book Antiqua" w:hAnsi="Book Antiqua" w:cs="Arial"/>
        </w:rPr>
        <w:t>Respondent</w:t>
      </w:r>
      <w:r>
        <w:rPr>
          <w:rFonts w:ascii="Book Antiqua" w:hAnsi="Book Antiqua" w:cs="Arial"/>
        </w:rPr>
        <w:t xml:space="preserve"> relied upon the rule 24 response in which it was stated that the judge directed himself appropriately and gave adequate reasons for t</w:t>
      </w:r>
      <w:r w:rsidR="009B2D09">
        <w:rPr>
          <w:rFonts w:ascii="Book Antiqua" w:hAnsi="Book Antiqua" w:cs="Arial"/>
        </w:rPr>
        <w:t>he conclusion which was</w:t>
      </w:r>
      <w:r>
        <w:rPr>
          <w:rFonts w:ascii="Book Antiqua" w:hAnsi="Book Antiqua" w:cs="Arial"/>
        </w:rPr>
        <w:t xml:space="preserve"> open to him having made appropriate reference to the </w:t>
      </w:r>
      <w:proofErr w:type="spellStart"/>
      <w:r>
        <w:rPr>
          <w:rFonts w:ascii="Book Antiqua" w:hAnsi="Book Antiqua" w:cs="Arial"/>
        </w:rPr>
        <w:t>Devaseelan</w:t>
      </w:r>
      <w:proofErr w:type="spellEnd"/>
      <w:r>
        <w:rPr>
          <w:rFonts w:ascii="Book Antiqua" w:hAnsi="Book Antiqua" w:cs="Arial"/>
        </w:rPr>
        <w:t xml:space="preserve"> guidelines. The response also notes that the judge</w:t>
      </w:r>
      <w:r w:rsidR="009B2D09">
        <w:rPr>
          <w:rFonts w:ascii="Book Antiqua" w:hAnsi="Book Antiqua" w:cs="Arial"/>
        </w:rPr>
        <w:t xml:space="preserve"> stated that A</w:t>
      </w:r>
      <w:r>
        <w:rPr>
          <w:rFonts w:ascii="Book Antiqua" w:hAnsi="Book Antiqua" w:cs="Arial"/>
        </w:rPr>
        <w:t xml:space="preserve">rticle 8 of the </w:t>
      </w:r>
      <w:r w:rsidR="009B2D09">
        <w:rPr>
          <w:rFonts w:ascii="Book Antiqua" w:hAnsi="Book Antiqua" w:cs="Arial"/>
        </w:rPr>
        <w:t>ECHR was not raised before the F</w:t>
      </w:r>
      <w:r>
        <w:rPr>
          <w:rFonts w:ascii="Book Antiqua" w:hAnsi="Book Antiqua" w:cs="Arial"/>
        </w:rPr>
        <w:t xml:space="preserve">irst-tier </w:t>
      </w:r>
      <w:r w:rsidR="009B2D09">
        <w:rPr>
          <w:rFonts w:ascii="Book Antiqua" w:hAnsi="Book Antiqua" w:cs="Arial"/>
        </w:rPr>
        <w:t>Tribunal</w:t>
      </w:r>
      <w:r>
        <w:rPr>
          <w:rFonts w:ascii="Book Antiqua" w:hAnsi="Book Antiqua" w:cs="Arial"/>
        </w:rPr>
        <w:t xml:space="preserve"> although this was a human rights appeal. </w:t>
      </w:r>
      <w:proofErr w:type="gramStart"/>
      <w:r>
        <w:rPr>
          <w:rFonts w:ascii="Book Antiqua" w:hAnsi="Book Antiqua" w:cs="Arial"/>
        </w:rPr>
        <w:t>However</w:t>
      </w:r>
      <w:proofErr w:type="gramEnd"/>
      <w:r>
        <w:rPr>
          <w:rFonts w:ascii="Book Antiqua" w:hAnsi="Book Antiqua" w:cs="Arial"/>
        </w:rPr>
        <w:t xml:space="preserve"> it was not a material error because the findings made were to the effect that the </w:t>
      </w:r>
      <w:r w:rsidR="009B2D09">
        <w:rPr>
          <w:rFonts w:ascii="Book Antiqua" w:hAnsi="Book Antiqua" w:cs="Arial"/>
        </w:rPr>
        <w:t>Appellant</w:t>
      </w:r>
      <w:r>
        <w:rPr>
          <w:rFonts w:ascii="Book Antiqua" w:hAnsi="Book Antiqua" w:cs="Arial"/>
        </w:rPr>
        <w:t xml:space="preserve"> could not satisfy the rules.</w:t>
      </w:r>
    </w:p>
    <w:p w:rsidR="006C642C" w:rsidRDefault="006C642C" w:rsidP="00E71567">
      <w:pPr>
        <w:numPr>
          <w:ilvl w:val="0"/>
          <w:numId w:val="3"/>
        </w:numPr>
        <w:spacing w:before="240"/>
        <w:jc w:val="both"/>
        <w:rPr>
          <w:rFonts w:ascii="Book Antiqua" w:hAnsi="Book Antiqua" w:cs="Arial"/>
        </w:rPr>
      </w:pPr>
      <w:r>
        <w:rPr>
          <w:rFonts w:ascii="Book Antiqua" w:hAnsi="Book Antiqua" w:cs="Arial"/>
        </w:rPr>
        <w:lastRenderedPageBreak/>
        <w:t xml:space="preserve">In her oral submissions Ms </w:t>
      </w:r>
      <w:proofErr w:type="spellStart"/>
      <w:r>
        <w:rPr>
          <w:rFonts w:ascii="Book Antiqua" w:hAnsi="Book Antiqua" w:cs="Arial"/>
        </w:rPr>
        <w:t>Aboni</w:t>
      </w:r>
      <w:proofErr w:type="spellEnd"/>
      <w:r>
        <w:rPr>
          <w:rFonts w:ascii="Book Antiqua" w:hAnsi="Book Antiqua" w:cs="Arial"/>
        </w:rPr>
        <w:t xml:space="preserve"> submitted that at paragraph 11 the judge relied upon the refusal notice and there was no error in relying on this which had set out reasons for doubting that this was a genuine and subsisting relationship and set out the inconsistencies in the evidence. The judge had adopted these reasons. There had already been a finding by IJ Rose that this was not a genuine and subsisting relationship. The judge did accept that there was some evidence of remittances but did not accept the other evidence and thus the </w:t>
      </w:r>
      <w:r w:rsidR="009B2D09">
        <w:rPr>
          <w:rFonts w:ascii="Book Antiqua" w:hAnsi="Book Antiqua" w:cs="Arial"/>
        </w:rPr>
        <w:t>Appellant</w:t>
      </w:r>
      <w:r>
        <w:rPr>
          <w:rFonts w:ascii="Book Antiqua" w:hAnsi="Book Antiqua" w:cs="Arial"/>
        </w:rPr>
        <w:t xml:space="preserve"> had not addressed the issues set out by the ECO.</w:t>
      </w:r>
    </w:p>
    <w:p w:rsidR="006C642C" w:rsidRDefault="006C642C" w:rsidP="00E71567">
      <w:pPr>
        <w:numPr>
          <w:ilvl w:val="0"/>
          <w:numId w:val="3"/>
        </w:numPr>
        <w:spacing w:before="240"/>
        <w:jc w:val="both"/>
        <w:rPr>
          <w:rFonts w:ascii="Book Antiqua" w:hAnsi="Book Antiqua" w:cs="Arial"/>
        </w:rPr>
      </w:pPr>
      <w:r>
        <w:rPr>
          <w:rFonts w:ascii="Book Antiqua" w:hAnsi="Book Antiqua" w:cs="Arial"/>
        </w:rPr>
        <w:t xml:space="preserve">I am satisfied that the judge did make an error on a point of law as identified in the grounds advanced on behalf of the </w:t>
      </w:r>
      <w:r w:rsidR="009B2D09">
        <w:rPr>
          <w:rFonts w:ascii="Book Antiqua" w:hAnsi="Book Antiqua" w:cs="Arial"/>
        </w:rPr>
        <w:t>Appellant</w:t>
      </w:r>
      <w:r>
        <w:rPr>
          <w:rFonts w:ascii="Book Antiqua" w:hAnsi="Book Antiqua" w:cs="Arial"/>
        </w:rPr>
        <w:t xml:space="preserve"> and in the grant of permission by judge Storey. The only assessment made by the judge of the evidence before him was at paragraphs 11 and 12. As Mr Woodhouse submits the reasoning is confused and unclear. He appears to rely upon the </w:t>
      </w:r>
      <w:r w:rsidR="009B2D09">
        <w:rPr>
          <w:rFonts w:ascii="Book Antiqua" w:hAnsi="Book Antiqua" w:cs="Arial"/>
        </w:rPr>
        <w:t>Respondent</w:t>
      </w:r>
      <w:r>
        <w:rPr>
          <w:rFonts w:ascii="Book Antiqua" w:hAnsi="Book Antiqua" w:cs="Arial"/>
        </w:rPr>
        <w:t>’s reasons for refusing the application and the previous decisions made but does so without making an assessment himself of the evidence that was before him in assessing whether the claim relationship was genuine and subsisting.</w:t>
      </w:r>
    </w:p>
    <w:p w:rsidR="006C642C" w:rsidRDefault="006C642C" w:rsidP="00E71567">
      <w:pPr>
        <w:numPr>
          <w:ilvl w:val="0"/>
          <w:numId w:val="3"/>
        </w:numPr>
        <w:spacing w:before="240"/>
        <w:jc w:val="both"/>
        <w:rPr>
          <w:rFonts w:ascii="Book Antiqua" w:hAnsi="Book Antiqua" w:cs="Arial"/>
        </w:rPr>
      </w:pPr>
      <w:r>
        <w:rPr>
          <w:rFonts w:ascii="Book Antiqua" w:hAnsi="Book Antiqua" w:cs="Arial"/>
        </w:rPr>
        <w:t xml:space="preserve">I agree with Ms </w:t>
      </w:r>
      <w:proofErr w:type="spellStart"/>
      <w:r>
        <w:rPr>
          <w:rFonts w:ascii="Book Antiqua" w:hAnsi="Book Antiqua" w:cs="Arial"/>
        </w:rPr>
        <w:t>Aboni</w:t>
      </w:r>
      <w:proofErr w:type="spellEnd"/>
      <w:r>
        <w:rPr>
          <w:rFonts w:ascii="Book Antiqua" w:hAnsi="Book Antiqua" w:cs="Arial"/>
        </w:rPr>
        <w:t xml:space="preserve"> that the principles set out in the case of </w:t>
      </w:r>
      <w:proofErr w:type="spellStart"/>
      <w:r>
        <w:rPr>
          <w:rFonts w:ascii="Book Antiqua" w:hAnsi="Book Antiqua" w:cs="Arial"/>
        </w:rPr>
        <w:t>Devaseelan</w:t>
      </w:r>
      <w:proofErr w:type="spellEnd"/>
      <w:r>
        <w:rPr>
          <w:rFonts w:ascii="Book Antiqua" w:hAnsi="Book Antiqua" w:cs="Arial"/>
        </w:rPr>
        <w:t xml:space="preserve"> should have been applied and that the judge did </w:t>
      </w:r>
      <w:proofErr w:type="gramStart"/>
      <w:r>
        <w:rPr>
          <w:rFonts w:ascii="Book Antiqua" w:hAnsi="Book Antiqua" w:cs="Arial"/>
        </w:rPr>
        <w:t>make reference</w:t>
      </w:r>
      <w:proofErr w:type="gramEnd"/>
      <w:r>
        <w:rPr>
          <w:rFonts w:ascii="Book Antiqua" w:hAnsi="Book Antiqua" w:cs="Arial"/>
        </w:rPr>
        <w:t xml:space="preserve"> to that at paragraph 11. </w:t>
      </w:r>
      <w:proofErr w:type="gramStart"/>
      <w:r>
        <w:rPr>
          <w:rFonts w:ascii="Book Antiqua" w:hAnsi="Book Antiqua" w:cs="Arial"/>
        </w:rPr>
        <w:t>However</w:t>
      </w:r>
      <w:proofErr w:type="gramEnd"/>
      <w:r>
        <w:rPr>
          <w:rFonts w:ascii="Book Antiqua" w:hAnsi="Book Antiqua" w:cs="Arial"/>
        </w:rPr>
        <w:t xml:space="preserve"> the previous decisions were a starting point and not the endpoint of his assessment of the evidence. The previous determination of IJ Telford made no reference to whether this was a genuine and subsisting relationship and </w:t>
      </w:r>
      <w:proofErr w:type="gramStart"/>
      <w:r>
        <w:rPr>
          <w:rFonts w:ascii="Book Antiqua" w:hAnsi="Book Antiqua" w:cs="Arial"/>
        </w:rPr>
        <w:t>it is plain that he</w:t>
      </w:r>
      <w:proofErr w:type="gramEnd"/>
      <w:r>
        <w:rPr>
          <w:rFonts w:ascii="Book Antiqua" w:hAnsi="Book Antiqua" w:cs="Arial"/>
        </w:rPr>
        <w:t xml:space="preserve"> dismissed the appeal solely on the basis that there had been no valid marriage and made no other findings on the evidence. In the appeal before IJ Rose (which the judge did </w:t>
      </w:r>
      <w:proofErr w:type="gramStart"/>
      <w:r>
        <w:rPr>
          <w:rFonts w:ascii="Book Antiqua" w:hAnsi="Book Antiqua" w:cs="Arial"/>
        </w:rPr>
        <w:t>make reference</w:t>
      </w:r>
      <w:proofErr w:type="gramEnd"/>
      <w:r>
        <w:rPr>
          <w:rFonts w:ascii="Book Antiqua" w:hAnsi="Book Antiqua" w:cs="Arial"/>
        </w:rPr>
        <w:t xml:space="preserve"> to) there were findings of fact that there was an inconsistency as to when they had met and there was little evidence of contact between the parties. The judge </w:t>
      </w:r>
      <w:proofErr w:type="gramStart"/>
      <w:r>
        <w:rPr>
          <w:rFonts w:ascii="Book Antiqua" w:hAnsi="Book Antiqua" w:cs="Arial"/>
        </w:rPr>
        <w:t>made reference</w:t>
      </w:r>
      <w:proofErr w:type="gramEnd"/>
      <w:r>
        <w:rPr>
          <w:rFonts w:ascii="Book Antiqua" w:hAnsi="Book Antiqua" w:cs="Arial"/>
        </w:rPr>
        <w:t xml:space="preserve"> to there being no evidence of the circumstances of any visits made to Pakistan and no evidence to support them living together. He also found that there was insufficient documentary evidence of financial support thus he was not satisfied that the parties had provided a reliable account. The judge therefore found a lack of evidence of contact between the </w:t>
      </w:r>
      <w:r w:rsidR="009B2D09">
        <w:rPr>
          <w:rFonts w:ascii="Book Antiqua" w:hAnsi="Book Antiqua" w:cs="Arial"/>
        </w:rPr>
        <w:t>Appellant</w:t>
      </w:r>
      <w:r>
        <w:rPr>
          <w:rFonts w:ascii="Book Antiqua" w:hAnsi="Book Antiqua" w:cs="Arial"/>
        </w:rPr>
        <w:t xml:space="preserve"> and the sponsor. In the present application, further evidence </w:t>
      </w:r>
      <w:r w:rsidR="009B2D09">
        <w:rPr>
          <w:rFonts w:ascii="Book Antiqua" w:hAnsi="Book Antiqua" w:cs="Arial"/>
        </w:rPr>
        <w:t xml:space="preserve">had been </w:t>
      </w:r>
      <w:r>
        <w:rPr>
          <w:rFonts w:ascii="Book Antiqua" w:hAnsi="Book Antiqua" w:cs="Arial"/>
        </w:rPr>
        <w:t xml:space="preserve">provided in support of their relationship including itemised phone evidence. In the last decision the judge was not satisfied that it could be demonstrated who were the recipients of the calls however the bills provided now identified the calls made by the sponsor to the </w:t>
      </w:r>
      <w:r w:rsidR="009B2D09">
        <w:rPr>
          <w:rFonts w:ascii="Book Antiqua" w:hAnsi="Book Antiqua" w:cs="Arial"/>
        </w:rPr>
        <w:t>Appellant</w:t>
      </w:r>
      <w:r>
        <w:rPr>
          <w:rFonts w:ascii="Book Antiqua" w:hAnsi="Book Antiqua" w:cs="Arial"/>
        </w:rPr>
        <w:t xml:space="preserve"> by the provision of the telephone number as identified in the papers. The judge also </w:t>
      </w:r>
      <w:proofErr w:type="gramStart"/>
      <w:r>
        <w:rPr>
          <w:rFonts w:ascii="Book Antiqua" w:hAnsi="Book Antiqua" w:cs="Arial"/>
        </w:rPr>
        <w:t>made reference</w:t>
      </w:r>
      <w:proofErr w:type="gramEnd"/>
      <w:r>
        <w:rPr>
          <w:rFonts w:ascii="Book Antiqua" w:hAnsi="Book Antiqua" w:cs="Arial"/>
        </w:rPr>
        <w:t xml:space="preserve"> to a lack of remittances and again there were documents in the bundle at pages 115 – 132. There was also evidence of a further trip</w:t>
      </w:r>
      <w:r w:rsidR="009B2D09">
        <w:rPr>
          <w:rFonts w:ascii="Book Antiqua" w:hAnsi="Book Antiqua" w:cs="Arial"/>
        </w:rPr>
        <w:t xml:space="preserve"> to</w:t>
      </w:r>
      <w:r>
        <w:rPr>
          <w:rFonts w:ascii="Book Antiqua" w:hAnsi="Book Antiqua" w:cs="Arial"/>
        </w:rPr>
        <w:t xml:space="preserve"> Pakistan between December 2015 – February 2016 and </w:t>
      </w:r>
      <w:r w:rsidR="009B2D09">
        <w:rPr>
          <w:rFonts w:ascii="Book Antiqua" w:hAnsi="Book Antiqua" w:cs="Arial"/>
        </w:rPr>
        <w:t xml:space="preserve">passport entries and </w:t>
      </w:r>
      <w:r>
        <w:rPr>
          <w:rFonts w:ascii="Book Antiqua" w:hAnsi="Book Antiqua" w:cs="Arial"/>
        </w:rPr>
        <w:t xml:space="preserve">air tickets in support. </w:t>
      </w:r>
      <w:proofErr w:type="gramStart"/>
      <w:r>
        <w:rPr>
          <w:rFonts w:ascii="Book Antiqua" w:hAnsi="Book Antiqua" w:cs="Arial"/>
        </w:rPr>
        <w:t>Thus</w:t>
      </w:r>
      <w:proofErr w:type="gramEnd"/>
      <w:r>
        <w:rPr>
          <w:rFonts w:ascii="Book Antiqua" w:hAnsi="Book Antiqua" w:cs="Arial"/>
        </w:rPr>
        <w:t xml:space="preserve"> there was evidence to potentially address the issues identified by IJ Rose and it was incumbent of the judge to set out those issues and to conduct an assessment of that evidence in its totality. Whilst I accept that the judge did </w:t>
      </w:r>
      <w:proofErr w:type="gramStart"/>
      <w:r>
        <w:rPr>
          <w:rFonts w:ascii="Book Antiqua" w:hAnsi="Book Antiqua" w:cs="Arial"/>
        </w:rPr>
        <w:t>make reference</w:t>
      </w:r>
      <w:proofErr w:type="gramEnd"/>
      <w:r>
        <w:rPr>
          <w:rFonts w:ascii="Book Antiqua" w:hAnsi="Book Antiqua" w:cs="Arial"/>
        </w:rPr>
        <w:t xml:space="preserve"> to the remittances, he did not weigh the evidence as a whole in reaching a decision.</w:t>
      </w:r>
    </w:p>
    <w:p w:rsidR="006C642C" w:rsidRPr="00AC31D7" w:rsidRDefault="006C642C" w:rsidP="00E71567">
      <w:pPr>
        <w:numPr>
          <w:ilvl w:val="0"/>
          <w:numId w:val="3"/>
        </w:numPr>
        <w:spacing w:before="240"/>
        <w:jc w:val="both"/>
        <w:rPr>
          <w:rFonts w:ascii="Book Antiqua" w:hAnsi="Book Antiqua" w:cs="Arial"/>
        </w:rPr>
      </w:pPr>
      <w:r>
        <w:rPr>
          <w:rFonts w:ascii="Book Antiqua" w:hAnsi="Book Antiqua" w:cs="Arial"/>
        </w:rPr>
        <w:t xml:space="preserve">It is further clear that the judge relied on the reasons in the refusal letter but without making his own assessment. There is no error in placing reliance on those reasons if an assessment is conducted by reference to other evidence that has been produced by </w:t>
      </w:r>
      <w:r>
        <w:rPr>
          <w:rFonts w:ascii="Book Antiqua" w:hAnsi="Book Antiqua" w:cs="Arial"/>
        </w:rPr>
        <w:lastRenderedPageBreak/>
        <w:t xml:space="preserve">the </w:t>
      </w:r>
      <w:r w:rsidR="009B2D09">
        <w:rPr>
          <w:rFonts w:ascii="Book Antiqua" w:hAnsi="Book Antiqua" w:cs="Arial"/>
        </w:rPr>
        <w:t>Appellant</w:t>
      </w:r>
      <w:r>
        <w:rPr>
          <w:rFonts w:ascii="Book Antiqua" w:hAnsi="Book Antiqua" w:cs="Arial"/>
        </w:rPr>
        <w:t xml:space="preserve"> to counteract or explain those issues raised. When applied to this appeal, the sponsor had provided a witness statement in which she had sought to explain some of the inconsistencies that had been highlighted and relied upon in the decision letter. She also gave some oral evidence before the </w:t>
      </w:r>
      <w:r w:rsidR="009B2D09">
        <w:rPr>
          <w:rFonts w:ascii="Book Antiqua" w:hAnsi="Book Antiqua" w:cs="Arial"/>
        </w:rPr>
        <w:t>Tribunal</w:t>
      </w:r>
      <w:r>
        <w:rPr>
          <w:rFonts w:ascii="Book Antiqua" w:hAnsi="Book Antiqua" w:cs="Arial"/>
        </w:rPr>
        <w:t xml:space="preserve">. </w:t>
      </w:r>
      <w:proofErr w:type="gramStart"/>
      <w:r>
        <w:rPr>
          <w:rFonts w:ascii="Book Antiqua" w:hAnsi="Book Antiqua" w:cs="Arial"/>
        </w:rPr>
        <w:t>Thus</w:t>
      </w:r>
      <w:proofErr w:type="gramEnd"/>
      <w:r>
        <w:rPr>
          <w:rFonts w:ascii="Book Antiqua" w:hAnsi="Book Antiqua" w:cs="Arial"/>
        </w:rPr>
        <w:t xml:space="preserve"> it was incumbent on the judge to make an assessment of that evidence when reaching an overall decision on whether or not this was a genuine subsisting relationship in the context of the reasons given for refusing the application.</w:t>
      </w:r>
    </w:p>
    <w:p w:rsidR="00277513" w:rsidRDefault="00E71567" w:rsidP="00E71567">
      <w:pPr>
        <w:numPr>
          <w:ilvl w:val="0"/>
          <w:numId w:val="3"/>
        </w:numPr>
        <w:spacing w:before="240"/>
        <w:jc w:val="both"/>
        <w:rPr>
          <w:rFonts w:ascii="Book Antiqua" w:hAnsi="Book Antiqua" w:cs="Arial"/>
        </w:rPr>
      </w:pPr>
      <w:r>
        <w:rPr>
          <w:rFonts w:ascii="Book Antiqua" w:hAnsi="Book Antiqua" w:cs="Arial"/>
        </w:rPr>
        <w:t>It is further agreed between the parties</w:t>
      </w:r>
      <w:r w:rsidR="000C2580">
        <w:rPr>
          <w:rFonts w:ascii="Book Antiqua" w:hAnsi="Book Antiqua" w:cs="Arial"/>
        </w:rPr>
        <w:t xml:space="preserve"> that the only ground upon which the appeal could be brought</w:t>
      </w:r>
      <w:r w:rsidR="0062053B">
        <w:rPr>
          <w:rFonts w:ascii="Book Antiqua" w:hAnsi="Book Antiqua" w:cs="Arial"/>
        </w:rPr>
        <w:t xml:space="preserve"> to the F</w:t>
      </w:r>
      <w:r w:rsidR="000C2580">
        <w:rPr>
          <w:rFonts w:ascii="Book Antiqua" w:hAnsi="Book Antiqua" w:cs="Arial"/>
        </w:rPr>
        <w:t xml:space="preserve">irst-tier </w:t>
      </w:r>
      <w:r w:rsidR="009B2D09">
        <w:rPr>
          <w:rFonts w:ascii="Book Antiqua" w:hAnsi="Book Antiqua" w:cs="Arial"/>
        </w:rPr>
        <w:t>Tribunal</w:t>
      </w:r>
      <w:r w:rsidR="000C2580">
        <w:rPr>
          <w:rFonts w:ascii="Book Antiqua" w:hAnsi="Book Antiqua" w:cs="Arial"/>
        </w:rPr>
        <w:t xml:space="preserve"> was that the decision to refuse the </w:t>
      </w:r>
      <w:r w:rsidR="009B2D09">
        <w:rPr>
          <w:rFonts w:ascii="Book Antiqua" w:hAnsi="Book Antiqua" w:cs="Arial"/>
        </w:rPr>
        <w:t>Appellant</w:t>
      </w:r>
      <w:r w:rsidR="000C2580">
        <w:rPr>
          <w:rFonts w:ascii="Book Antiqua" w:hAnsi="Book Antiqua" w:cs="Arial"/>
        </w:rPr>
        <w:t xml:space="preserve"> entry clearance</w:t>
      </w:r>
      <w:r w:rsidR="0062053B">
        <w:rPr>
          <w:rFonts w:ascii="Book Antiqua" w:hAnsi="Book Antiqua" w:cs="Arial"/>
        </w:rPr>
        <w:t xml:space="preserve"> was unlawful under S</w:t>
      </w:r>
      <w:r w:rsidR="000C2580">
        <w:rPr>
          <w:rFonts w:ascii="Book Antiqua" w:hAnsi="Book Antiqua" w:cs="Arial"/>
        </w:rPr>
        <w:t xml:space="preserve">ection 6 </w:t>
      </w:r>
      <w:r w:rsidR="0062053B">
        <w:rPr>
          <w:rFonts w:ascii="Book Antiqua" w:hAnsi="Book Antiqua" w:cs="Arial"/>
        </w:rPr>
        <w:t>of the Human Rights A</w:t>
      </w:r>
      <w:r w:rsidR="000C2580">
        <w:rPr>
          <w:rFonts w:ascii="Book Antiqua" w:hAnsi="Book Antiqua" w:cs="Arial"/>
        </w:rPr>
        <w:t xml:space="preserve">ct </w:t>
      </w:r>
      <w:r w:rsidR="00277513">
        <w:rPr>
          <w:rFonts w:ascii="Book Antiqua" w:hAnsi="Book Antiqua" w:cs="Arial"/>
        </w:rPr>
        <w:t>1998 that</w:t>
      </w:r>
      <w:r w:rsidR="000C2580">
        <w:rPr>
          <w:rFonts w:ascii="Book Antiqua" w:hAnsi="Book Antiqua" w:cs="Arial"/>
        </w:rPr>
        <w:t xml:space="preserve"> is,</w:t>
      </w:r>
      <w:r w:rsidR="0062053B">
        <w:rPr>
          <w:rFonts w:ascii="Book Antiqua" w:hAnsi="Book Antiqua" w:cs="Arial"/>
        </w:rPr>
        <w:t xml:space="preserve"> it was contrary to A</w:t>
      </w:r>
      <w:r w:rsidR="000C2580">
        <w:rPr>
          <w:rFonts w:ascii="Book Antiqua" w:hAnsi="Book Antiqua" w:cs="Arial"/>
        </w:rPr>
        <w:t xml:space="preserve">rticle 8 of the ECHR. </w:t>
      </w:r>
      <w:r w:rsidR="006C642C">
        <w:rPr>
          <w:rFonts w:ascii="Book Antiqua" w:hAnsi="Book Antiqua" w:cs="Arial"/>
        </w:rPr>
        <w:t xml:space="preserve">The judge confusingly states at paragraph 13 that “Article 8 has not been raised before me”. It is not clear to me on what basis he reached that decision. </w:t>
      </w:r>
      <w:r w:rsidR="000C2580">
        <w:rPr>
          <w:rFonts w:ascii="Book Antiqua" w:hAnsi="Book Antiqua" w:cs="Arial"/>
        </w:rPr>
        <w:t xml:space="preserve">The issue for the judge </w:t>
      </w:r>
      <w:r w:rsidR="0062053B">
        <w:rPr>
          <w:rFonts w:ascii="Book Antiqua" w:hAnsi="Book Antiqua" w:cs="Arial"/>
        </w:rPr>
        <w:t>to decide was not</w:t>
      </w:r>
      <w:r w:rsidR="00277513">
        <w:rPr>
          <w:rFonts w:ascii="Book Antiqua" w:hAnsi="Book Antiqua" w:cs="Arial"/>
        </w:rPr>
        <w:t xml:space="preserve"> only to decide whether the Immigration R</w:t>
      </w:r>
      <w:r w:rsidR="000C2580">
        <w:rPr>
          <w:rFonts w:ascii="Book Antiqua" w:hAnsi="Book Antiqua" w:cs="Arial"/>
        </w:rPr>
        <w:t xml:space="preserve">ules </w:t>
      </w:r>
      <w:r w:rsidR="00277513">
        <w:rPr>
          <w:rFonts w:ascii="Book Antiqua" w:hAnsi="Book Antiqua" w:cs="Arial"/>
        </w:rPr>
        <w:t>had been satis</w:t>
      </w:r>
      <w:r w:rsidR="000C2580">
        <w:rPr>
          <w:rFonts w:ascii="Book Antiqua" w:hAnsi="Book Antiqua" w:cs="Arial"/>
        </w:rPr>
        <w:t>fied (although this is a matter of weight in determining the proportionality of denying any entry clearance</w:t>
      </w:r>
      <w:r w:rsidR="0062053B">
        <w:rPr>
          <w:rFonts w:ascii="Book Antiqua" w:hAnsi="Book Antiqua" w:cs="Arial"/>
        </w:rPr>
        <w:t xml:space="preserve">) but whether </w:t>
      </w:r>
      <w:r w:rsidR="000C2580">
        <w:rPr>
          <w:rFonts w:ascii="Book Antiqua" w:hAnsi="Book Antiqua" w:cs="Arial"/>
        </w:rPr>
        <w:t xml:space="preserve">refusing entry </w:t>
      </w:r>
      <w:r w:rsidR="0062053B">
        <w:rPr>
          <w:rFonts w:ascii="Book Antiqua" w:hAnsi="Book Antiqua" w:cs="Arial"/>
        </w:rPr>
        <w:t>clearance would be contrary to A</w:t>
      </w:r>
      <w:r w:rsidR="000C2580">
        <w:rPr>
          <w:rFonts w:ascii="Book Antiqua" w:hAnsi="Book Antiqua" w:cs="Arial"/>
        </w:rPr>
        <w:t xml:space="preserve">rticle 8 of the ECHR. </w:t>
      </w:r>
      <w:r w:rsidR="00277513">
        <w:rPr>
          <w:rFonts w:ascii="Book Antiqua" w:hAnsi="Book Antiqua" w:cs="Arial"/>
        </w:rPr>
        <w:t xml:space="preserve"> The Immigration Rules reflect the Secretary of State’s (and the ECO’s) view as to where the public interest lies in the proportionality assessment under Article 8. A failure to lawfully assess whether the requirements of the Rules are met clearly impinges on the assessment of where the public interest lies in the overarching proportionality assessment required under Article 8.</w:t>
      </w:r>
      <w:r w:rsidR="006C642C">
        <w:rPr>
          <w:rFonts w:ascii="Book Antiqua" w:hAnsi="Book Antiqua" w:cs="Arial"/>
        </w:rPr>
        <w:t xml:space="preserve"> If the judge’s conclusions on the genuineness of the relationship were properly made then there would no material error in respect of this issue. </w:t>
      </w:r>
      <w:proofErr w:type="gramStart"/>
      <w:r w:rsidR="006C642C">
        <w:rPr>
          <w:rFonts w:ascii="Book Antiqua" w:hAnsi="Book Antiqua" w:cs="Arial"/>
        </w:rPr>
        <w:t>However</w:t>
      </w:r>
      <w:proofErr w:type="gramEnd"/>
      <w:r w:rsidR="006C642C">
        <w:rPr>
          <w:rFonts w:ascii="Book Antiqua" w:hAnsi="Book Antiqua" w:cs="Arial"/>
        </w:rPr>
        <w:t xml:space="preserve"> the reasons I have given above, I am satisfied that the judge gave inadequate reasoning at paragraph 11 and 12 by failing to take into account all of the evidence when reaching an overall conclusion of what was the principal issue namely the genuineness of the relationship and whether it was subsisting or not.</w:t>
      </w:r>
    </w:p>
    <w:p w:rsidR="00E71567" w:rsidRDefault="008C2BFF" w:rsidP="00E71567">
      <w:pPr>
        <w:numPr>
          <w:ilvl w:val="0"/>
          <w:numId w:val="3"/>
        </w:numPr>
        <w:spacing w:before="240"/>
        <w:jc w:val="both"/>
        <w:rPr>
          <w:rFonts w:ascii="Book Antiqua" w:hAnsi="Book Antiqua" w:cs="Arial"/>
        </w:rPr>
      </w:pPr>
      <w:r>
        <w:rPr>
          <w:rFonts w:ascii="Book Antiqua" w:hAnsi="Book Antiqua" w:cs="Arial"/>
        </w:rPr>
        <w:t>For those reasons</w:t>
      </w:r>
      <w:r w:rsidR="000C2580">
        <w:rPr>
          <w:rFonts w:ascii="Book Antiqua" w:hAnsi="Book Antiqua" w:cs="Arial"/>
        </w:rPr>
        <w:t xml:space="preserve">, I am satisfied that the </w:t>
      </w:r>
      <w:r w:rsidR="0062053B">
        <w:rPr>
          <w:rFonts w:ascii="Book Antiqua" w:hAnsi="Book Antiqua" w:cs="Arial"/>
        </w:rPr>
        <w:t>decision of the F</w:t>
      </w:r>
      <w:r w:rsidR="000C2580">
        <w:rPr>
          <w:rFonts w:ascii="Book Antiqua" w:hAnsi="Book Antiqua" w:cs="Arial"/>
        </w:rPr>
        <w:t xml:space="preserve">irst-tier </w:t>
      </w:r>
      <w:r w:rsidR="009B2D09">
        <w:rPr>
          <w:rFonts w:ascii="Book Antiqua" w:hAnsi="Book Antiqua" w:cs="Arial"/>
        </w:rPr>
        <w:t>Tribunal</w:t>
      </w:r>
      <w:r w:rsidR="000C2580">
        <w:rPr>
          <w:rFonts w:ascii="Book Antiqua" w:hAnsi="Book Antiqua" w:cs="Arial"/>
        </w:rPr>
        <w:t xml:space="preserve"> judge involve</w:t>
      </w:r>
      <w:r w:rsidR="0062053B">
        <w:rPr>
          <w:rFonts w:ascii="Book Antiqua" w:hAnsi="Book Antiqua" w:cs="Arial"/>
        </w:rPr>
        <w:t>d</w:t>
      </w:r>
      <w:r w:rsidR="000C2580">
        <w:rPr>
          <w:rFonts w:ascii="Book Antiqua" w:hAnsi="Book Antiqua" w:cs="Arial"/>
        </w:rPr>
        <w:t xml:space="preserve"> the making of an error of law and therefore the decision cannot stand and shall be set aside.</w:t>
      </w:r>
    </w:p>
    <w:p w:rsidR="00521FD6" w:rsidRDefault="00521FD6" w:rsidP="00521FD6">
      <w:pPr>
        <w:jc w:val="both"/>
        <w:rPr>
          <w:rFonts w:ascii="Book Antiqua" w:hAnsi="Book Antiqua" w:cs="Arial"/>
        </w:rPr>
      </w:pPr>
    </w:p>
    <w:p w:rsidR="008C2BFF" w:rsidRDefault="008C2BFF" w:rsidP="00521FD6">
      <w:pPr>
        <w:numPr>
          <w:ilvl w:val="0"/>
          <w:numId w:val="3"/>
        </w:numPr>
        <w:rPr>
          <w:rFonts w:ascii="Book Antiqua" w:hAnsi="Book Antiqua"/>
        </w:rPr>
      </w:pPr>
      <w:r w:rsidRPr="00944BDD">
        <w:rPr>
          <w:rFonts w:ascii="Book Antiqua" w:hAnsi="Book Antiqua"/>
        </w:rPr>
        <w:t xml:space="preserve">Under Part 3 paragraph 7.2(b) of the Upper </w:t>
      </w:r>
      <w:r w:rsidR="009B2D09">
        <w:rPr>
          <w:rFonts w:ascii="Book Antiqua" w:hAnsi="Book Antiqua"/>
        </w:rPr>
        <w:t>Tribunal</w:t>
      </w:r>
      <w:r w:rsidRPr="00944BDD">
        <w:rPr>
          <w:rFonts w:ascii="Book Antiqua" w:hAnsi="Book Antiqua"/>
        </w:rPr>
        <w:t xml:space="preserve"> Practice Statement of the 25th of September 2012 the case may be remitted to the First-tier </w:t>
      </w:r>
      <w:r w:rsidR="009B2D09">
        <w:rPr>
          <w:rFonts w:ascii="Book Antiqua" w:hAnsi="Book Antiqua"/>
        </w:rPr>
        <w:t>Tribunal</w:t>
      </w:r>
      <w:r w:rsidRPr="00944BDD">
        <w:rPr>
          <w:rFonts w:ascii="Book Antiqua" w:hAnsi="Book Antiqua"/>
        </w:rPr>
        <w:t xml:space="preserve"> if the Upper </w:t>
      </w:r>
      <w:r w:rsidR="009B2D09">
        <w:rPr>
          <w:rFonts w:ascii="Book Antiqua" w:hAnsi="Book Antiqua"/>
        </w:rPr>
        <w:t>Tribunal</w:t>
      </w:r>
      <w:r w:rsidRPr="00944BDD">
        <w:rPr>
          <w:rFonts w:ascii="Book Antiqua" w:hAnsi="Book Antiqua"/>
        </w:rPr>
        <w:t xml:space="preserve"> is satisfied that:</w:t>
      </w:r>
      <w:r w:rsidRPr="00944BDD">
        <w:rPr>
          <w:rFonts w:ascii="Book Antiqua" w:hAnsi="Book Antiqua"/>
        </w:rPr>
        <w:br/>
        <w:t xml:space="preserve">(a) the effect of the error has been to deprive a party before the First-tier </w:t>
      </w:r>
      <w:r w:rsidR="009B2D09">
        <w:rPr>
          <w:rFonts w:ascii="Book Antiqua" w:hAnsi="Book Antiqua"/>
        </w:rPr>
        <w:t>Tribunal</w:t>
      </w:r>
      <w:r w:rsidRPr="00944BDD">
        <w:rPr>
          <w:rFonts w:ascii="Book Antiqua" w:hAnsi="Book Antiqua"/>
        </w:rPr>
        <w:t xml:space="preserve"> of a fair hearing or other opportunity for that party's case to be put to and considered by the First-tier </w:t>
      </w:r>
      <w:r w:rsidR="009B2D09">
        <w:rPr>
          <w:rFonts w:ascii="Book Antiqua" w:hAnsi="Book Antiqua"/>
        </w:rPr>
        <w:t>Tribunal</w:t>
      </w:r>
      <w:r w:rsidRPr="00944BDD">
        <w:rPr>
          <w:rFonts w:ascii="Book Antiqua" w:hAnsi="Book Antiqua"/>
        </w:rPr>
        <w:t xml:space="preserve">; or </w:t>
      </w:r>
      <w:r w:rsidRPr="00944BDD">
        <w:rPr>
          <w:rFonts w:ascii="Book Antiqua" w:hAnsi="Book Antiqua"/>
        </w:rPr>
        <w:br/>
        <w:t>(b) the nature or extent of any judicial fact finding which is necessary in order for the decision in the appeal to be re-made is such that, having regard to the overriding objective in rule 2, it is appropriate to remit the case to the First-tie</w:t>
      </w:r>
      <w:r>
        <w:rPr>
          <w:rFonts w:ascii="Book Antiqua" w:hAnsi="Book Antiqua"/>
        </w:rPr>
        <w:t xml:space="preserve">r </w:t>
      </w:r>
      <w:r w:rsidR="009B2D09">
        <w:rPr>
          <w:rFonts w:ascii="Book Antiqua" w:hAnsi="Book Antiqua"/>
        </w:rPr>
        <w:t>Tribunal</w:t>
      </w:r>
      <w:r>
        <w:rPr>
          <w:rFonts w:ascii="Book Antiqua" w:hAnsi="Book Antiqua"/>
        </w:rPr>
        <w:t xml:space="preserve">. </w:t>
      </w:r>
      <w:bookmarkStart w:id="0" w:name="_GoBack"/>
      <w:bookmarkEnd w:id="0"/>
    </w:p>
    <w:p w:rsidR="008C2BFF" w:rsidRDefault="008C2BFF" w:rsidP="00521FD6">
      <w:pPr>
        <w:pStyle w:val="ListParagraph"/>
        <w:ind w:left="0"/>
        <w:rPr>
          <w:rFonts w:ascii="Book Antiqua" w:hAnsi="Book Antiqua"/>
        </w:rPr>
      </w:pPr>
    </w:p>
    <w:p w:rsidR="008C2BFF" w:rsidRPr="008C2BFF" w:rsidRDefault="008C2BFF" w:rsidP="008C2BFF">
      <w:pPr>
        <w:numPr>
          <w:ilvl w:val="0"/>
          <w:numId w:val="3"/>
        </w:numPr>
        <w:rPr>
          <w:rFonts w:ascii="Book Antiqua" w:hAnsi="Book Antiqua"/>
        </w:rPr>
      </w:pPr>
      <w:r>
        <w:rPr>
          <w:rFonts w:ascii="Book Antiqua" w:hAnsi="Book Antiqua"/>
        </w:rPr>
        <w:t>In this case I</w:t>
      </w:r>
      <w:r w:rsidRPr="00944BDD">
        <w:rPr>
          <w:rFonts w:ascii="Book Antiqua" w:hAnsi="Book Antiqua"/>
        </w:rPr>
        <w:t xml:space="preserve"> have determined that the case should be remitted because a new fact-finding exercise is</w:t>
      </w:r>
      <w:r>
        <w:rPr>
          <w:rFonts w:ascii="Book Antiqua" w:hAnsi="Book Antiqua"/>
        </w:rPr>
        <w:t xml:space="preserve"> required </w:t>
      </w:r>
      <w:r w:rsidRPr="00944BDD">
        <w:rPr>
          <w:rFonts w:ascii="Book Antiqua" w:hAnsi="Book Antiqua"/>
        </w:rPr>
        <w:t>and a complete re-hearing is necessary.</w:t>
      </w:r>
    </w:p>
    <w:p w:rsidR="000C2580" w:rsidRPr="00E71567" w:rsidRDefault="000C2580" w:rsidP="00E71567">
      <w:pPr>
        <w:numPr>
          <w:ilvl w:val="0"/>
          <w:numId w:val="3"/>
        </w:numPr>
        <w:spacing w:before="240"/>
        <w:jc w:val="both"/>
        <w:rPr>
          <w:rFonts w:ascii="Book Antiqua" w:hAnsi="Book Antiqua" w:cs="Arial"/>
        </w:rPr>
      </w:pPr>
      <w:proofErr w:type="gramStart"/>
      <w:r>
        <w:rPr>
          <w:rFonts w:ascii="Book Antiqua" w:hAnsi="Book Antiqua" w:cs="Arial"/>
        </w:rPr>
        <w:t>Thus</w:t>
      </w:r>
      <w:proofErr w:type="gramEnd"/>
      <w:r>
        <w:rPr>
          <w:rFonts w:ascii="Book Antiqua" w:hAnsi="Book Antiqua" w:cs="Arial"/>
        </w:rPr>
        <w:t xml:space="preserve"> the appeal shall </w:t>
      </w:r>
      <w:r w:rsidR="008C2BFF">
        <w:rPr>
          <w:rFonts w:ascii="Book Antiqua" w:hAnsi="Book Antiqua" w:cs="Arial"/>
        </w:rPr>
        <w:t>be remitted to the F</w:t>
      </w:r>
      <w:r>
        <w:rPr>
          <w:rFonts w:ascii="Book Antiqua" w:hAnsi="Book Antiqua" w:cs="Arial"/>
        </w:rPr>
        <w:t xml:space="preserve">irst-tier </w:t>
      </w:r>
      <w:r w:rsidR="009B2D09">
        <w:rPr>
          <w:rFonts w:ascii="Book Antiqua" w:hAnsi="Book Antiqua" w:cs="Arial"/>
        </w:rPr>
        <w:t>Tribunal</w:t>
      </w:r>
      <w:r w:rsidR="008C2BFF">
        <w:rPr>
          <w:rFonts w:ascii="Book Antiqua" w:hAnsi="Book Antiqua" w:cs="Arial"/>
        </w:rPr>
        <w:t xml:space="preserve"> where it is anticipated that</w:t>
      </w:r>
      <w:r>
        <w:rPr>
          <w:rFonts w:ascii="Book Antiqua" w:hAnsi="Book Antiqua" w:cs="Arial"/>
        </w:rPr>
        <w:t xml:space="preserve"> evidence will be given</w:t>
      </w:r>
      <w:r w:rsidR="0062053B">
        <w:rPr>
          <w:rFonts w:ascii="Book Antiqua" w:hAnsi="Book Antiqua" w:cs="Arial"/>
        </w:rPr>
        <w:t xml:space="preserve"> and factual findings made on all outstanding issues applying the correct legal framework.</w:t>
      </w:r>
      <w:r>
        <w:rPr>
          <w:rFonts w:ascii="Book Antiqua" w:hAnsi="Book Antiqua" w:cs="Arial"/>
        </w:rPr>
        <w:t xml:space="preserve"> </w:t>
      </w:r>
    </w:p>
    <w:p w:rsidR="009C74C5" w:rsidRPr="009C74C5" w:rsidRDefault="009C74C5" w:rsidP="009C74C5">
      <w:pPr>
        <w:spacing w:before="240"/>
        <w:ind w:left="567"/>
        <w:jc w:val="both"/>
        <w:rPr>
          <w:rFonts w:ascii="Book Antiqua" w:hAnsi="Book Antiqua" w:cs="Arial"/>
          <w:b/>
          <w:u w:val="single"/>
        </w:rPr>
      </w:pPr>
      <w:r w:rsidRPr="009C74C5">
        <w:rPr>
          <w:rFonts w:ascii="Book Antiqua" w:hAnsi="Book Antiqua" w:cs="Arial"/>
          <w:b/>
          <w:u w:val="single"/>
        </w:rPr>
        <w:lastRenderedPageBreak/>
        <w:t>Decision:</w:t>
      </w:r>
    </w:p>
    <w:p w:rsidR="009C74C5" w:rsidRDefault="009C74C5" w:rsidP="009C74C5">
      <w:pPr>
        <w:spacing w:before="240"/>
        <w:ind w:left="567"/>
        <w:jc w:val="both"/>
        <w:rPr>
          <w:rFonts w:ascii="Book Antiqua" w:hAnsi="Book Antiqua" w:cs="Arial"/>
        </w:rPr>
      </w:pPr>
      <w:r>
        <w:rPr>
          <w:rFonts w:ascii="Book Antiqua" w:hAnsi="Book Antiqua" w:cs="Arial"/>
        </w:rPr>
        <w:t xml:space="preserve">The decision of the First-tier </w:t>
      </w:r>
      <w:r w:rsidR="009B2D09">
        <w:rPr>
          <w:rFonts w:ascii="Book Antiqua" w:hAnsi="Book Antiqua" w:cs="Arial"/>
        </w:rPr>
        <w:t>Tribunal</w:t>
      </w:r>
      <w:r>
        <w:rPr>
          <w:rFonts w:ascii="Book Antiqua" w:hAnsi="Book Antiqua" w:cs="Arial"/>
        </w:rPr>
        <w:t xml:space="preserve"> </w:t>
      </w:r>
      <w:r w:rsidR="000F4508">
        <w:rPr>
          <w:rFonts w:ascii="Book Antiqua" w:hAnsi="Book Antiqua" w:cs="Arial"/>
        </w:rPr>
        <w:t>did</w:t>
      </w:r>
      <w:r w:rsidR="004C0B69">
        <w:rPr>
          <w:rFonts w:ascii="Book Antiqua" w:hAnsi="Book Antiqua" w:cs="Arial"/>
        </w:rPr>
        <w:t xml:space="preserve"> involve</w:t>
      </w:r>
      <w:r>
        <w:rPr>
          <w:rFonts w:ascii="Book Antiqua" w:hAnsi="Book Antiqua" w:cs="Arial"/>
        </w:rPr>
        <w:t xml:space="preserve"> the making of an error on </w:t>
      </w:r>
      <w:r w:rsidR="004C4587">
        <w:rPr>
          <w:rFonts w:ascii="Book Antiqua" w:hAnsi="Book Antiqua" w:cs="Arial"/>
        </w:rPr>
        <w:t xml:space="preserve">a point of </w:t>
      </w:r>
      <w:r w:rsidR="000F4508">
        <w:rPr>
          <w:rFonts w:ascii="Book Antiqua" w:hAnsi="Book Antiqua" w:cs="Arial"/>
        </w:rPr>
        <w:t xml:space="preserve">law and the appeal is remitted to the First-tier </w:t>
      </w:r>
      <w:r w:rsidR="009B2D09">
        <w:rPr>
          <w:rFonts w:ascii="Book Antiqua" w:hAnsi="Book Antiqua" w:cs="Arial"/>
        </w:rPr>
        <w:t>Tribunal</w:t>
      </w:r>
      <w:r w:rsidR="004C0B69">
        <w:rPr>
          <w:rFonts w:ascii="Book Antiqua" w:hAnsi="Book Antiqua" w:cs="Arial"/>
        </w:rPr>
        <w:t>.</w:t>
      </w:r>
    </w:p>
    <w:p w:rsidR="00C77259" w:rsidRPr="00C77259" w:rsidRDefault="00C77259" w:rsidP="00C77259">
      <w:pPr>
        <w:jc w:val="both"/>
        <w:rPr>
          <w:rFonts w:ascii="Book Antiqua" w:hAnsi="Book Antiqua" w:cs="Arial"/>
        </w:rPr>
      </w:pPr>
    </w:p>
    <w:p w:rsidR="00F7453B" w:rsidRDefault="00F7453B" w:rsidP="00C77259">
      <w:pPr>
        <w:jc w:val="both"/>
        <w:rPr>
          <w:rFonts w:ascii="Book Antiqua" w:hAnsi="Book Antiqua" w:cs="Arial"/>
          <w:b/>
        </w:rPr>
      </w:pPr>
    </w:p>
    <w:p w:rsidR="00E76309" w:rsidRPr="00F5664C" w:rsidRDefault="00E76309" w:rsidP="000369F5">
      <w:pPr>
        <w:tabs>
          <w:tab w:val="left" w:pos="2520"/>
        </w:tabs>
        <w:jc w:val="both"/>
        <w:rPr>
          <w:rFonts w:ascii="Book Antiqua" w:hAnsi="Book Antiqua" w:cs="Arial"/>
        </w:rPr>
      </w:pP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927F03" w:rsidRDefault="006E3C90" w:rsidP="000369F5">
      <w:pPr>
        <w:tabs>
          <w:tab w:val="left" w:pos="2520"/>
        </w:tabs>
        <w:jc w:val="both"/>
        <w:rPr>
          <w:rFonts w:ascii="Book Antiqua" w:hAnsi="Book Antiqua" w:cs="Arial"/>
        </w:rPr>
      </w:pPr>
      <w:r w:rsidRPr="00F5664C">
        <w:rPr>
          <w:rFonts w:ascii="Book Antiqua" w:hAnsi="Book Antiqua" w:cs="Arial"/>
        </w:rPr>
        <w:t>Signed</w:t>
      </w:r>
      <w:r w:rsidR="00927F03">
        <w:rPr>
          <w:rFonts w:ascii="Book Antiqua" w:hAnsi="Book Antiqua" w:cs="Arial"/>
        </w:rPr>
        <w:t xml:space="preserve"> </w:t>
      </w:r>
      <w:r w:rsidR="00C90068" w:rsidRPr="00636DC8">
        <w:rPr>
          <w:rFonts w:ascii="Book Antiqua" w:hAnsi="Book Antiqua"/>
          <w:b/>
          <w:noProof/>
        </w:rPr>
        <w:drawing>
          <wp:inline distT="0" distB="0" distL="0" distR="0">
            <wp:extent cx="1301115" cy="42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115" cy="429260"/>
                    </a:xfrm>
                    <a:prstGeom prst="rect">
                      <a:avLst/>
                    </a:prstGeom>
                    <a:noFill/>
                    <a:ln>
                      <a:noFill/>
                    </a:ln>
                  </pic:spPr>
                </pic:pic>
              </a:graphicData>
            </a:graphic>
          </wp:inline>
        </w:drawing>
      </w: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753EE">
        <w:rPr>
          <w:rFonts w:ascii="Book Antiqua" w:hAnsi="Book Antiqua" w:cs="Arial"/>
        </w:rPr>
        <w:t xml:space="preserve">: </w:t>
      </w:r>
      <w:r w:rsidR="00AC31D7">
        <w:rPr>
          <w:rFonts w:ascii="Book Antiqua" w:hAnsi="Book Antiqua" w:cs="Arial"/>
        </w:rPr>
        <w:t>20</w:t>
      </w:r>
      <w:r w:rsidR="00AC31D7" w:rsidRPr="00AC31D7">
        <w:rPr>
          <w:rFonts w:ascii="Book Antiqua" w:hAnsi="Book Antiqua" w:cs="Arial"/>
          <w:vertAlign w:val="superscript"/>
        </w:rPr>
        <w:t>th</w:t>
      </w:r>
      <w:r w:rsidR="00AC31D7">
        <w:rPr>
          <w:rFonts w:ascii="Book Antiqua" w:hAnsi="Book Antiqua" w:cs="Arial"/>
        </w:rPr>
        <w:t xml:space="preserve"> June</w:t>
      </w:r>
      <w:r w:rsidR="00B2567A">
        <w:rPr>
          <w:rFonts w:ascii="Book Antiqua" w:hAnsi="Book Antiqua" w:cs="Arial"/>
        </w:rPr>
        <w:t xml:space="preserve">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Upper </w:t>
      </w:r>
      <w:r w:rsidR="009B2D09">
        <w:rPr>
          <w:rFonts w:ascii="Book Antiqua" w:hAnsi="Book Antiqua" w:cs="Arial"/>
        </w:rPr>
        <w:t>Tribunal</w:t>
      </w:r>
      <w:r>
        <w:rPr>
          <w:rFonts w:ascii="Book Antiqua" w:hAnsi="Book Antiqua" w:cs="Arial"/>
        </w:rPr>
        <w:t xml:space="preserve"> Judge </w:t>
      </w:r>
      <w:r w:rsidR="000E4845">
        <w:rPr>
          <w:rFonts w:ascii="Book Antiqua" w:hAnsi="Book Antiqua" w:cs="Arial"/>
        </w:rPr>
        <w:t>Reeds</w:t>
      </w:r>
    </w:p>
    <w:sectPr w:rsidR="005B7789" w:rsidRPr="00F5664C" w:rsidSect="00950FF2">
      <w:headerReference w:type="default" r:id="rId9"/>
      <w:footerReference w:type="defaul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D0A" w:rsidRDefault="00FA2D0A">
      <w:r>
        <w:separator/>
      </w:r>
    </w:p>
  </w:endnote>
  <w:endnote w:type="continuationSeparator" w:id="0">
    <w:p w:rsidR="00FA2D0A" w:rsidRDefault="00FA2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950FF2" w:rsidRDefault="00CE3996" w:rsidP="00593795">
    <w:pPr>
      <w:pStyle w:val="Footer"/>
      <w:jc w:val="center"/>
      <w:rPr>
        <w:rFonts w:ascii="Book Antiqua" w:hAnsi="Book Antiqua" w:cs="Arial"/>
      </w:rPr>
    </w:pPr>
    <w:r w:rsidRPr="00950FF2">
      <w:rPr>
        <w:rStyle w:val="PageNumber"/>
        <w:rFonts w:ascii="Book Antiqua" w:hAnsi="Book Antiqua" w:cs="Arial"/>
      </w:rPr>
      <w:fldChar w:fldCharType="begin"/>
    </w:r>
    <w:r w:rsidRPr="00950FF2">
      <w:rPr>
        <w:rStyle w:val="PageNumber"/>
        <w:rFonts w:ascii="Book Antiqua" w:hAnsi="Book Antiqua" w:cs="Arial"/>
      </w:rPr>
      <w:instrText xml:space="preserve"> PAGE </w:instrText>
    </w:r>
    <w:r w:rsidRPr="00950FF2">
      <w:rPr>
        <w:rStyle w:val="PageNumber"/>
        <w:rFonts w:ascii="Book Antiqua" w:hAnsi="Book Antiqua" w:cs="Arial"/>
      </w:rPr>
      <w:fldChar w:fldCharType="separate"/>
    </w:r>
    <w:r w:rsidR="00BE4B65">
      <w:rPr>
        <w:rStyle w:val="PageNumber"/>
        <w:rFonts w:ascii="Book Antiqua" w:hAnsi="Book Antiqua" w:cs="Arial"/>
        <w:noProof/>
      </w:rPr>
      <w:t>5</w:t>
    </w:r>
    <w:r w:rsidRPr="00950FF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842418">
    <w:pPr>
      <w:jc w:val="center"/>
      <w:rPr>
        <w:rFonts w:ascii="Book Antiqua" w:hAnsi="Book Antiqua" w:cs="Arial"/>
        <w:b/>
      </w:rPr>
    </w:pPr>
    <w:r w:rsidRPr="00F5664C">
      <w:rPr>
        <w:rFonts w:ascii="Book Antiqua" w:hAnsi="Book Antiqua" w:cs="Arial"/>
        <w:b/>
        <w:spacing w:val="-6"/>
      </w:rPr>
      <w:t>©</w:t>
    </w:r>
    <w:r w:rsidR="000D436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D0A" w:rsidRDefault="00FA2D0A">
      <w:r>
        <w:separator/>
      </w:r>
    </w:p>
  </w:footnote>
  <w:footnote w:type="continuationSeparator" w:id="0">
    <w:p w:rsidR="00FA2D0A" w:rsidRDefault="00FA2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Default="00CE3996" w:rsidP="000369F5">
    <w:pPr>
      <w:pStyle w:val="Header"/>
      <w:tabs>
        <w:tab w:val="clear" w:pos="4153"/>
        <w:tab w:val="clear" w:pos="8306"/>
        <w:tab w:val="right" w:pos="9639"/>
      </w:tabs>
      <w:jc w:val="right"/>
      <w:rPr>
        <w:rFonts w:ascii="Book Antiqua" w:hAnsi="Book Antiqua" w:cs="Arial"/>
        <w:caps/>
        <w:sz w:val="16"/>
        <w:szCs w:val="16"/>
      </w:rPr>
    </w:pPr>
    <w:r w:rsidRPr="007D0CFC">
      <w:rPr>
        <w:rFonts w:ascii="Book Antiqua" w:hAnsi="Book Antiqua" w:cs="Arial"/>
        <w:sz w:val="16"/>
        <w:szCs w:val="16"/>
      </w:rPr>
      <w:t xml:space="preserve">Appeal Number: </w:t>
    </w:r>
    <w:r w:rsidR="00AC31D7">
      <w:rPr>
        <w:rFonts w:ascii="Book Antiqua" w:hAnsi="Book Antiqua" w:cs="Arial"/>
        <w:caps/>
        <w:sz w:val="16"/>
        <w:szCs w:val="16"/>
      </w:rPr>
      <w:t>HU/05554</w:t>
    </w:r>
    <w:r w:rsidRPr="007D0CFC">
      <w:rPr>
        <w:rFonts w:ascii="Book Antiqua" w:hAnsi="Book Antiqua" w:cs="Arial"/>
        <w:caps/>
        <w:sz w:val="16"/>
        <w:szCs w:val="16"/>
      </w:rPr>
      <w:t>/201</w:t>
    </w:r>
    <w:r w:rsidR="00B40B20">
      <w:rPr>
        <w:rFonts w:ascii="Book Antiqua" w:hAnsi="Book Antiqua" w:cs="Arial"/>
        <w:caps/>
        <w:sz w:val="16"/>
        <w:szCs w:val="16"/>
      </w:rPr>
      <w:t>5</w:t>
    </w:r>
  </w:p>
  <w:p w:rsidR="00950FF2" w:rsidRPr="007D0CFC" w:rsidRDefault="00950FF2" w:rsidP="000369F5">
    <w:pPr>
      <w:pStyle w:val="Header"/>
      <w:tabs>
        <w:tab w:val="clear" w:pos="4153"/>
        <w:tab w:val="clear" w:pos="8306"/>
        <w:tab w:val="right" w:pos="9639"/>
      </w:tabs>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6E9867B-2014-4FBB-87FB-48D17E41F52E}"/>
    <w:docVar w:name="dgnword-eventsink" w:val="438779616"/>
  </w:docVars>
  <w:rsids>
    <w:rsidRoot w:val="004F053E"/>
    <w:rsid w:val="00000621"/>
    <w:rsid w:val="00001F88"/>
    <w:rsid w:val="000036C2"/>
    <w:rsid w:val="00023D8C"/>
    <w:rsid w:val="00033D3D"/>
    <w:rsid w:val="00034EDB"/>
    <w:rsid w:val="000369F5"/>
    <w:rsid w:val="00043FB5"/>
    <w:rsid w:val="00067C88"/>
    <w:rsid w:val="00071A7E"/>
    <w:rsid w:val="000746C0"/>
    <w:rsid w:val="00074D1D"/>
    <w:rsid w:val="00074D77"/>
    <w:rsid w:val="00074FB7"/>
    <w:rsid w:val="00092580"/>
    <w:rsid w:val="000B22F7"/>
    <w:rsid w:val="000B25A9"/>
    <w:rsid w:val="000C2580"/>
    <w:rsid w:val="000C4E01"/>
    <w:rsid w:val="000D01C9"/>
    <w:rsid w:val="000D436D"/>
    <w:rsid w:val="000D5D94"/>
    <w:rsid w:val="000E0CD7"/>
    <w:rsid w:val="000E4845"/>
    <w:rsid w:val="000E7B48"/>
    <w:rsid w:val="000F4508"/>
    <w:rsid w:val="0010561B"/>
    <w:rsid w:val="00114F8B"/>
    <w:rsid w:val="001165A7"/>
    <w:rsid w:val="001233BA"/>
    <w:rsid w:val="00125219"/>
    <w:rsid w:val="001263E0"/>
    <w:rsid w:val="0014004A"/>
    <w:rsid w:val="00151BB7"/>
    <w:rsid w:val="00167D3A"/>
    <w:rsid w:val="001A1E2C"/>
    <w:rsid w:val="001D1159"/>
    <w:rsid w:val="001E381B"/>
    <w:rsid w:val="001E47A5"/>
    <w:rsid w:val="001F1F0A"/>
    <w:rsid w:val="001F2716"/>
    <w:rsid w:val="0020133A"/>
    <w:rsid w:val="00207617"/>
    <w:rsid w:val="00215630"/>
    <w:rsid w:val="00255071"/>
    <w:rsid w:val="00277513"/>
    <w:rsid w:val="00283659"/>
    <w:rsid w:val="00291ECF"/>
    <w:rsid w:val="002A1714"/>
    <w:rsid w:val="002A3A92"/>
    <w:rsid w:val="002B1371"/>
    <w:rsid w:val="002C4E73"/>
    <w:rsid w:val="002D56DC"/>
    <w:rsid w:val="002D68BF"/>
    <w:rsid w:val="003011E1"/>
    <w:rsid w:val="00336CBF"/>
    <w:rsid w:val="003505B1"/>
    <w:rsid w:val="003546C8"/>
    <w:rsid w:val="003A7CF2"/>
    <w:rsid w:val="003C5CE5"/>
    <w:rsid w:val="003D2CAA"/>
    <w:rsid w:val="003E267B"/>
    <w:rsid w:val="003E7CD1"/>
    <w:rsid w:val="00402B9E"/>
    <w:rsid w:val="004064D0"/>
    <w:rsid w:val="00423932"/>
    <w:rsid w:val="004249CB"/>
    <w:rsid w:val="00437B5C"/>
    <w:rsid w:val="0044127D"/>
    <w:rsid w:val="004448DB"/>
    <w:rsid w:val="00444CAD"/>
    <w:rsid w:val="00446C9A"/>
    <w:rsid w:val="00464ACF"/>
    <w:rsid w:val="0046742D"/>
    <w:rsid w:val="00477193"/>
    <w:rsid w:val="0049657B"/>
    <w:rsid w:val="004A1848"/>
    <w:rsid w:val="004B25A1"/>
    <w:rsid w:val="004C0B69"/>
    <w:rsid w:val="004C4587"/>
    <w:rsid w:val="004D2791"/>
    <w:rsid w:val="004E50B1"/>
    <w:rsid w:val="004F053E"/>
    <w:rsid w:val="004F6A57"/>
    <w:rsid w:val="00500C3F"/>
    <w:rsid w:val="00504D0D"/>
    <w:rsid w:val="00507FEC"/>
    <w:rsid w:val="00510F0E"/>
    <w:rsid w:val="00521FD6"/>
    <w:rsid w:val="00535953"/>
    <w:rsid w:val="005479E1"/>
    <w:rsid w:val="005549E3"/>
    <w:rsid w:val="005570FD"/>
    <w:rsid w:val="005575EA"/>
    <w:rsid w:val="0057790C"/>
    <w:rsid w:val="00580F82"/>
    <w:rsid w:val="00585E0A"/>
    <w:rsid w:val="00593795"/>
    <w:rsid w:val="005A4D0E"/>
    <w:rsid w:val="005A75FF"/>
    <w:rsid w:val="005B3FF6"/>
    <w:rsid w:val="005B7789"/>
    <w:rsid w:val="005C4825"/>
    <w:rsid w:val="005F330E"/>
    <w:rsid w:val="00601282"/>
    <w:rsid w:val="00610D5E"/>
    <w:rsid w:val="00615E8A"/>
    <w:rsid w:val="0062053B"/>
    <w:rsid w:val="00631736"/>
    <w:rsid w:val="00646601"/>
    <w:rsid w:val="006547D6"/>
    <w:rsid w:val="0065791C"/>
    <w:rsid w:val="00677A0E"/>
    <w:rsid w:val="006814B8"/>
    <w:rsid w:val="00681775"/>
    <w:rsid w:val="00683D5E"/>
    <w:rsid w:val="00687DCB"/>
    <w:rsid w:val="00690B8A"/>
    <w:rsid w:val="006A4F69"/>
    <w:rsid w:val="006C642C"/>
    <w:rsid w:val="006D1DFA"/>
    <w:rsid w:val="006D506B"/>
    <w:rsid w:val="006E3C90"/>
    <w:rsid w:val="00704B61"/>
    <w:rsid w:val="00707DB1"/>
    <w:rsid w:val="00723DEB"/>
    <w:rsid w:val="007325D8"/>
    <w:rsid w:val="007353BB"/>
    <w:rsid w:val="0073609A"/>
    <w:rsid w:val="00742A8D"/>
    <w:rsid w:val="007552A9"/>
    <w:rsid w:val="00761858"/>
    <w:rsid w:val="00767D59"/>
    <w:rsid w:val="00776E97"/>
    <w:rsid w:val="00780FD7"/>
    <w:rsid w:val="007912AD"/>
    <w:rsid w:val="007A1F28"/>
    <w:rsid w:val="007B0824"/>
    <w:rsid w:val="007C28B0"/>
    <w:rsid w:val="007C5368"/>
    <w:rsid w:val="007D0CFC"/>
    <w:rsid w:val="007D7562"/>
    <w:rsid w:val="00814196"/>
    <w:rsid w:val="008303B8"/>
    <w:rsid w:val="00833DCE"/>
    <w:rsid w:val="00842418"/>
    <w:rsid w:val="00846666"/>
    <w:rsid w:val="00856FA9"/>
    <w:rsid w:val="008634DB"/>
    <w:rsid w:val="00871D34"/>
    <w:rsid w:val="00877DDB"/>
    <w:rsid w:val="008921D0"/>
    <w:rsid w:val="008B270C"/>
    <w:rsid w:val="008C2BFF"/>
    <w:rsid w:val="008C3D3D"/>
    <w:rsid w:val="008C63D4"/>
    <w:rsid w:val="008D4131"/>
    <w:rsid w:val="008D7C3E"/>
    <w:rsid w:val="008F1932"/>
    <w:rsid w:val="008F294D"/>
    <w:rsid w:val="0091337D"/>
    <w:rsid w:val="00916FA7"/>
    <w:rsid w:val="00921062"/>
    <w:rsid w:val="0092618D"/>
    <w:rsid w:val="00927F03"/>
    <w:rsid w:val="0093083E"/>
    <w:rsid w:val="00950FF2"/>
    <w:rsid w:val="009510DF"/>
    <w:rsid w:val="00961DC8"/>
    <w:rsid w:val="00963953"/>
    <w:rsid w:val="00966ECF"/>
    <w:rsid w:val="009727A3"/>
    <w:rsid w:val="00974003"/>
    <w:rsid w:val="009838FE"/>
    <w:rsid w:val="00987774"/>
    <w:rsid w:val="00991DBA"/>
    <w:rsid w:val="009A11E8"/>
    <w:rsid w:val="009B2D09"/>
    <w:rsid w:val="009B6C45"/>
    <w:rsid w:val="009C142A"/>
    <w:rsid w:val="009C1643"/>
    <w:rsid w:val="009C74C5"/>
    <w:rsid w:val="009D2517"/>
    <w:rsid w:val="009E4E62"/>
    <w:rsid w:val="009F5220"/>
    <w:rsid w:val="009F7C4D"/>
    <w:rsid w:val="00A02D08"/>
    <w:rsid w:val="00A15234"/>
    <w:rsid w:val="00A201AB"/>
    <w:rsid w:val="00A23058"/>
    <w:rsid w:val="00A31C8B"/>
    <w:rsid w:val="00A572AF"/>
    <w:rsid w:val="00A57E6A"/>
    <w:rsid w:val="00A75400"/>
    <w:rsid w:val="00A75965"/>
    <w:rsid w:val="00A75B81"/>
    <w:rsid w:val="00A845DC"/>
    <w:rsid w:val="00A97AEE"/>
    <w:rsid w:val="00AC235A"/>
    <w:rsid w:val="00AC31D7"/>
    <w:rsid w:val="00AC5CF6"/>
    <w:rsid w:val="00AD2479"/>
    <w:rsid w:val="00B0096D"/>
    <w:rsid w:val="00B101A4"/>
    <w:rsid w:val="00B144FA"/>
    <w:rsid w:val="00B16F58"/>
    <w:rsid w:val="00B2567A"/>
    <w:rsid w:val="00B26BAE"/>
    <w:rsid w:val="00B30648"/>
    <w:rsid w:val="00B3524D"/>
    <w:rsid w:val="00B36A26"/>
    <w:rsid w:val="00B40B20"/>
    <w:rsid w:val="00B40F69"/>
    <w:rsid w:val="00B46616"/>
    <w:rsid w:val="00B5034A"/>
    <w:rsid w:val="00B57048"/>
    <w:rsid w:val="00B610E3"/>
    <w:rsid w:val="00B61205"/>
    <w:rsid w:val="00B617C4"/>
    <w:rsid w:val="00B626FA"/>
    <w:rsid w:val="00B7040A"/>
    <w:rsid w:val="00B71277"/>
    <w:rsid w:val="00B768CA"/>
    <w:rsid w:val="00B93FCC"/>
    <w:rsid w:val="00B96FA0"/>
    <w:rsid w:val="00BD4196"/>
    <w:rsid w:val="00BE4B65"/>
    <w:rsid w:val="00BE5270"/>
    <w:rsid w:val="00BE77AA"/>
    <w:rsid w:val="00BF22CA"/>
    <w:rsid w:val="00C06E2D"/>
    <w:rsid w:val="00C26032"/>
    <w:rsid w:val="00C265B0"/>
    <w:rsid w:val="00C312F9"/>
    <w:rsid w:val="00C321B5"/>
    <w:rsid w:val="00C345E1"/>
    <w:rsid w:val="00C423C9"/>
    <w:rsid w:val="00C44EFB"/>
    <w:rsid w:val="00C753EE"/>
    <w:rsid w:val="00C77259"/>
    <w:rsid w:val="00C81B5E"/>
    <w:rsid w:val="00C90068"/>
    <w:rsid w:val="00C94CDD"/>
    <w:rsid w:val="00C977BA"/>
    <w:rsid w:val="00CB4A10"/>
    <w:rsid w:val="00CB6E35"/>
    <w:rsid w:val="00CB6E42"/>
    <w:rsid w:val="00CC3436"/>
    <w:rsid w:val="00CC58F2"/>
    <w:rsid w:val="00CC6E9E"/>
    <w:rsid w:val="00CE1A46"/>
    <w:rsid w:val="00CE26B2"/>
    <w:rsid w:val="00CE3996"/>
    <w:rsid w:val="00CE5122"/>
    <w:rsid w:val="00CF253F"/>
    <w:rsid w:val="00CF56B4"/>
    <w:rsid w:val="00CF7EAD"/>
    <w:rsid w:val="00D162DB"/>
    <w:rsid w:val="00D20F09"/>
    <w:rsid w:val="00D22636"/>
    <w:rsid w:val="00D40FD9"/>
    <w:rsid w:val="00D46358"/>
    <w:rsid w:val="00D5124A"/>
    <w:rsid w:val="00D53769"/>
    <w:rsid w:val="00D60827"/>
    <w:rsid w:val="00D65912"/>
    <w:rsid w:val="00D85705"/>
    <w:rsid w:val="00D85C13"/>
    <w:rsid w:val="00D91BE3"/>
    <w:rsid w:val="00D923E0"/>
    <w:rsid w:val="00D94AFC"/>
    <w:rsid w:val="00DA084F"/>
    <w:rsid w:val="00DB2E7A"/>
    <w:rsid w:val="00DB70AE"/>
    <w:rsid w:val="00DB7231"/>
    <w:rsid w:val="00DD446E"/>
    <w:rsid w:val="00DD5071"/>
    <w:rsid w:val="00DD5C39"/>
    <w:rsid w:val="00DD7755"/>
    <w:rsid w:val="00DE26AF"/>
    <w:rsid w:val="00DE4D7B"/>
    <w:rsid w:val="00DE7DB7"/>
    <w:rsid w:val="00E00A0A"/>
    <w:rsid w:val="00E07F57"/>
    <w:rsid w:val="00E1040E"/>
    <w:rsid w:val="00E1193E"/>
    <w:rsid w:val="00E23B71"/>
    <w:rsid w:val="00E50BCE"/>
    <w:rsid w:val="00E61292"/>
    <w:rsid w:val="00E71567"/>
    <w:rsid w:val="00E76309"/>
    <w:rsid w:val="00E77C4D"/>
    <w:rsid w:val="00E81D01"/>
    <w:rsid w:val="00E93FDA"/>
    <w:rsid w:val="00EA4C45"/>
    <w:rsid w:val="00EE45D8"/>
    <w:rsid w:val="00F004CD"/>
    <w:rsid w:val="00F02062"/>
    <w:rsid w:val="00F0479F"/>
    <w:rsid w:val="00F05008"/>
    <w:rsid w:val="00F22A22"/>
    <w:rsid w:val="00F22EDA"/>
    <w:rsid w:val="00F3224D"/>
    <w:rsid w:val="00F33E0E"/>
    <w:rsid w:val="00F5664C"/>
    <w:rsid w:val="00F574B1"/>
    <w:rsid w:val="00F7453B"/>
    <w:rsid w:val="00FA2A3A"/>
    <w:rsid w:val="00FA2D0A"/>
    <w:rsid w:val="00FB7E80"/>
    <w:rsid w:val="00FC55CF"/>
    <w:rsid w:val="00FC71EC"/>
    <w:rsid w:val="00FE2B22"/>
    <w:rsid w:val="00FE3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CEEE9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1D1159"/>
    <w:rPr>
      <w:sz w:val="16"/>
      <w:szCs w:val="16"/>
    </w:rPr>
  </w:style>
  <w:style w:type="paragraph" w:styleId="CommentText">
    <w:name w:val="annotation text"/>
    <w:basedOn w:val="Normal"/>
    <w:link w:val="CommentTextChar"/>
    <w:rsid w:val="001D1159"/>
    <w:rPr>
      <w:sz w:val="20"/>
      <w:szCs w:val="20"/>
    </w:rPr>
  </w:style>
  <w:style w:type="character" w:customStyle="1" w:styleId="CommentTextChar">
    <w:name w:val="Comment Text Char"/>
    <w:basedOn w:val="DefaultParagraphFont"/>
    <w:link w:val="CommentText"/>
    <w:rsid w:val="001D1159"/>
  </w:style>
  <w:style w:type="paragraph" w:styleId="CommentSubject">
    <w:name w:val="annotation subject"/>
    <w:basedOn w:val="CommentText"/>
    <w:next w:val="CommentText"/>
    <w:link w:val="CommentSubjectChar"/>
    <w:rsid w:val="001D1159"/>
    <w:rPr>
      <w:b/>
      <w:bCs/>
    </w:rPr>
  </w:style>
  <w:style w:type="character" w:customStyle="1" w:styleId="CommentSubjectChar">
    <w:name w:val="Comment Subject Char"/>
    <w:link w:val="CommentSubject"/>
    <w:rsid w:val="001D1159"/>
    <w:rPr>
      <w:b/>
      <w:bCs/>
    </w:rPr>
  </w:style>
  <w:style w:type="paragraph" w:styleId="ListParagraph">
    <w:name w:val="List Paragraph"/>
    <w:basedOn w:val="Normal"/>
    <w:uiPriority w:val="34"/>
    <w:qFormat/>
    <w:rsid w:val="008C2BF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1935</Words>
  <Characters>9442</Characters>
  <Application>Microsoft Office Word</Application>
  <DocSecurity>0</DocSecurity>
  <Lines>78</Lines>
  <Paragraphs>22</Paragraphs>
  <ScaleCrop>false</ScaleCrop>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2018-07-13T15:29:00Z</dcterms:created>
  <dcterms:modified xsi:type="dcterms:W3CDTF">2018-07-13T15:29:00Z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