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6C2BB9" w14:textId="77777777" w:rsidR="008F0F55" w:rsidRPr="00DA035E" w:rsidRDefault="00F81D1E" w:rsidP="008F0F55">
      <w:pPr>
        <w:jc w:val="center"/>
        <w:rPr>
          <w:rFonts w:ascii="Book Antiqua" w:hAnsi="Book Antiqua" w:cs="Arial"/>
          <w:sz w:val="16"/>
          <w:szCs w:val="16"/>
        </w:rPr>
      </w:pPr>
      <w:r w:rsidRPr="00DA035E">
        <w:rPr>
          <w:rFonts w:ascii="Book Antiqua" w:hAnsi="Book Antiqua"/>
          <w:noProof/>
          <w:sz w:val="16"/>
          <w:szCs w:val="16"/>
        </w:rPr>
        <w:drawing>
          <wp:inline distT="0" distB="0" distL="0" distR="0" wp14:anchorId="79DE2956" wp14:editId="5AE4D16F">
            <wp:extent cx="1039495" cy="914400"/>
            <wp:effectExtent l="2540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1039495" cy="914400"/>
                    </a:xfrm>
                    <a:prstGeom prst="rect">
                      <a:avLst/>
                    </a:prstGeom>
                    <a:noFill/>
                    <a:ln w="9525">
                      <a:noFill/>
                      <a:miter lim="800000"/>
                      <a:headEnd/>
                      <a:tailEnd/>
                    </a:ln>
                  </pic:spPr>
                </pic:pic>
              </a:graphicData>
            </a:graphic>
          </wp:inline>
        </w:drawing>
      </w:r>
    </w:p>
    <w:p w14:paraId="16D64CA6" w14:textId="77777777" w:rsidR="008F0F55" w:rsidRPr="00DA035E" w:rsidRDefault="00264091">
      <w:pPr>
        <w:rPr>
          <w:rFonts w:ascii="Book Antiqua" w:hAnsi="Book Antiqua" w:cs="Arial"/>
          <w:sz w:val="16"/>
          <w:szCs w:val="16"/>
        </w:rPr>
      </w:pPr>
    </w:p>
    <w:p w14:paraId="36473A45" w14:textId="77777777" w:rsidR="008F0F55" w:rsidRPr="00F146AE" w:rsidRDefault="00F81D1E" w:rsidP="008F0F55">
      <w:pPr>
        <w:tabs>
          <w:tab w:val="right" w:pos="9639"/>
        </w:tabs>
        <w:rPr>
          <w:rFonts w:ascii="Book Antiqua" w:hAnsi="Book Antiqua" w:cs="Arial"/>
          <w:b/>
        </w:rPr>
      </w:pPr>
      <w:r>
        <w:rPr>
          <w:rFonts w:ascii="Book Antiqua" w:hAnsi="Book Antiqua" w:cs="Arial"/>
          <w:b/>
        </w:rPr>
        <w:t>Upper Tier</w:t>
      </w:r>
      <w:r w:rsidRPr="00F146AE">
        <w:rPr>
          <w:rFonts w:ascii="Book Antiqua" w:hAnsi="Book Antiqua" w:cs="Arial"/>
          <w:b/>
        </w:rPr>
        <w:t xml:space="preserve"> Tribunal </w:t>
      </w:r>
    </w:p>
    <w:p w14:paraId="65934B38" w14:textId="20AE5BB8" w:rsidR="002A149D" w:rsidRDefault="00F81D1E" w:rsidP="008F0F55">
      <w:pPr>
        <w:tabs>
          <w:tab w:val="right" w:pos="9639"/>
        </w:tabs>
        <w:rPr>
          <w:rFonts w:ascii="Book Antiqua" w:hAnsi="Book Antiqua" w:cs="Arial"/>
        </w:rPr>
      </w:pPr>
      <w:r w:rsidRPr="00F146AE">
        <w:rPr>
          <w:rFonts w:ascii="Book Antiqua" w:hAnsi="Book Antiqua" w:cs="Arial"/>
          <w:b/>
        </w:rPr>
        <w:t>(Immigration and Asylum Chamber)</w:t>
      </w:r>
      <w:r w:rsidRPr="00F146AE">
        <w:rPr>
          <w:rFonts w:ascii="Book Antiqua" w:hAnsi="Book Antiqua" w:cs="Arial"/>
          <w:b/>
        </w:rPr>
        <w:tab/>
      </w:r>
      <w:r w:rsidRPr="00F146AE">
        <w:rPr>
          <w:rFonts w:ascii="Book Antiqua" w:hAnsi="Book Antiqua" w:cs="Arial"/>
        </w:rPr>
        <w:t>Appeal Number</w:t>
      </w:r>
      <w:r w:rsidR="00E37A9D">
        <w:rPr>
          <w:rFonts w:ascii="Book Antiqua" w:hAnsi="Book Antiqua" w:cs="Arial"/>
        </w:rPr>
        <w:t>s</w:t>
      </w:r>
      <w:r w:rsidRPr="00F146AE">
        <w:rPr>
          <w:rFonts w:ascii="Book Antiqua" w:hAnsi="Book Antiqua" w:cs="Arial"/>
        </w:rPr>
        <w:t xml:space="preserve">: </w:t>
      </w:r>
      <w:bookmarkStart w:id="0" w:name="_GoBack"/>
      <w:r w:rsidR="00DA035E">
        <w:rPr>
          <w:rFonts w:ascii="Book Antiqua" w:hAnsi="Book Antiqua" w:cs="Arial"/>
        </w:rPr>
        <w:t>HU/05560/2016</w:t>
      </w:r>
      <w:bookmarkEnd w:id="0"/>
    </w:p>
    <w:p w14:paraId="5EB9A199" w14:textId="63953109" w:rsidR="008F0F55" w:rsidRPr="00F146AE" w:rsidRDefault="00DA035E" w:rsidP="002A149D">
      <w:pPr>
        <w:tabs>
          <w:tab w:val="right" w:pos="9639"/>
        </w:tabs>
        <w:jc w:val="right"/>
        <w:rPr>
          <w:rFonts w:ascii="Book Antiqua" w:hAnsi="Book Antiqua" w:cs="Arial"/>
        </w:rPr>
      </w:pPr>
      <w:r>
        <w:rPr>
          <w:rFonts w:ascii="Book Antiqua" w:hAnsi="Book Antiqua" w:cs="Arial"/>
        </w:rPr>
        <w:t xml:space="preserve">HU/05564/2016 </w:t>
      </w:r>
      <w:r w:rsidR="00E37A9D">
        <w:rPr>
          <w:rFonts w:ascii="Book Antiqua" w:hAnsi="Book Antiqua" w:cs="Arial"/>
        </w:rPr>
        <w:t>&amp; HU/05572/2016</w:t>
      </w:r>
    </w:p>
    <w:p w14:paraId="127946E6" w14:textId="77777777" w:rsidR="008F0F55" w:rsidRPr="00F146AE" w:rsidRDefault="00264091" w:rsidP="008F0F55">
      <w:pPr>
        <w:jc w:val="center"/>
        <w:rPr>
          <w:rFonts w:ascii="Book Antiqua" w:hAnsi="Book Antiqua" w:cs="Arial"/>
        </w:rPr>
      </w:pPr>
    </w:p>
    <w:p w14:paraId="51A190A3" w14:textId="77777777" w:rsidR="008F0F55" w:rsidRPr="00F146AE" w:rsidRDefault="00264091" w:rsidP="008F0F55">
      <w:pPr>
        <w:jc w:val="center"/>
        <w:rPr>
          <w:rFonts w:ascii="Book Antiqua" w:hAnsi="Book Antiqua" w:cs="Arial"/>
        </w:rPr>
      </w:pPr>
    </w:p>
    <w:p w14:paraId="3E36A810" w14:textId="77777777" w:rsidR="008F0F55" w:rsidRPr="00F146AE" w:rsidRDefault="00F81D1E" w:rsidP="008F0F55">
      <w:pPr>
        <w:jc w:val="center"/>
        <w:rPr>
          <w:rFonts w:ascii="Book Antiqua" w:hAnsi="Book Antiqua" w:cs="Arial"/>
          <w:b/>
          <w:u w:val="single"/>
        </w:rPr>
      </w:pPr>
      <w:r w:rsidRPr="00F146AE">
        <w:rPr>
          <w:rFonts w:ascii="Book Antiqua" w:hAnsi="Book Antiqua" w:cs="Arial"/>
          <w:b/>
          <w:u w:val="single"/>
        </w:rPr>
        <w:t>THE IMMIGRATION ACTS</w:t>
      </w:r>
    </w:p>
    <w:p w14:paraId="51DA4866" w14:textId="77777777" w:rsidR="008F0F55" w:rsidRPr="00F146AE" w:rsidRDefault="00264091" w:rsidP="008F0F55">
      <w:pPr>
        <w:jc w:val="center"/>
        <w:rPr>
          <w:rFonts w:ascii="Book Antiqua" w:hAnsi="Book Antiqua" w:cs="Arial"/>
          <w:b/>
          <w:u w:val="single"/>
        </w:rPr>
      </w:pPr>
    </w:p>
    <w:p w14:paraId="3E18620C" w14:textId="77777777" w:rsidR="008F0F55" w:rsidRPr="00F146AE" w:rsidRDefault="00264091" w:rsidP="008F0F55">
      <w:pPr>
        <w:jc w:val="center"/>
        <w:rPr>
          <w:rFonts w:ascii="Book Antiqua" w:hAnsi="Book Antiqua" w:cs="Arial"/>
          <w:b/>
          <w:u w:val="single"/>
        </w:rPr>
      </w:pPr>
    </w:p>
    <w:tbl>
      <w:tblPr>
        <w:tblW w:w="5000" w:type="pct"/>
        <w:tblLook w:val="01E0" w:firstRow="1" w:lastRow="1" w:firstColumn="1" w:lastColumn="1" w:noHBand="0" w:noVBand="0"/>
      </w:tblPr>
      <w:tblGrid>
        <w:gridCol w:w="4819"/>
        <w:gridCol w:w="4819"/>
      </w:tblGrid>
      <w:tr w:rsidR="008F0F55" w:rsidRPr="00035322" w14:paraId="790568B9" w14:textId="77777777" w:rsidTr="00DA035E">
        <w:tc>
          <w:tcPr>
            <w:tcW w:w="2500" w:type="pct"/>
          </w:tcPr>
          <w:p w14:paraId="48763CE7" w14:textId="77777777" w:rsidR="008F0F55" w:rsidRPr="00035322" w:rsidRDefault="00F81D1E" w:rsidP="008F0F55">
            <w:pPr>
              <w:jc w:val="both"/>
              <w:rPr>
                <w:rFonts w:ascii="Book Antiqua" w:hAnsi="Book Antiqua" w:cs="Arial"/>
                <w:b/>
              </w:rPr>
            </w:pPr>
            <w:r w:rsidRPr="00035322">
              <w:rPr>
                <w:rFonts w:ascii="Book Antiqua" w:hAnsi="Book Antiqua" w:cs="Arial"/>
                <w:b/>
              </w:rPr>
              <w:t xml:space="preserve">Heard at </w:t>
            </w:r>
            <w:r w:rsidR="002A149D">
              <w:rPr>
                <w:rFonts w:ascii="Book Antiqua" w:hAnsi="Book Antiqua" w:cs="Arial"/>
                <w:b/>
              </w:rPr>
              <w:t>Field House</w:t>
            </w:r>
          </w:p>
        </w:tc>
        <w:tc>
          <w:tcPr>
            <w:tcW w:w="2500" w:type="pct"/>
          </w:tcPr>
          <w:p w14:paraId="7B0B3BE3" w14:textId="3C382D01" w:rsidR="008F0F55" w:rsidRPr="00035322" w:rsidRDefault="00F81D1E" w:rsidP="00DA035E">
            <w:pPr>
              <w:jc w:val="right"/>
              <w:rPr>
                <w:rFonts w:ascii="Book Antiqua" w:hAnsi="Book Antiqua" w:cs="Arial"/>
                <w:b/>
              </w:rPr>
            </w:pPr>
            <w:r w:rsidRPr="00035322">
              <w:rPr>
                <w:rFonts w:ascii="Book Antiqua" w:hAnsi="Book Antiqua" w:cs="Arial"/>
                <w:b/>
              </w:rPr>
              <w:t>De</w:t>
            </w:r>
            <w:r>
              <w:rPr>
                <w:rFonts w:ascii="Book Antiqua" w:hAnsi="Book Antiqua" w:cs="Arial"/>
                <w:b/>
              </w:rPr>
              <w:t>cision</w:t>
            </w:r>
            <w:r w:rsidRPr="00035322">
              <w:rPr>
                <w:rFonts w:ascii="Book Antiqua" w:hAnsi="Book Antiqua" w:cs="Arial"/>
                <w:b/>
              </w:rPr>
              <w:t xml:space="preserve"> </w:t>
            </w:r>
            <w:r w:rsidR="00AF6B95">
              <w:rPr>
                <w:rFonts w:ascii="Book Antiqua" w:hAnsi="Book Antiqua" w:cs="Arial"/>
                <w:b/>
              </w:rPr>
              <w:t xml:space="preserve">&amp; Reasons </w:t>
            </w:r>
            <w:r w:rsidRPr="00035322">
              <w:rPr>
                <w:rFonts w:ascii="Book Antiqua" w:hAnsi="Book Antiqua" w:cs="Arial"/>
                <w:b/>
              </w:rPr>
              <w:t>Promulgated</w:t>
            </w:r>
          </w:p>
        </w:tc>
      </w:tr>
      <w:tr w:rsidR="008F0F55" w:rsidRPr="00035322" w14:paraId="5C5AA219" w14:textId="77777777" w:rsidTr="00DA035E">
        <w:tc>
          <w:tcPr>
            <w:tcW w:w="2500" w:type="pct"/>
          </w:tcPr>
          <w:p w14:paraId="5F8F8BBF" w14:textId="77777777" w:rsidR="008F0F55" w:rsidRPr="00035322" w:rsidRDefault="00F81D1E" w:rsidP="008F0F55">
            <w:pPr>
              <w:jc w:val="both"/>
              <w:rPr>
                <w:rFonts w:ascii="Book Antiqua" w:hAnsi="Book Antiqua" w:cs="Arial"/>
                <w:b/>
              </w:rPr>
            </w:pPr>
            <w:r w:rsidRPr="00035322">
              <w:rPr>
                <w:rFonts w:ascii="Book Antiqua" w:hAnsi="Book Antiqua" w:cs="Arial"/>
                <w:b/>
              </w:rPr>
              <w:t xml:space="preserve">On </w:t>
            </w:r>
            <w:r w:rsidR="002A149D">
              <w:rPr>
                <w:rFonts w:ascii="Book Antiqua" w:hAnsi="Book Antiqua" w:cs="Arial"/>
                <w:b/>
              </w:rPr>
              <w:t>18 May 2018</w:t>
            </w:r>
          </w:p>
        </w:tc>
        <w:tc>
          <w:tcPr>
            <w:tcW w:w="2500" w:type="pct"/>
          </w:tcPr>
          <w:p w14:paraId="20F1190C" w14:textId="7D86073E" w:rsidR="008F0F55" w:rsidRPr="00035322" w:rsidRDefault="00AF6B95" w:rsidP="00DA035E">
            <w:pPr>
              <w:jc w:val="right"/>
              <w:rPr>
                <w:rFonts w:ascii="Book Antiqua" w:hAnsi="Book Antiqua" w:cs="Arial"/>
                <w:b/>
              </w:rPr>
            </w:pPr>
            <w:r>
              <w:rPr>
                <w:rFonts w:ascii="Book Antiqua" w:hAnsi="Book Antiqua" w:cs="Arial"/>
                <w:b/>
              </w:rPr>
              <w:t xml:space="preserve">On 23 May 2018 </w:t>
            </w:r>
          </w:p>
        </w:tc>
      </w:tr>
      <w:tr w:rsidR="008F0F55" w:rsidRPr="00035322" w14:paraId="645EC7AB" w14:textId="77777777" w:rsidTr="00DA035E">
        <w:tc>
          <w:tcPr>
            <w:tcW w:w="2500" w:type="pct"/>
          </w:tcPr>
          <w:p w14:paraId="1C097087" w14:textId="77777777" w:rsidR="008F0F55" w:rsidRPr="00035322" w:rsidRDefault="00264091" w:rsidP="008F0F55">
            <w:pPr>
              <w:jc w:val="both"/>
              <w:rPr>
                <w:rFonts w:ascii="Book Antiqua" w:hAnsi="Book Antiqua" w:cs="Arial"/>
                <w:b/>
              </w:rPr>
            </w:pPr>
          </w:p>
        </w:tc>
        <w:tc>
          <w:tcPr>
            <w:tcW w:w="2500" w:type="pct"/>
          </w:tcPr>
          <w:p w14:paraId="312E9D8C" w14:textId="198D8215" w:rsidR="008F0F55" w:rsidRPr="00035322" w:rsidRDefault="00264091" w:rsidP="00DA035E">
            <w:pPr>
              <w:jc w:val="right"/>
              <w:rPr>
                <w:rFonts w:ascii="Book Antiqua" w:hAnsi="Book Antiqua" w:cs="Arial"/>
                <w:b/>
              </w:rPr>
            </w:pPr>
          </w:p>
        </w:tc>
      </w:tr>
    </w:tbl>
    <w:p w14:paraId="231ED3B9" w14:textId="77777777" w:rsidR="008F0F55" w:rsidRPr="00F146AE" w:rsidRDefault="00264091" w:rsidP="008F0F55">
      <w:pPr>
        <w:jc w:val="center"/>
        <w:rPr>
          <w:rFonts w:ascii="Book Antiqua" w:hAnsi="Book Antiqua" w:cs="Arial"/>
        </w:rPr>
      </w:pPr>
    </w:p>
    <w:p w14:paraId="3E204C7C" w14:textId="77777777" w:rsidR="008F0F55" w:rsidRPr="00F146AE" w:rsidRDefault="00F81D1E" w:rsidP="008F0F55">
      <w:pPr>
        <w:jc w:val="center"/>
        <w:rPr>
          <w:rFonts w:ascii="Book Antiqua" w:hAnsi="Book Antiqua" w:cs="Arial"/>
          <w:b/>
        </w:rPr>
      </w:pPr>
      <w:r w:rsidRPr="00F146AE">
        <w:rPr>
          <w:rFonts w:ascii="Book Antiqua" w:hAnsi="Book Antiqua" w:cs="Arial"/>
          <w:b/>
        </w:rPr>
        <w:t>Before</w:t>
      </w:r>
    </w:p>
    <w:p w14:paraId="7822FC7F" w14:textId="77777777" w:rsidR="008F0F55" w:rsidRPr="00F146AE" w:rsidRDefault="00264091" w:rsidP="008F0F55">
      <w:pPr>
        <w:jc w:val="center"/>
        <w:rPr>
          <w:rFonts w:ascii="Book Antiqua" w:hAnsi="Book Antiqua" w:cs="Arial"/>
          <w:b/>
        </w:rPr>
      </w:pPr>
    </w:p>
    <w:p w14:paraId="713D90F7" w14:textId="77777777" w:rsidR="008F0F55" w:rsidRPr="00F146AE" w:rsidRDefault="00F81D1E" w:rsidP="008F0F55">
      <w:pPr>
        <w:jc w:val="center"/>
        <w:rPr>
          <w:rFonts w:ascii="Book Antiqua" w:hAnsi="Book Antiqua" w:cs="Arial"/>
          <w:b/>
        </w:rPr>
      </w:pPr>
      <w:r>
        <w:rPr>
          <w:rFonts w:ascii="Book Antiqua" w:hAnsi="Book Antiqua" w:cs="Arial"/>
          <w:b/>
        </w:rPr>
        <w:t>Deputy Upper Tribunal Judge Pickup</w:t>
      </w:r>
    </w:p>
    <w:p w14:paraId="643AB8EF" w14:textId="77777777" w:rsidR="00DA035E" w:rsidRDefault="00DA035E" w:rsidP="008F0F55">
      <w:pPr>
        <w:jc w:val="center"/>
        <w:rPr>
          <w:rFonts w:ascii="Book Antiqua" w:hAnsi="Book Antiqua" w:cs="Arial"/>
          <w:b/>
        </w:rPr>
      </w:pPr>
    </w:p>
    <w:p w14:paraId="6336985F" w14:textId="77777777" w:rsidR="00DA035E" w:rsidRDefault="00DA035E" w:rsidP="008F0F55">
      <w:pPr>
        <w:jc w:val="center"/>
        <w:rPr>
          <w:rFonts w:ascii="Book Antiqua" w:hAnsi="Book Antiqua" w:cs="Arial"/>
          <w:b/>
        </w:rPr>
      </w:pPr>
    </w:p>
    <w:p w14:paraId="61EF453F" w14:textId="470D45AB" w:rsidR="008F0F55" w:rsidRPr="00F146AE" w:rsidRDefault="00F81D1E" w:rsidP="008F0F55">
      <w:pPr>
        <w:jc w:val="center"/>
        <w:rPr>
          <w:rFonts w:ascii="Book Antiqua" w:hAnsi="Book Antiqua" w:cs="Arial"/>
          <w:b/>
        </w:rPr>
      </w:pPr>
      <w:r w:rsidRPr="00F146AE">
        <w:rPr>
          <w:rFonts w:ascii="Book Antiqua" w:hAnsi="Book Antiqua" w:cs="Arial"/>
          <w:b/>
        </w:rPr>
        <w:t>Between</w:t>
      </w:r>
    </w:p>
    <w:p w14:paraId="334062EC" w14:textId="77777777" w:rsidR="008F0F55" w:rsidRPr="00F146AE" w:rsidRDefault="00264091" w:rsidP="008F0F55">
      <w:pPr>
        <w:jc w:val="center"/>
        <w:rPr>
          <w:rFonts w:ascii="Book Antiqua" w:hAnsi="Book Antiqua" w:cs="Arial"/>
          <w:b/>
        </w:rPr>
      </w:pPr>
    </w:p>
    <w:p w14:paraId="481FB3D4" w14:textId="77777777" w:rsidR="008F0F55" w:rsidRDefault="0097110C" w:rsidP="008F0F55">
      <w:pPr>
        <w:jc w:val="center"/>
        <w:rPr>
          <w:rFonts w:ascii="Book Antiqua" w:hAnsi="Book Antiqua" w:cs="Arial"/>
          <w:b/>
        </w:rPr>
      </w:pPr>
      <w:r>
        <w:rPr>
          <w:rFonts w:ascii="Book Antiqua" w:hAnsi="Book Antiqua" w:cs="Arial"/>
          <w:b/>
        </w:rPr>
        <w:t>OBA</w:t>
      </w:r>
    </w:p>
    <w:p w14:paraId="0342996C" w14:textId="77777777" w:rsidR="0097110C" w:rsidRDefault="0097110C" w:rsidP="008F0F55">
      <w:pPr>
        <w:jc w:val="center"/>
        <w:rPr>
          <w:rFonts w:ascii="Book Antiqua" w:hAnsi="Book Antiqua" w:cs="Arial"/>
          <w:b/>
        </w:rPr>
      </w:pPr>
      <w:r>
        <w:rPr>
          <w:rFonts w:ascii="Book Antiqua" w:hAnsi="Book Antiqua" w:cs="Arial"/>
          <w:b/>
        </w:rPr>
        <w:t>EAO</w:t>
      </w:r>
    </w:p>
    <w:p w14:paraId="2D0469B3" w14:textId="77777777" w:rsidR="0097110C" w:rsidRDefault="0097110C" w:rsidP="008F0F55">
      <w:pPr>
        <w:jc w:val="center"/>
        <w:rPr>
          <w:rFonts w:ascii="Book Antiqua" w:hAnsi="Book Antiqua" w:cs="Arial"/>
          <w:b/>
        </w:rPr>
      </w:pPr>
      <w:r>
        <w:rPr>
          <w:rFonts w:ascii="Book Antiqua" w:hAnsi="Book Antiqua" w:cs="Arial"/>
          <w:b/>
        </w:rPr>
        <w:t>POO</w:t>
      </w:r>
    </w:p>
    <w:p w14:paraId="1D57CAFA" w14:textId="77777777" w:rsidR="008F0F55" w:rsidRPr="00DA035E" w:rsidRDefault="00F81D1E" w:rsidP="008F0F55">
      <w:pPr>
        <w:jc w:val="center"/>
        <w:rPr>
          <w:rFonts w:ascii="Book Antiqua" w:hAnsi="Book Antiqua" w:cs="Arial"/>
          <w:b/>
          <w:sz w:val="22"/>
        </w:rPr>
      </w:pPr>
      <w:r w:rsidRPr="00DA035E">
        <w:rPr>
          <w:rFonts w:ascii="Book Antiqua" w:hAnsi="Book Antiqua" w:cs="Arial"/>
          <w:b/>
          <w:sz w:val="22"/>
        </w:rPr>
        <w:t>[</w:t>
      </w:r>
      <w:r w:rsidR="006D1D4E" w:rsidRPr="00DA035E">
        <w:rPr>
          <w:rFonts w:ascii="Book Antiqua" w:hAnsi="Book Antiqua" w:cs="Arial"/>
          <w:b/>
          <w:sz w:val="22"/>
        </w:rPr>
        <w:t>A</w:t>
      </w:r>
      <w:r w:rsidRPr="00DA035E">
        <w:rPr>
          <w:rFonts w:ascii="Book Antiqua" w:hAnsi="Book Antiqua" w:cs="Arial"/>
          <w:b/>
          <w:sz w:val="22"/>
        </w:rPr>
        <w:t>nonymity direction made]</w:t>
      </w:r>
    </w:p>
    <w:p w14:paraId="027FA48A" w14:textId="77777777" w:rsidR="008F0F55" w:rsidRPr="00F146AE" w:rsidRDefault="00F81D1E" w:rsidP="008F0F55">
      <w:pPr>
        <w:jc w:val="right"/>
        <w:rPr>
          <w:rFonts w:ascii="Book Antiqua" w:hAnsi="Book Antiqua" w:cs="Arial"/>
          <w:u w:val="single"/>
        </w:rPr>
      </w:pPr>
      <w:r w:rsidRPr="00F146AE">
        <w:rPr>
          <w:rFonts w:ascii="Book Antiqua" w:hAnsi="Book Antiqua" w:cs="Arial"/>
          <w:u w:val="single"/>
        </w:rPr>
        <w:t>Appellant</w:t>
      </w:r>
      <w:r w:rsidR="0097110C">
        <w:rPr>
          <w:rFonts w:ascii="Book Antiqua" w:hAnsi="Book Antiqua" w:cs="Arial"/>
          <w:u w:val="single"/>
        </w:rPr>
        <w:t>s</w:t>
      </w:r>
    </w:p>
    <w:p w14:paraId="75D7EEB6" w14:textId="77777777" w:rsidR="008F0F55" w:rsidRPr="00F146AE" w:rsidRDefault="00F81D1E" w:rsidP="008F0F55">
      <w:pPr>
        <w:jc w:val="center"/>
        <w:rPr>
          <w:rFonts w:ascii="Book Antiqua" w:hAnsi="Book Antiqua" w:cs="Arial"/>
          <w:b/>
        </w:rPr>
      </w:pPr>
      <w:r w:rsidRPr="00F146AE">
        <w:rPr>
          <w:rFonts w:ascii="Book Antiqua" w:hAnsi="Book Antiqua" w:cs="Arial"/>
          <w:b/>
        </w:rPr>
        <w:t>and</w:t>
      </w:r>
    </w:p>
    <w:p w14:paraId="77EDBF3E" w14:textId="77777777" w:rsidR="008F0F55" w:rsidRPr="00F146AE" w:rsidRDefault="00264091" w:rsidP="008F0F55">
      <w:pPr>
        <w:jc w:val="center"/>
        <w:rPr>
          <w:rFonts w:ascii="Book Antiqua" w:hAnsi="Book Antiqua" w:cs="Arial"/>
          <w:b/>
        </w:rPr>
      </w:pPr>
    </w:p>
    <w:p w14:paraId="76CE997E" w14:textId="77777777" w:rsidR="008F0F55" w:rsidRDefault="0097110C" w:rsidP="008F0F55">
      <w:pPr>
        <w:jc w:val="center"/>
        <w:rPr>
          <w:rFonts w:ascii="Book Antiqua" w:hAnsi="Book Antiqua" w:cs="Arial"/>
          <w:b/>
        </w:rPr>
      </w:pPr>
      <w:r>
        <w:rPr>
          <w:rFonts w:ascii="Book Antiqua" w:hAnsi="Book Antiqua" w:cs="Arial"/>
          <w:b/>
        </w:rPr>
        <w:t>Secretary of State for the Home Department</w:t>
      </w:r>
    </w:p>
    <w:p w14:paraId="25E27762" w14:textId="77777777" w:rsidR="008F0F55" w:rsidRPr="00F146AE" w:rsidRDefault="00F81D1E" w:rsidP="008F0F55">
      <w:pPr>
        <w:jc w:val="right"/>
        <w:rPr>
          <w:rFonts w:ascii="Book Antiqua" w:hAnsi="Book Antiqua" w:cs="Arial"/>
          <w:u w:val="single"/>
        </w:rPr>
      </w:pPr>
      <w:r w:rsidRPr="00F146AE">
        <w:rPr>
          <w:rFonts w:ascii="Book Antiqua" w:hAnsi="Book Antiqua" w:cs="Arial"/>
          <w:u w:val="single"/>
        </w:rPr>
        <w:t>Respondent</w:t>
      </w:r>
    </w:p>
    <w:p w14:paraId="7C0AA352" w14:textId="343B2CD4" w:rsidR="008F0F55" w:rsidRDefault="00264091" w:rsidP="008F0F55">
      <w:pPr>
        <w:rPr>
          <w:rFonts w:ascii="Book Antiqua" w:hAnsi="Book Antiqua" w:cs="Arial"/>
          <w:u w:val="single"/>
        </w:rPr>
      </w:pPr>
    </w:p>
    <w:p w14:paraId="5D339529" w14:textId="77777777" w:rsidR="00DA035E" w:rsidRPr="00F146AE" w:rsidRDefault="00DA035E" w:rsidP="008F0F55">
      <w:pPr>
        <w:rPr>
          <w:rFonts w:ascii="Book Antiqua" w:hAnsi="Book Antiqua" w:cs="Arial"/>
          <w:u w:val="single"/>
        </w:rPr>
      </w:pPr>
    </w:p>
    <w:p w14:paraId="3F286DE3" w14:textId="77777777" w:rsidR="008F0F55" w:rsidRPr="00F146AE" w:rsidRDefault="00F81D1E" w:rsidP="008F0F55">
      <w:pPr>
        <w:rPr>
          <w:rFonts w:ascii="Book Antiqua" w:hAnsi="Book Antiqua" w:cs="Arial"/>
        </w:rPr>
      </w:pPr>
      <w:r w:rsidRPr="00F146AE">
        <w:rPr>
          <w:rFonts w:ascii="Book Antiqua" w:hAnsi="Book Antiqua" w:cs="Arial"/>
          <w:b/>
          <w:u w:val="single"/>
        </w:rPr>
        <w:t>Representation</w:t>
      </w:r>
      <w:r w:rsidRPr="00F146AE">
        <w:rPr>
          <w:rFonts w:ascii="Book Antiqua" w:hAnsi="Book Antiqua" w:cs="Arial"/>
          <w:b/>
        </w:rPr>
        <w:t>:</w:t>
      </w:r>
    </w:p>
    <w:p w14:paraId="2F3BE030" w14:textId="77777777" w:rsidR="008F0F55" w:rsidRPr="00F146AE" w:rsidRDefault="00F81D1E" w:rsidP="00DA035E">
      <w:pPr>
        <w:tabs>
          <w:tab w:val="left" w:pos="2552"/>
        </w:tabs>
        <w:rPr>
          <w:rFonts w:ascii="Book Antiqua" w:hAnsi="Book Antiqua" w:cs="Arial"/>
        </w:rPr>
      </w:pPr>
      <w:r>
        <w:rPr>
          <w:rFonts w:ascii="Book Antiqua" w:hAnsi="Book Antiqua" w:cs="Arial"/>
        </w:rPr>
        <w:t>For the a</w:t>
      </w:r>
      <w:r w:rsidRPr="00F146AE">
        <w:rPr>
          <w:rFonts w:ascii="Book Antiqua" w:hAnsi="Book Antiqua" w:cs="Arial"/>
        </w:rPr>
        <w:t>ppellant</w:t>
      </w:r>
      <w:r w:rsidR="0097110C">
        <w:rPr>
          <w:rFonts w:ascii="Book Antiqua" w:hAnsi="Book Antiqua" w:cs="Arial"/>
        </w:rPr>
        <w:t>s</w:t>
      </w:r>
      <w:r w:rsidRPr="00F146AE">
        <w:rPr>
          <w:rFonts w:ascii="Book Antiqua" w:hAnsi="Book Antiqua" w:cs="Arial"/>
        </w:rPr>
        <w:t>:</w:t>
      </w:r>
      <w:r w:rsidRPr="00F146AE">
        <w:rPr>
          <w:rFonts w:ascii="Book Antiqua" w:hAnsi="Book Antiqua" w:cs="Arial"/>
        </w:rPr>
        <w:tab/>
      </w:r>
      <w:r w:rsidR="0097110C">
        <w:rPr>
          <w:rFonts w:ascii="Book Antiqua" w:hAnsi="Book Antiqua" w:cs="Arial"/>
        </w:rPr>
        <w:t xml:space="preserve">Mr T </w:t>
      </w:r>
      <w:proofErr w:type="spellStart"/>
      <w:r w:rsidR="0097110C">
        <w:rPr>
          <w:rFonts w:ascii="Book Antiqua" w:hAnsi="Book Antiqua" w:cs="Arial"/>
        </w:rPr>
        <w:t>Ojo</w:t>
      </w:r>
      <w:proofErr w:type="spellEnd"/>
      <w:r>
        <w:rPr>
          <w:rFonts w:ascii="Book Antiqua" w:hAnsi="Book Antiqua" w:cs="Arial"/>
        </w:rPr>
        <w:t xml:space="preserve">, instructed by </w:t>
      </w:r>
      <w:r w:rsidR="001B707E">
        <w:rPr>
          <w:rFonts w:ascii="Book Antiqua" w:hAnsi="Book Antiqua" w:cs="Arial"/>
        </w:rPr>
        <w:t>Graceland Solicitors</w:t>
      </w:r>
    </w:p>
    <w:p w14:paraId="27144CDC" w14:textId="77777777" w:rsidR="008F0F55" w:rsidRPr="00F146AE" w:rsidRDefault="00F81D1E" w:rsidP="00DA035E">
      <w:pPr>
        <w:tabs>
          <w:tab w:val="left" w:pos="2552"/>
        </w:tabs>
        <w:rPr>
          <w:rFonts w:ascii="Book Antiqua" w:hAnsi="Book Antiqua" w:cs="Arial"/>
        </w:rPr>
      </w:pPr>
      <w:r>
        <w:rPr>
          <w:rFonts w:ascii="Book Antiqua" w:hAnsi="Book Antiqua" w:cs="Arial"/>
        </w:rPr>
        <w:t>For the r</w:t>
      </w:r>
      <w:r w:rsidRPr="00F146AE">
        <w:rPr>
          <w:rFonts w:ascii="Book Antiqua" w:hAnsi="Book Antiqua" w:cs="Arial"/>
        </w:rPr>
        <w:t>espondent:</w:t>
      </w:r>
      <w:r w:rsidRPr="00F146AE">
        <w:rPr>
          <w:rFonts w:ascii="Book Antiqua" w:hAnsi="Book Antiqua" w:cs="Arial"/>
        </w:rPr>
        <w:tab/>
      </w:r>
      <w:r w:rsidR="001B707E">
        <w:rPr>
          <w:rFonts w:ascii="Book Antiqua" w:hAnsi="Book Antiqua" w:cs="Arial"/>
        </w:rPr>
        <w:t>Mr P Duffy</w:t>
      </w:r>
      <w:r>
        <w:rPr>
          <w:rFonts w:ascii="Book Antiqua" w:hAnsi="Book Antiqua" w:cs="Arial"/>
        </w:rPr>
        <w:t>, Senior Home Office Presenting Officer</w:t>
      </w:r>
    </w:p>
    <w:p w14:paraId="50D548F8" w14:textId="77777777" w:rsidR="008F0F55" w:rsidRPr="00F146AE" w:rsidRDefault="00264091" w:rsidP="008F0F55">
      <w:pPr>
        <w:tabs>
          <w:tab w:val="left" w:pos="2520"/>
        </w:tabs>
        <w:jc w:val="center"/>
        <w:rPr>
          <w:rFonts w:ascii="Book Antiqua" w:hAnsi="Book Antiqua" w:cs="Arial"/>
        </w:rPr>
      </w:pPr>
    </w:p>
    <w:p w14:paraId="6F370B95" w14:textId="77777777" w:rsidR="00DA035E" w:rsidRDefault="00DA035E" w:rsidP="008F0F55">
      <w:pPr>
        <w:tabs>
          <w:tab w:val="left" w:pos="2520"/>
        </w:tabs>
        <w:jc w:val="center"/>
        <w:rPr>
          <w:rFonts w:ascii="Book Antiqua" w:hAnsi="Book Antiqua" w:cs="Arial"/>
          <w:b/>
          <w:u w:val="single"/>
        </w:rPr>
      </w:pPr>
    </w:p>
    <w:p w14:paraId="215D4303" w14:textId="508DE92C" w:rsidR="008F0F55" w:rsidRDefault="00F81D1E" w:rsidP="008F0F55">
      <w:pPr>
        <w:tabs>
          <w:tab w:val="left" w:pos="2520"/>
        </w:tabs>
        <w:jc w:val="center"/>
        <w:rPr>
          <w:rFonts w:ascii="Book Antiqua" w:hAnsi="Book Antiqua" w:cs="Arial"/>
          <w:b/>
          <w:u w:val="single"/>
        </w:rPr>
      </w:pPr>
      <w:r w:rsidRPr="00F146AE">
        <w:rPr>
          <w:rFonts w:ascii="Book Antiqua" w:hAnsi="Book Antiqua" w:cs="Arial"/>
          <w:b/>
          <w:u w:val="single"/>
        </w:rPr>
        <w:t>DE</w:t>
      </w:r>
      <w:r>
        <w:rPr>
          <w:rFonts w:ascii="Book Antiqua" w:hAnsi="Book Antiqua" w:cs="Arial"/>
          <w:b/>
          <w:u w:val="single"/>
        </w:rPr>
        <w:t>CISION</w:t>
      </w:r>
      <w:r w:rsidRPr="00F146AE">
        <w:rPr>
          <w:rFonts w:ascii="Book Antiqua" w:hAnsi="Book Antiqua" w:cs="Arial"/>
          <w:b/>
          <w:u w:val="single"/>
        </w:rPr>
        <w:t xml:space="preserve"> AND REASONS</w:t>
      </w:r>
    </w:p>
    <w:p w14:paraId="11E099AB" w14:textId="77777777" w:rsidR="00FC346C" w:rsidRDefault="00F81D1E" w:rsidP="00DA035E">
      <w:pPr>
        <w:numPr>
          <w:ilvl w:val="0"/>
          <w:numId w:val="3"/>
        </w:numPr>
        <w:spacing w:before="160"/>
        <w:jc w:val="both"/>
        <w:rPr>
          <w:rFonts w:ascii="Book Antiqua" w:hAnsi="Book Antiqua" w:cs="Arial"/>
        </w:rPr>
      </w:pPr>
      <w:r>
        <w:rPr>
          <w:rFonts w:ascii="Book Antiqua" w:hAnsi="Book Antiqua" w:cs="Arial"/>
        </w:rPr>
        <w:t xml:space="preserve">This is </w:t>
      </w:r>
      <w:r w:rsidR="001B707E">
        <w:rPr>
          <w:rFonts w:ascii="Book Antiqua" w:hAnsi="Book Antiqua" w:cs="Arial"/>
        </w:rPr>
        <w:t>the appellants’</w:t>
      </w:r>
      <w:r>
        <w:rPr>
          <w:rFonts w:ascii="Book Antiqua" w:hAnsi="Book Antiqua" w:cs="Arial"/>
        </w:rPr>
        <w:t xml:space="preserve"> appeal against the decision of First-tier Tribunal Judge </w:t>
      </w:r>
      <w:r w:rsidR="00D52E4C">
        <w:rPr>
          <w:rFonts w:ascii="Book Antiqua" w:hAnsi="Book Antiqua" w:cs="Arial"/>
        </w:rPr>
        <w:t>White</w:t>
      </w:r>
      <w:r w:rsidR="00FC346C">
        <w:rPr>
          <w:rFonts w:ascii="Book Antiqua" w:hAnsi="Book Antiqua" w:cs="Arial"/>
        </w:rPr>
        <w:t xml:space="preserve"> promulgated </w:t>
      </w:r>
      <w:r w:rsidR="00D52E4C">
        <w:rPr>
          <w:rFonts w:ascii="Book Antiqua" w:hAnsi="Book Antiqua" w:cs="Arial"/>
        </w:rPr>
        <w:t>13.7.17</w:t>
      </w:r>
      <w:r>
        <w:rPr>
          <w:rFonts w:ascii="Book Antiqua" w:hAnsi="Book Antiqua" w:cs="Arial"/>
        </w:rPr>
        <w:t xml:space="preserve">, </w:t>
      </w:r>
      <w:r w:rsidR="00FC346C">
        <w:rPr>
          <w:rFonts w:ascii="Book Antiqua" w:hAnsi="Book Antiqua" w:cs="Arial"/>
        </w:rPr>
        <w:t>dismissing</w:t>
      </w:r>
      <w:r>
        <w:rPr>
          <w:rFonts w:ascii="Book Antiqua" w:hAnsi="Book Antiqua" w:cs="Arial"/>
        </w:rPr>
        <w:t xml:space="preserve"> </w:t>
      </w:r>
      <w:r w:rsidR="00D52E4C">
        <w:rPr>
          <w:rFonts w:ascii="Book Antiqua" w:hAnsi="Book Antiqua" w:cs="Arial"/>
        </w:rPr>
        <w:t xml:space="preserve">their linked </w:t>
      </w:r>
      <w:r>
        <w:rPr>
          <w:rFonts w:ascii="Book Antiqua" w:hAnsi="Book Antiqua" w:cs="Arial"/>
        </w:rPr>
        <w:t>appea</w:t>
      </w:r>
      <w:r w:rsidR="00D52E4C">
        <w:rPr>
          <w:rFonts w:ascii="Book Antiqua" w:hAnsi="Book Antiqua" w:cs="Arial"/>
        </w:rPr>
        <w:t xml:space="preserve">ls </w:t>
      </w:r>
      <w:r>
        <w:rPr>
          <w:rFonts w:ascii="Book Antiqua" w:hAnsi="Book Antiqua" w:cs="Arial"/>
        </w:rPr>
        <w:t>against the decision</w:t>
      </w:r>
      <w:r w:rsidR="00D52E4C">
        <w:rPr>
          <w:rFonts w:ascii="Book Antiqua" w:hAnsi="Book Antiqua" w:cs="Arial"/>
        </w:rPr>
        <w:t>s</w:t>
      </w:r>
      <w:r>
        <w:rPr>
          <w:rFonts w:ascii="Book Antiqua" w:hAnsi="Book Antiqua" w:cs="Arial"/>
        </w:rPr>
        <w:t xml:space="preserve"> of the </w:t>
      </w:r>
      <w:r w:rsidR="00FC346C">
        <w:rPr>
          <w:rFonts w:ascii="Book Antiqua" w:hAnsi="Book Antiqua" w:cs="Arial"/>
        </w:rPr>
        <w:t xml:space="preserve">Secretary of State, dated </w:t>
      </w:r>
      <w:r w:rsidR="00B96FB5">
        <w:rPr>
          <w:rFonts w:ascii="Book Antiqua" w:hAnsi="Book Antiqua" w:cs="Arial"/>
        </w:rPr>
        <w:t>6.2.16</w:t>
      </w:r>
      <w:r w:rsidR="00FC346C">
        <w:rPr>
          <w:rFonts w:ascii="Book Antiqua" w:hAnsi="Book Antiqua" w:cs="Arial"/>
        </w:rPr>
        <w:t>,</w:t>
      </w:r>
      <w:r>
        <w:rPr>
          <w:rFonts w:ascii="Book Antiqua" w:hAnsi="Book Antiqua" w:cs="Arial"/>
        </w:rPr>
        <w:t xml:space="preserve"> to refuse </w:t>
      </w:r>
      <w:r w:rsidR="002B380F">
        <w:rPr>
          <w:rFonts w:ascii="Book Antiqua" w:hAnsi="Book Antiqua" w:cs="Arial"/>
        </w:rPr>
        <w:t>their</w:t>
      </w:r>
      <w:r w:rsidR="00FC346C">
        <w:rPr>
          <w:rFonts w:ascii="Book Antiqua" w:hAnsi="Book Antiqua" w:cs="Arial"/>
        </w:rPr>
        <w:t xml:space="preserve"> application made on </w:t>
      </w:r>
      <w:r w:rsidR="002B380F">
        <w:rPr>
          <w:rFonts w:ascii="Book Antiqua" w:hAnsi="Book Antiqua" w:cs="Arial"/>
        </w:rPr>
        <w:t>8.10.15</w:t>
      </w:r>
      <w:r w:rsidR="00FC346C">
        <w:rPr>
          <w:rFonts w:ascii="Book Antiqua" w:hAnsi="Book Antiqua" w:cs="Arial"/>
        </w:rPr>
        <w:t xml:space="preserve"> for </w:t>
      </w:r>
      <w:r w:rsidR="002B380F">
        <w:rPr>
          <w:rFonts w:ascii="Book Antiqua" w:hAnsi="Book Antiqua" w:cs="Arial"/>
        </w:rPr>
        <w:t>LTR on human rights grounds</w:t>
      </w:r>
      <w:r>
        <w:rPr>
          <w:rFonts w:ascii="Book Antiqua" w:hAnsi="Book Antiqua" w:cs="Arial"/>
        </w:rPr>
        <w:t xml:space="preserve">.  </w:t>
      </w:r>
    </w:p>
    <w:p w14:paraId="7073E4D9" w14:textId="77777777" w:rsidR="008F0F55" w:rsidRDefault="00F81D1E" w:rsidP="00DA035E">
      <w:pPr>
        <w:numPr>
          <w:ilvl w:val="0"/>
          <w:numId w:val="3"/>
        </w:numPr>
        <w:spacing w:before="160"/>
        <w:jc w:val="both"/>
        <w:rPr>
          <w:rFonts w:ascii="Book Antiqua" w:hAnsi="Book Antiqua" w:cs="Arial"/>
        </w:rPr>
      </w:pPr>
      <w:r>
        <w:rPr>
          <w:rFonts w:ascii="Book Antiqua" w:hAnsi="Book Antiqua" w:cs="Arial"/>
        </w:rPr>
        <w:t xml:space="preserve">First-tier Tribunal Judge </w:t>
      </w:r>
      <w:r w:rsidR="006D1D4E">
        <w:rPr>
          <w:rFonts w:ascii="Book Antiqua" w:hAnsi="Book Antiqua" w:cs="Arial"/>
        </w:rPr>
        <w:t>Hollingworth</w:t>
      </w:r>
      <w:r>
        <w:rPr>
          <w:rFonts w:ascii="Book Antiqua" w:hAnsi="Book Antiqua" w:cs="Arial"/>
        </w:rPr>
        <w:t xml:space="preserve"> </w:t>
      </w:r>
      <w:r w:rsidRPr="00011203">
        <w:rPr>
          <w:rFonts w:ascii="Book Antiqua" w:hAnsi="Book Antiqua" w:cs="Arial"/>
        </w:rPr>
        <w:t xml:space="preserve">granted permission to appeal on </w:t>
      </w:r>
      <w:r w:rsidR="006D1D4E">
        <w:rPr>
          <w:rFonts w:ascii="Book Antiqua" w:hAnsi="Book Antiqua" w:cs="Arial"/>
        </w:rPr>
        <w:t>8.3.18</w:t>
      </w:r>
      <w:r>
        <w:rPr>
          <w:rFonts w:ascii="Book Antiqua" w:hAnsi="Book Antiqua" w:cs="Arial"/>
        </w:rPr>
        <w:t>.</w:t>
      </w:r>
    </w:p>
    <w:p w14:paraId="291F4DB9" w14:textId="77777777" w:rsidR="008F0F55" w:rsidRDefault="00F81D1E" w:rsidP="00DA035E">
      <w:pPr>
        <w:numPr>
          <w:ilvl w:val="0"/>
          <w:numId w:val="3"/>
        </w:numPr>
        <w:spacing w:before="160"/>
        <w:jc w:val="both"/>
        <w:rPr>
          <w:rFonts w:ascii="Book Antiqua" w:hAnsi="Book Antiqua" w:cs="Arial"/>
        </w:rPr>
      </w:pPr>
      <w:proofErr w:type="gramStart"/>
      <w:r w:rsidRPr="00011203">
        <w:rPr>
          <w:rFonts w:ascii="Book Antiqua" w:hAnsi="Book Antiqua" w:cs="Arial"/>
        </w:rPr>
        <w:lastRenderedPageBreak/>
        <w:t>Thus</w:t>
      </w:r>
      <w:proofErr w:type="gramEnd"/>
      <w:r w:rsidRPr="00011203">
        <w:rPr>
          <w:rFonts w:ascii="Book Antiqua" w:hAnsi="Book Antiqua" w:cs="Arial"/>
        </w:rPr>
        <w:t xml:space="preserve"> the matter </w:t>
      </w:r>
      <w:r>
        <w:rPr>
          <w:rFonts w:ascii="Book Antiqua" w:hAnsi="Book Antiqua" w:cs="Arial"/>
        </w:rPr>
        <w:t xml:space="preserve">came </w:t>
      </w:r>
      <w:r w:rsidRPr="00011203">
        <w:rPr>
          <w:rFonts w:ascii="Book Antiqua" w:hAnsi="Book Antiqua" w:cs="Arial"/>
        </w:rPr>
        <w:t xml:space="preserve">before me on </w:t>
      </w:r>
      <w:r w:rsidR="006D1D4E">
        <w:rPr>
          <w:rFonts w:ascii="Book Antiqua" w:hAnsi="Book Antiqua" w:cs="Arial"/>
        </w:rPr>
        <w:t>18.5.18</w:t>
      </w:r>
      <w:r w:rsidRPr="00011203">
        <w:rPr>
          <w:rFonts w:ascii="Book Antiqua" w:hAnsi="Book Antiqua" w:cs="Arial"/>
        </w:rPr>
        <w:t xml:space="preserve"> as an appeal in the Upper Tribunal.  </w:t>
      </w:r>
    </w:p>
    <w:p w14:paraId="30F57379" w14:textId="77777777" w:rsidR="00C468D9" w:rsidRPr="00C468D9" w:rsidRDefault="00C468D9" w:rsidP="00DA035E">
      <w:pPr>
        <w:numPr>
          <w:ilvl w:val="0"/>
          <w:numId w:val="3"/>
        </w:numPr>
        <w:spacing w:before="160"/>
        <w:jc w:val="both"/>
        <w:rPr>
          <w:rFonts w:ascii="Book Antiqua" w:hAnsi="Book Antiqua" w:cs="Arial"/>
        </w:rPr>
      </w:pPr>
      <w:r>
        <w:rPr>
          <w:rFonts w:ascii="Book Antiqua" w:hAnsi="Book Antiqua" w:cs="Arial"/>
        </w:rPr>
        <w:t>As a preliminary matter, I note that permission appears to have been granted in respect of the first two appellants only. However, it is clear that the grounds relate to all three appellants and I found notices of application of all three within the case file. It is not clear why only two appellants have been listed before the tribunal. For all practical purposes, the cases stand or fall together. I have proceeded on the basis that all three appeals are before the Upper Tribunal, even though strictly speaking that may not be accurate.</w:t>
      </w:r>
    </w:p>
    <w:p w14:paraId="535BA473" w14:textId="77777777" w:rsidR="008F0F55" w:rsidRPr="008C2D8D" w:rsidRDefault="00F81D1E" w:rsidP="00DA035E">
      <w:pPr>
        <w:spacing w:before="160"/>
        <w:jc w:val="both"/>
        <w:rPr>
          <w:rFonts w:ascii="Book Antiqua" w:hAnsi="Book Antiqua" w:cs="Arial"/>
          <w:i/>
        </w:rPr>
      </w:pPr>
      <w:r w:rsidRPr="008C2D8D">
        <w:rPr>
          <w:rFonts w:ascii="Book Antiqua" w:hAnsi="Book Antiqua" w:cs="Arial"/>
          <w:i/>
        </w:rPr>
        <w:t>Error of Law</w:t>
      </w:r>
    </w:p>
    <w:p w14:paraId="7DC0B228" w14:textId="1E593AE1" w:rsidR="00010A3C" w:rsidRDefault="008C2D8D" w:rsidP="00DA035E">
      <w:pPr>
        <w:numPr>
          <w:ilvl w:val="0"/>
          <w:numId w:val="3"/>
        </w:numPr>
        <w:spacing w:before="160"/>
        <w:jc w:val="both"/>
        <w:rPr>
          <w:rFonts w:ascii="Book Antiqua" w:hAnsi="Book Antiqua" w:cs="Arial"/>
        </w:rPr>
      </w:pPr>
      <w:r>
        <w:rPr>
          <w:rFonts w:ascii="Book Antiqua" w:hAnsi="Book Antiqua" w:cs="Arial"/>
        </w:rPr>
        <w:t xml:space="preserve">For the reasons summarised below, I </w:t>
      </w:r>
      <w:r w:rsidR="00DA035E">
        <w:rPr>
          <w:rFonts w:ascii="Book Antiqua" w:hAnsi="Book Antiqua" w:cs="Arial"/>
        </w:rPr>
        <w:t xml:space="preserve">found </w:t>
      </w:r>
      <w:r w:rsidR="00DA035E" w:rsidRPr="00011203">
        <w:rPr>
          <w:rFonts w:ascii="Book Antiqua" w:hAnsi="Book Antiqua" w:cs="Arial"/>
        </w:rPr>
        <w:t>no</w:t>
      </w:r>
      <w:r>
        <w:rPr>
          <w:rFonts w:ascii="Book Antiqua" w:hAnsi="Book Antiqua" w:cs="Arial"/>
        </w:rPr>
        <w:t xml:space="preserve"> material</w:t>
      </w:r>
      <w:r w:rsidR="00F81D1E">
        <w:rPr>
          <w:rFonts w:ascii="Book Antiqua" w:hAnsi="Book Antiqua" w:cs="Arial"/>
        </w:rPr>
        <w:t xml:space="preserve"> error of law in the making of the decision of the First-tier Tribunal such </w:t>
      </w:r>
      <w:r w:rsidR="00010A3C">
        <w:rPr>
          <w:rFonts w:ascii="Book Antiqua" w:hAnsi="Book Antiqua" w:cs="Arial"/>
        </w:rPr>
        <w:t>as to require it to be set aside.</w:t>
      </w:r>
    </w:p>
    <w:p w14:paraId="647F9553" w14:textId="77777777" w:rsidR="00FF3600" w:rsidRDefault="00373EE0" w:rsidP="00DA035E">
      <w:pPr>
        <w:numPr>
          <w:ilvl w:val="0"/>
          <w:numId w:val="3"/>
        </w:numPr>
        <w:spacing w:before="160"/>
        <w:jc w:val="both"/>
        <w:rPr>
          <w:rFonts w:ascii="Book Antiqua" w:hAnsi="Book Antiqua" w:cs="Arial"/>
        </w:rPr>
      </w:pPr>
      <w:r>
        <w:rPr>
          <w:rFonts w:ascii="Book Antiqua" w:hAnsi="Book Antiqua" w:cs="Arial"/>
        </w:rPr>
        <w:t>In granting permission, Judge Hollingworth</w:t>
      </w:r>
      <w:r w:rsidR="00A441E3">
        <w:rPr>
          <w:rFonts w:ascii="Book Antiqua" w:hAnsi="Book Antiqua" w:cs="Arial"/>
        </w:rPr>
        <w:t xml:space="preserve"> found that the First-tier Tribunal Judge arguably erred in failing to set out a greater analysis of the degree of integration of the second appellant “across the social, cultural and educational spectrum of the United Kingdom in assessing the question of reasonableness,” especially given that the child had crossed the 7-year threshold. </w:t>
      </w:r>
      <w:r w:rsidR="00FF3600">
        <w:rPr>
          <w:rFonts w:ascii="Book Antiqua" w:hAnsi="Book Antiqua" w:cs="Arial"/>
        </w:rPr>
        <w:t>It was also considered arguable that the judge had attached too much weight to the children remaining with the first appellan</w:t>
      </w:r>
      <w:r w:rsidR="00030458">
        <w:rPr>
          <w:rFonts w:ascii="Book Antiqua" w:hAnsi="Book Antiqua" w:cs="Arial"/>
        </w:rPr>
        <w:t xml:space="preserve">t. </w:t>
      </w:r>
    </w:p>
    <w:p w14:paraId="0D908778" w14:textId="77777777" w:rsidR="00030458" w:rsidRDefault="00030458" w:rsidP="00DA035E">
      <w:pPr>
        <w:numPr>
          <w:ilvl w:val="0"/>
          <w:numId w:val="3"/>
        </w:numPr>
        <w:spacing w:before="160"/>
        <w:jc w:val="both"/>
        <w:rPr>
          <w:rFonts w:ascii="Book Antiqua" w:hAnsi="Book Antiqua" w:cs="Arial"/>
        </w:rPr>
      </w:pPr>
      <w:r>
        <w:rPr>
          <w:rFonts w:ascii="Book Antiqua" w:hAnsi="Book Antiqua" w:cs="Arial"/>
        </w:rPr>
        <w:t xml:space="preserve">The latter part of the grant of permission makes no sense to me and no satisfactory explanation could be offered by either of the two representatives before me. The judge referred to ‘deracination,’ in a convoluted sentence structure. It may be that the judge intended to refer to ‘integration,’ but </w:t>
      </w:r>
      <w:r w:rsidR="00A23187">
        <w:rPr>
          <w:rFonts w:ascii="Book Antiqua" w:hAnsi="Book Antiqua" w:cs="Arial"/>
        </w:rPr>
        <w:t xml:space="preserve">the sense of the sentence </w:t>
      </w:r>
      <w:r>
        <w:rPr>
          <w:rFonts w:ascii="Book Antiqua" w:hAnsi="Book Antiqua" w:cs="Arial"/>
        </w:rPr>
        <w:t xml:space="preserve">remains unclear. </w:t>
      </w:r>
    </w:p>
    <w:p w14:paraId="7CA9B2CC" w14:textId="77777777" w:rsidR="0050304E" w:rsidRDefault="00A441E3" w:rsidP="00DA035E">
      <w:pPr>
        <w:numPr>
          <w:ilvl w:val="0"/>
          <w:numId w:val="3"/>
        </w:numPr>
        <w:spacing w:before="160"/>
        <w:jc w:val="both"/>
        <w:rPr>
          <w:rFonts w:ascii="Book Antiqua" w:hAnsi="Book Antiqua" w:cs="Arial"/>
        </w:rPr>
      </w:pPr>
      <w:r>
        <w:rPr>
          <w:rFonts w:ascii="Book Antiqua" w:hAnsi="Book Antiqua" w:cs="Arial"/>
        </w:rPr>
        <w:t xml:space="preserve">However, it is clear from the decision that Judge White found </w:t>
      </w:r>
      <w:r w:rsidR="0050304E">
        <w:rPr>
          <w:rFonts w:ascii="Book Antiqua" w:hAnsi="Book Antiqua" w:cs="Arial"/>
        </w:rPr>
        <w:t xml:space="preserve">at [17] </w:t>
      </w:r>
      <w:r>
        <w:rPr>
          <w:rFonts w:ascii="Book Antiqua" w:hAnsi="Book Antiqua" w:cs="Arial"/>
        </w:rPr>
        <w:t>that the best interests of the second appellant were to remain in the UK</w:t>
      </w:r>
      <w:r w:rsidR="0050304E">
        <w:rPr>
          <w:rFonts w:ascii="Book Antiqua" w:hAnsi="Book Antiqua" w:cs="Arial"/>
        </w:rPr>
        <w:t>, giving cogent reasons for that conclusion</w:t>
      </w:r>
      <w:r>
        <w:rPr>
          <w:rFonts w:ascii="Book Antiqua" w:hAnsi="Book Antiqua" w:cs="Arial"/>
        </w:rPr>
        <w:t xml:space="preserve">. </w:t>
      </w:r>
      <w:r w:rsidR="0050304E">
        <w:rPr>
          <w:rFonts w:ascii="Book Antiqua" w:hAnsi="Book Antiqua" w:cs="Arial"/>
        </w:rPr>
        <w:t xml:space="preserve">The judge then went on to consider </w:t>
      </w:r>
      <w:r w:rsidR="00B8655C">
        <w:rPr>
          <w:rFonts w:ascii="Book Antiqua" w:hAnsi="Book Antiqua" w:cs="Arial"/>
        </w:rPr>
        <w:t>that child’s claim under paragraph 276ADE</w:t>
      </w:r>
      <w:r w:rsidR="00177842">
        <w:rPr>
          <w:rFonts w:ascii="Book Antiqua" w:hAnsi="Book Antiqua" w:cs="Arial"/>
        </w:rPr>
        <w:t>(I)(iv)</w:t>
      </w:r>
      <w:r w:rsidR="008B7580">
        <w:rPr>
          <w:rFonts w:ascii="Book Antiqua" w:hAnsi="Book Antiqua" w:cs="Arial"/>
        </w:rPr>
        <w:t xml:space="preserve"> and the implications for the rest of the family outside the Rules under Article 8 ECHR. </w:t>
      </w:r>
    </w:p>
    <w:p w14:paraId="153D42C2" w14:textId="77777777" w:rsidR="00C468D9" w:rsidRDefault="0050304E" w:rsidP="00DA035E">
      <w:pPr>
        <w:numPr>
          <w:ilvl w:val="0"/>
          <w:numId w:val="3"/>
        </w:numPr>
        <w:spacing w:before="160"/>
        <w:jc w:val="both"/>
        <w:rPr>
          <w:rFonts w:ascii="Book Antiqua" w:hAnsi="Book Antiqua" w:cs="Arial"/>
        </w:rPr>
      </w:pPr>
      <w:r>
        <w:rPr>
          <w:rFonts w:ascii="Book Antiqua" w:hAnsi="Book Antiqua" w:cs="Arial"/>
        </w:rPr>
        <w:t>There is no merit in the</w:t>
      </w:r>
      <w:r w:rsidR="008B7580">
        <w:rPr>
          <w:rFonts w:ascii="Book Antiqua" w:hAnsi="Book Antiqua" w:cs="Arial"/>
        </w:rPr>
        <w:t xml:space="preserve"> first</w:t>
      </w:r>
      <w:r>
        <w:rPr>
          <w:rFonts w:ascii="Book Antiqua" w:hAnsi="Book Antiqua" w:cs="Arial"/>
        </w:rPr>
        <w:t xml:space="preserve"> ground</w:t>
      </w:r>
      <w:r w:rsidR="008B7580">
        <w:rPr>
          <w:rFonts w:ascii="Book Antiqua" w:hAnsi="Book Antiqua" w:cs="Arial"/>
        </w:rPr>
        <w:t xml:space="preserve"> advanced before me, to the effect that the judge </w:t>
      </w:r>
      <w:r w:rsidR="009D2E70">
        <w:rPr>
          <w:rFonts w:ascii="Book Antiqua" w:hAnsi="Book Antiqua" w:cs="Arial"/>
        </w:rPr>
        <w:t xml:space="preserve">failed to take into account the length of the stay of the second appellant, now 9 years in the UK. </w:t>
      </w:r>
      <w:r w:rsidR="00471643">
        <w:rPr>
          <w:rFonts w:ascii="Book Antiqua" w:hAnsi="Book Antiqua" w:cs="Arial"/>
        </w:rPr>
        <w:t>It is clear that the judge gave very careful attention to all the relevant circumstances</w:t>
      </w:r>
      <w:r w:rsidR="0019392B">
        <w:rPr>
          <w:rFonts w:ascii="Book Antiqua" w:hAnsi="Book Antiqua" w:cs="Arial"/>
        </w:rPr>
        <w:t xml:space="preserve">, including the child’s length of residence and integration in the UK. </w:t>
      </w:r>
    </w:p>
    <w:p w14:paraId="53CA6A27" w14:textId="76A8EC22" w:rsidR="002711D0" w:rsidRPr="00A42105" w:rsidRDefault="00D944D5" w:rsidP="00DA035E">
      <w:pPr>
        <w:numPr>
          <w:ilvl w:val="0"/>
          <w:numId w:val="3"/>
        </w:numPr>
        <w:spacing w:before="160"/>
        <w:jc w:val="both"/>
        <w:rPr>
          <w:rFonts w:ascii="Book Antiqua" w:hAnsi="Book Antiqua" w:cs="Arial"/>
        </w:rPr>
      </w:pPr>
      <w:r>
        <w:rPr>
          <w:rFonts w:ascii="Book Antiqua" w:hAnsi="Book Antiqua" w:cs="Arial"/>
        </w:rPr>
        <w:t>After assessing best interests, t</w:t>
      </w:r>
      <w:r w:rsidR="00471643">
        <w:rPr>
          <w:rFonts w:ascii="Book Antiqua" w:hAnsi="Book Antiqua" w:cs="Arial"/>
        </w:rPr>
        <w:t xml:space="preserve">he </w:t>
      </w:r>
      <w:r w:rsidR="0019392B">
        <w:rPr>
          <w:rFonts w:ascii="Book Antiqua" w:hAnsi="Book Antiqua" w:cs="Arial"/>
        </w:rPr>
        <w:t xml:space="preserve">primary </w:t>
      </w:r>
      <w:r>
        <w:rPr>
          <w:rFonts w:ascii="Book Antiqua" w:hAnsi="Book Antiqua" w:cs="Arial"/>
        </w:rPr>
        <w:t xml:space="preserve">remaining </w:t>
      </w:r>
      <w:r w:rsidR="00471643">
        <w:rPr>
          <w:rFonts w:ascii="Book Antiqua" w:hAnsi="Book Antiqua" w:cs="Arial"/>
        </w:rPr>
        <w:t xml:space="preserve">issue in the appeal was that of the reasonableness of expecting the second appellant to leave the UK when the child had </w:t>
      </w:r>
      <w:r w:rsidR="0019392B">
        <w:rPr>
          <w:rFonts w:ascii="Book Antiqua" w:hAnsi="Book Antiqua" w:cs="Arial"/>
        </w:rPr>
        <w:t>crossed the 7-year threshold</w:t>
      </w:r>
      <w:r>
        <w:rPr>
          <w:rFonts w:ascii="Book Antiqua" w:hAnsi="Book Antiqua" w:cs="Arial"/>
        </w:rPr>
        <w:t xml:space="preserve"> and the effect on the rest of the family.</w:t>
      </w:r>
      <w:r w:rsidR="0019392B">
        <w:rPr>
          <w:rFonts w:ascii="Book Antiqua" w:hAnsi="Book Antiqua" w:cs="Arial"/>
        </w:rPr>
        <w:t xml:space="preserve"> It is the same </w:t>
      </w:r>
      <w:r>
        <w:rPr>
          <w:rFonts w:ascii="Book Antiqua" w:hAnsi="Book Antiqua" w:cs="Arial"/>
        </w:rPr>
        <w:t xml:space="preserve">reasonableness </w:t>
      </w:r>
      <w:r w:rsidR="0019392B">
        <w:rPr>
          <w:rFonts w:ascii="Book Antiqua" w:hAnsi="Book Antiqua" w:cs="Arial"/>
        </w:rPr>
        <w:t>test within the Rules under 276ADE as it is outside the Rules under section 117B of the Nationality, Immigration and Asylum Act 2002</w:t>
      </w:r>
      <w:r w:rsidR="008801F1">
        <w:rPr>
          <w:rFonts w:ascii="Book Antiqua" w:hAnsi="Book Antiqua" w:cs="Arial"/>
        </w:rPr>
        <w:t xml:space="preserve">, and has been recently considered by the Court of Appeal in </w:t>
      </w:r>
      <w:r w:rsidR="008801F1" w:rsidRPr="008801F1">
        <w:rPr>
          <w:rFonts w:ascii="Book Antiqua" w:hAnsi="Book Antiqua" w:cs="Arial"/>
          <w:u w:val="single"/>
        </w:rPr>
        <w:t>MA (Pakistan) and Others v Upper Tribunal (IAC) and Anor</w:t>
      </w:r>
      <w:r w:rsidR="008801F1">
        <w:rPr>
          <w:rFonts w:ascii="Book Antiqua" w:hAnsi="Book Antiqua" w:cs="Arial"/>
        </w:rPr>
        <w:t xml:space="preserve"> [2016] EWCA </w:t>
      </w:r>
      <w:proofErr w:type="spellStart"/>
      <w:r w:rsidR="008801F1">
        <w:rPr>
          <w:rFonts w:ascii="Book Antiqua" w:hAnsi="Book Antiqua" w:cs="Arial"/>
        </w:rPr>
        <w:t>Civ</w:t>
      </w:r>
      <w:proofErr w:type="spellEnd"/>
      <w:r w:rsidR="008801F1">
        <w:rPr>
          <w:rFonts w:ascii="Book Antiqua" w:hAnsi="Book Antiqua" w:cs="Arial"/>
        </w:rPr>
        <w:t xml:space="preserve"> 705</w:t>
      </w:r>
      <w:r w:rsidR="00A42105">
        <w:rPr>
          <w:rFonts w:ascii="Book Antiqua" w:hAnsi="Book Antiqua" w:cs="Arial"/>
        </w:rPr>
        <w:t xml:space="preserve"> where the Court held that</w:t>
      </w:r>
      <w:r w:rsidR="00100F72">
        <w:rPr>
          <w:rFonts w:ascii="Book Antiqua" w:hAnsi="Book Antiqua" w:cs="Arial"/>
        </w:rPr>
        <w:t xml:space="preserve"> reasonableness in this context requires an assessment of the wider public interest</w:t>
      </w:r>
      <w:r w:rsidR="008D180E">
        <w:rPr>
          <w:rFonts w:ascii="Book Antiqua" w:hAnsi="Book Antiqua" w:cs="Arial"/>
        </w:rPr>
        <w:t xml:space="preserve"> factors in favour of removal. This </w:t>
      </w:r>
      <w:r w:rsidR="00A42105">
        <w:rPr>
          <w:rFonts w:ascii="Book Antiqua" w:hAnsi="Book Antiqua" w:cs="Arial"/>
        </w:rPr>
        <w:t xml:space="preserve">assessment </w:t>
      </w:r>
      <w:r w:rsidR="008D180E">
        <w:rPr>
          <w:rFonts w:ascii="Book Antiqua" w:hAnsi="Book Antiqua" w:cs="Arial"/>
        </w:rPr>
        <w:t xml:space="preserve">the judge embarked on from [18] </w:t>
      </w:r>
      <w:r w:rsidR="00DA035E">
        <w:rPr>
          <w:rFonts w:ascii="Book Antiqua" w:hAnsi="Book Antiqua" w:cs="Arial"/>
        </w:rPr>
        <w:t>onwards.</w:t>
      </w:r>
      <w:r w:rsidR="00DA035E" w:rsidRPr="00A42105">
        <w:rPr>
          <w:rFonts w:ascii="Book Antiqua" w:hAnsi="Book Antiqua" w:cs="Arial"/>
        </w:rPr>
        <w:t xml:space="preserve"> The</w:t>
      </w:r>
      <w:r w:rsidR="00497EA9" w:rsidRPr="00A42105">
        <w:rPr>
          <w:rFonts w:ascii="Book Antiqua" w:hAnsi="Book Antiqua" w:cs="Arial"/>
        </w:rPr>
        <w:t xml:space="preserve"> </w:t>
      </w:r>
      <w:r w:rsidR="005155B8" w:rsidRPr="00A42105">
        <w:rPr>
          <w:rFonts w:ascii="Book Antiqua" w:hAnsi="Book Antiqua" w:cs="Arial"/>
        </w:rPr>
        <w:t xml:space="preserve">determination of weight to be accorded to </w:t>
      </w:r>
      <w:r w:rsidR="009C1C8B" w:rsidRPr="00A42105">
        <w:rPr>
          <w:rFonts w:ascii="Book Antiqua" w:hAnsi="Book Antiqua" w:cs="Arial"/>
        </w:rPr>
        <w:t xml:space="preserve">these </w:t>
      </w:r>
      <w:r w:rsidR="005155B8" w:rsidRPr="00A42105">
        <w:rPr>
          <w:rFonts w:ascii="Book Antiqua" w:hAnsi="Book Antiqua" w:cs="Arial"/>
        </w:rPr>
        <w:t xml:space="preserve">competing factors was a matter within the province of the judge. Having </w:t>
      </w:r>
      <w:r w:rsidR="00963FBF" w:rsidRPr="00A42105">
        <w:rPr>
          <w:rFonts w:ascii="Book Antiqua" w:hAnsi="Book Antiqua" w:cs="Arial"/>
        </w:rPr>
        <w:t xml:space="preserve">carefully </w:t>
      </w:r>
      <w:r w:rsidR="005155B8" w:rsidRPr="00A42105">
        <w:rPr>
          <w:rFonts w:ascii="Book Antiqua" w:hAnsi="Book Antiqua" w:cs="Arial"/>
        </w:rPr>
        <w:t>considered the decision</w:t>
      </w:r>
      <w:r w:rsidR="00963FBF" w:rsidRPr="00A42105">
        <w:rPr>
          <w:rFonts w:ascii="Book Antiqua" w:hAnsi="Book Antiqua" w:cs="Arial"/>
        </w:rPr>
        <w:t xml:space="preserve"> as a whole</w:t>
      </w:r>
      <w:r w:rsidR="005155B8" w:rsidRPr="00A42105">
        <w:rPr>
          <w:rFonts w:ascii="Book Antiqua" w:hAnsi="Book Antiqua" w:cs="Arial"/>
        </w:rPr>
        <w:t xml:space="preserve">, </w:t>
      </w:r>
      <w:r w:rsidR="00100F72" w:rsidRPr="00A42105">
        <w:rPr>
          <w:rFonts w:ascii="Book Antiqua" w:hAnsi="Book Antiqua" w:cs="Arial"/>
        </w:rPr>
        <w:t xml:space="preserve">I do not find </w:t>
      </w:r>
      <w:r w:rsidR="00DA035E" w:rsidRPr="00A42105">
        <w:rPr>
          <w:rFonts w:ascii="Book Antiqua" w:hAnsi="Book Antiqua" w:cs="Arial"/>
        </w:rPr>
        <w:t>it perverse</w:t>
      </w:r>
      <w:r w:rsidR="005155B8" w:rsidRPr="00A42105">
        <w:rPr>
          <w:rFonts w:ascii="Book Antiqua" w:hAnsi="Book Antiqua" w:cs="Arial"/>
        </w:rPr>
        <w:t xml:space="preserve"> or irrational </w:t>
      </w:r>
      <w:r w:rsidR="00C30B91" w:rsidRPr="00A42105">
        <w:rPr>
          <w:rFonts w:ascii="Book Antiqua" w:hAnsi="Book Antiqua" w:cs="Arial"/>
        </w:rPr>
        <w:t xml:space="preserve">for the judge </w:t>
      </w:r>
      <w:r w:rsidR="005155B8" w:rsidRPr="00A42105">
        <w:rPr>
          <w:rFonts w:ascii="Book Antiqua" w:hAnsi="Book Antiqua" w:cs="Arial"/>
        </w:rPr>
        <w:t xml:space="preserve">to conclude that despite the </w:t>
      </w:r>
      <w:r w:rsidR="005155B8" w:rsidRPr="00A42105">
        <w:rPr>
          <w:rFonts w:ascii="Book Antiqua" w:hAnsi="Book Antiqua" w:cs="Arial"/>
        </w:rPr>
        <w:lastRenderedPageBreak/>
        <w:t>length of residence</w:t>
      </w:r>
      <w:r w:rsidR="004D2C86" w:rsidRPr="00A42105">
        <w:rPr>
          <w:rFonts w:ascii="Book Antiqua" w:hAnsi="Book Antiqua" w:cs="Arial"/>
        </w:rPr>
        <w:t xml:space="preserve"> and integration in the UK</w:t>
      </w:r>
      <w:r w:rsidR="00F64F66" w:rsidRPr="00A42105">
        <w:rPr>
          <w:rFonts w:ascii="Book Antiqua" w:hAnsi="Book Antiqua" w:cs="Arial"/>
        </w:rPr>
        <w:t xml:space="preserve">, taking into account the competing public interest considerations and in particular that there was no basis for any other member of the family to remain in the UK, </w:t>
      </w:r>
      <w:r w:rsidR="005155B8" w:rsidRPr="00A42105">
        <w:rPr>
          <w:rFonts w:ascii="Book Antiqua" w:hAnsi="Book Antiqua" w:cs="Arial"/>
        </w:rPr>
        <w:t>it was reasonable</w:t>
      </w:r>
      <w:r w:rsidR="00F64F66" w:rsidRPr="00A42105">
        <w:rPr>
          <w:rFonts w:ascii="Book Antiqua" w:hAnsi="Book Antiqua" w:cs="Arial"/>
        </w:rPr>
        <w:t xml:space="preserve"> to expect the child to accompany the rest of the family </w:t>
      </w:r>
      <w:r w:rsidR="000E524D" w:rsidRPr="00A42105">
        <w:rPr>
          <w:rFonts w:ascii="Book Antiqua" w:hAnsi="Book Antiqua" w:cs="Arial"/>
        </w:rPr>
        <w:t xml:space="preserve">to Nigeria. </w:t>
      </w:r>
      <w:r w:rsidR="004D2C86" w:rsidRPr="00A42105">
        <w:rPr>
          <w:rFonts w:ascii="Book Antiqua" w:hAnsi="Book Antiqua" w:cs="Arial"/>
        </w:rPr>
        <w:t xml:space="preserve">They have no legitimate expectation to be able to remain in the UK and were without leave so that their immigration status has been precarious. </w:t>
      </w:r>
    </w:p>
    <w:p w14:paraId="1757447E" w14:textId="77777777" w:rsidR="00100F72" w:rsidRDefault="009C1C8B" w:rsidP="00DA035E">
      <w:pPr>
        <w:numPr>
          <w:ilvl w:val="0"/>
          <w:numId w:val="3"/>
        </w:numPr>
        <w:spacing w:before="160"/>
        <w:jc w:val="both"/>
        <w:rPr>
          <w:rFonts w:ascii="Book Antiqua" w:hAnsi="Book Antiqua" w:cs="Arial"/>
        </w:rPr>
      </w:pPr>
      <w:r>
        <w:rPr>
          <w:rFonts w:ascii="Book Antiqua" w:hAnsi="Book Antiqua" w:cs="Arial"/>
        </w:rPr>
        <w:t xml:space="preserve">Mr </w:t>
      </w:r>
      <w:proofErr w:type="spellStart"/>
      <w:r>
        <w:rPr>
          <w:rFonts w:ascii="Book Antiqua" w:hAnsi="Book Antiqua" w:cs="Arial"/>
        </w:rPr>
        <w:t>Oj</w:t>
      </w:r>
      <w:r w:rsidR="00BF3DA3">
        <w:rPr>
          <w:rFonts w:ascii="Book Antiqua" w:hAnsi="Book Antiqua" w:cs="Arial"/>
        </w:rPr>
        <w:t>o</w:t>
      </w:r>
      <w:proofErr w:type="spellEnd"/>
      <w:r w:rsidR="00BF3DA3">
        <w:rPr>
          <w:rFonts w:ascii="Book Antiqua" w:hAnsi="Book Antiqua" w:cs="Arial"/>
        </w:rPr>
        <w:t xml:space="preserve"> relied on the fact that the second appellant is close to being able to apply for naturalisation as a British citizen. The tribunal recognised this at [19] of the decision, but had to take account of the circumstances as they were</w:t>
      </w:r>
      <w:r w:rsidR="00DA0668">
        <w:rPr>
          <w:rFonts w:ascii="Book Antiqua" w:hAnsi="Book Antiqua" w:cs="Arial"/>
        </w:rPr>
        <w:t xml:space="preserve"> at the time. It may still be open to the second appellant to make such an application later this year, but that was not a matter strictly relevant to the decision before the First-tier Tribunal. </w:t>
      </w:r>
    </w:p>
    <w:p w14:paraId="09EB65F3" w14:textId="77777777" w:rsidR="00DA0668" w:rsidRDefault="00DA0668" w:rsidP="00DA035E">
      <w:pPr>
        <w:numPr>
          <w:ilvl w:val="0"/>
          <w:numId w:val="3"/>
        </w:numPr>
        <w:spacing w:before="160"/>
        <w:jc w:val="both"/>
        <w:rPr>
          <w:rFonts w:ascii="Book Antiqua" w:hAnsi="Book Antiqua" w:cs="Arial"/>
        </w:rPr>
      </w:pPr>
      <w:r>
        <w:rPr>
          <w:rFonts w:ascii="Book Antiqua" w:hAnsi="Book Antiqua" w:cs="Arial"/>
        </w:rPr>
        <w:t xml:space="preserve">I note that as drafted the grounds relied on out of date </w:t>
      </w:r>
      <w:r w:rsidR="00AA6CB0">
        <w:rPr>
          <w:rFonts w:ascii="Book Antiqua" w:hAnsi="Book Antiqua" w:cs="Arial"/>
        </w:rPr>
        <w:t xml:space="preserve">case </w:t>
      </w:r>
      <w:r>
        <w:rPr>
          <w:rFonts w:ascii="Book Antiqua" w:hAnsi="Book Antiqua" w:cs="Arial"/>
        </w:rPr>
        <w:t>law and incorrectly plea that s117</w:t>
      </w:r>
      <w:proofErr w:type="gramStart"/>
      <w:r>
        <w:rPr>
          <w:rFonts w:ascii="Book Antiqua" w:hAnsi="Book Antiqua" w:cs="Arial"/>
        </w:rPr>
        <w:t>B(</w:t>
      </w:r>
      <w:proofErr w:type="gramEnd"/>
      <w:r>
        <w:rPr>
          <w:rFonts w:ascii="Book Antiqua" w:hAnsi="Book Antiqua" w:cs="Arial"/>
        </w:rPr>
        <w:t xml:space="preserve">6) is determinative of the right of the child to remain in the UK. Contrary to the </w:t>
      </w:r>
      <w:r w:rsidR="00AA6CB0">
        <w:rPr>
          <w:rFonts w:ascii="Book Antiqua" w:hAnsi="Book Antiqua" w:cs="Arial"/>
        </w:rPr>
        <w:t xml:space="preserve">premise of the </w:t>
      </w:r>
      <w:r>
        <w:rPr>
          <w:rFonts w:ascii="Book Antiqua" w:hAnsi="Book Antiqua" w:cs="Arial"/>
        </w:rPr>
        <w:t xml:space="preserve">grounds, the second appellant and/or the other child are not going to be separated from their parent and family life will continue outside the UK on return to Nigeria. </w:t>
      </w:r>
      <w:r w:rsidR="00564D9B">
        <w:rPr>
          <w:rFonts w:ascii="Book Antiqua" w:hAnsi="Book Antiqua" w:cs="Arial"/>
        </w:rPr>
        <w:t xml:space="preserve">The starting point where the parent is to be removed is that the child’s best interests are to go with the parent. </w:t>
      </w:r>
      <w:r w:rsidR="003A4962">
        <w:rPr>
          <w:rFonts w:ascii="Book Antiqua" w:hAnsi="Book Antiqua" w:cs="Arial"/>
        </w:rPr>
        <w:t xml:space="preserve">There was obviously a balancing exercise to be carried out but </w:t>
      </w:r>
      <w:r w:rsidR="00E3288F">
        <w:rPr>
          <w:rFonts w:ascii="Book Antiqua" w:hAnsi="Book Antiqua" w:cs="Arial"/>
        </w:rPr>
        <w:t xml:space="preserve">it is clear </w:t>
      </w:r>
      <w:r w:rsidR="003A4962">
        <w:rPr>
          <w:rFonts w:ascii="Book Antiqua" w:hAnsi="Book Antiqua" w:cs="Arial"/>
        </w:rPr>
        <w:t xml:space="preserve">that was done </w:t>
      </w:r>
      <w:r w:rsidR="00B608B4">
        <w:rPr>
          <w:rFonts w:ascii="Book Antiqua" w:hAnsi="Book Antiqua" w:cs="Arial"/>
        </w:rPr>
        <w:t>within the First-tier Tribunal decision.</w:t>
      </w:r>
    </w:p>
    <w:p w14:paraId="26B2DC64" w14:textId="7D6CD394" w:rsidR="003A4962" w:rsidRPr="00A42105" w:rsidRDefault="003A4962" w:rsidP="00DA035E">
      <w:pPr>
        <w:numPr>
          <w:ilvl w:val="0"/>
          <w:numId w:val="3"/>
        </w:numPr>
        <w:spacing w:before="160"/>
        <w:jc w:val="both"/>
        <w:rPr>
          <w:rFonts w:ascii="Book Antiqua" w:hAnsi="Book Antiqua" w:cs="Arial"/>
        </w:rPr>
      </w:pPr>
      <w:r>
        <w:rPr>
          <w:rFonts w:ascii="Book Antiqua" w:hAnsi="Book Antiqua" w:cs="Arial"/>
        </w:rPr>
        <w:t>I am satisfied that the findings and conclusions were fully open to the judge on the evidence and for which cogent reasoning has been provided in a careful assessment. The grounds are little more than a disagreement with the decision and fail to identify any material error of law.</w:t>
      </w:r>
      <w:r w:rsidR="00A42105" w:rsidRPr="00A42105">
        <w:rPr>
          <w:rFonts w:ascii="Book Antiqua" w:hAnsi="Book Antiqua" w:cs="Arial"/>
        </w:rPr>
        <w:t xml:space="preserve"> </w:t>
      </w:r>
      <w:r w:rsidR="00A42105">
        <w:rPr>
          <w:rFonts w:ascii="Book Antiqua" w:hAnsi="Book Antiqua" w:cs="Arial"/>
        </w:rPr>
        <w:t xml:space="preserve">A different judge may have reached a different conclusion, but it was open to this judge to reach the conclusion made, for which cogent reasoning has been provided. </w:t>
      </w:r>
    </w:p>
    <w:p w14:paraId="36BDBC40" w14:textId="77777777" w:rsidR="008F0F55" w:rsidRPr="00010A3C" w:rsidRDefault="00B36E83" w:rsidP="00DA035E">
      <w:pPr>
        <w:tabs>
          <w:tab w:val="left" w:pos="2520"/>
        </w:tabs>
        <w:spacing w:before="160"/>
        <w:jc w:val="both"/>
        <w:rPr>
          <w:rFonts w:ascii="Book Antiqua" w:hAnsi="Book Antiqua" w:cs="Arial"/>
          <w:b/>
          <w:i/>
        </w:rPr>
      </w:pPr>
      <w:r w:rsidRPr="00010A3C">
        <w:rPr>
          <w:rFonts w:ascii="Book Antiqua" w:hAnsi="Book Antiqua" w:cs="Arial"/>
          <w:b/>
          <w:i/>
        </w:rPr>
        <w:t>Decision</w:t>
      </w:r>
      <w:r w:rsidR="00F81D1E" w:rsidRPr="00010A3C">
        <w:rPr>
          <w:rFonts w:ascii="Book Antiqua" w:hAnsi="Book Antiqua" w:cs="Arial"/>
          <w:b/>
          <w:i/>
        </w:rPr>
        <w:t>:</w:t>
      </w:r>
    </w:p>
    <w:p w14:paraId="27EBA783" w14:textId="77777777" w:rsidR="008F0F55" w:rsidRPr="003A0DFB" w:rsidRDefault="00F81D1E" w:rsidP="00DA035E">
      <w:pPr>
        <w:numPr>
          <w:ilvl w:val="0"/>
          <w:numId w:val="3"/>
        </w:numPr>
        <w:tabs>
          <w:tab w:val="left" w:pos="2520"/>
        </w:tabs>
        <w:spacing w:before="160"/>
        <w:jc w:val="both"/>
        <w:rPr>
          <w:rFonts w:ascii="Book Antiqua" w:hAnsi="Book Antiqua" w:cs="Arial"/>
        </w:rPr>
      </w:pPr>
      <w:r w:rsidRPr="003A0DFB">
        <w:rPr>
          <w:rFonts w:ascii="Book Antiqua" w:hAnsi="Book Antiqua" w:cs="Arial"/>
        </w:rPr>
        <w:t>The making of the decision</w:t>
      </w:r>
      <w:r>
        <w:rPr>
          <w:rFonts w:ascii="Book Antiqua" w:hAnsi="Book Antiqua" w:cs="Arial"/>
        </w:rPr>
        <w:t xml:space="preserve"> of the First-tier Tribunal did </w:t>
      </w:r>
      <w:r w:rsidRPr="003A0DFB">
        <w:rPr>
          <w:rFonts w:ascii="Book Antiqua" w:hAnsi="Book Antiqua" w:cs="Arial"/>
        </w:rPr>
        <w:t>not involve the making of an error on a point of law</w:t>
      </w:r>
      <w:r>
        <w:rPr>
          <w:rFonts w:ascii="Book Antiqua" w:hAnsi="Book Antiqua" w:cs="Arial"/>
        </w:rPr>
        <w:t xml:space="preserve"> such that the decision should be set aside</w:t>
      </w:r>
      <w:r w:rsidRPr="003A0DFB">
        <w:rPr>
          <w:rFonts w:ascii="Book Antiqua" w:hAnsi="Book Antiqua" w:cs="Arial"/>
        </w:rPr>
        <w:t>.</w:t>
      </w:r>
    </w:p>
    <w:p w14:paraId="16861247" w14:textId="77777777" w:rsidR="008F0F55" w:rsidRPr="003A0DFB" w:rsidRDefault="00F81D1E" w:rsidP="00DA035E">
      <w:pPr>
        <w:tabs>
          <w:tab w:val="left" w:pos="2520"/>
        </w:tabs>
        <w:spacing w:before="160"/>
        <w:jc w:val="both"/>
        <w:rPr>
          <w:rFonts w:ascii="Book Antiqua" w:hAnsi="Book Antiqua" w:cs="Arial"/>
        </w:rPr>
      </w:pPr>
      <w:r w:rsidRPr="003A0DFB">
        <w:rPr>
          <w:rFonts w:ascii="Book Antiqua" w:hAnsi="Book Antiqua" w:cs="Arial"/>
        </w:rPr>
        <w:tab/>
        <w:t>I do not set aside the decision</w:t>
      </w:r>
      <w:r>
        <w:rPr>
          <w:rFonts w:ascii="Book Antiqua" w:hAnsi="Book Antiqua" w:cs="Arial"/>
        </w:rPr>
        <w:t>.</w:t>
      </w:r>
      <w:r w:rsidRPr="003A0DFB">
        <w:rPr>
          <w:rFonts w:ascii="Book Antiqua" w:hAnsi="Book Antiqua" w:cs="Arial"/>
        </w:rPr>
        <w:t xml:space="preserve"> </w:t>
      </w:r>
    </w:p>
    <w:p w14:paraId="3077DE6C" w14:textId="77777777" w:rsidR="00FC346C" w:rsidRPr="003A0DFB" w:rsidRDefault="00B36E83" w:rsidP="00DA035E">
      <w:pPr>
        <w:tabs>
          <w:tab w:val="left" w:pos="2520"/>
        </w:tabs>
        <w:spacing w:before="160"/>
        <w:ind w:left="2520"/>
        <w:jc w:val="both"/>
        <w:rPr>
          <w:rFonts w:ascii="Book Antiqua" w:hAnsi="Book Antiqua" w:cs="Arial"/>
        </w:rPr>
      </w:pPr>
      <w:r>
        <w:rPr>
          <w:rFonts w:ascii="Book Antiqua" w:hAnsi="Book Antiqua" w:cs="Arial"/>
        </w:rPr>
        <w:t>The decision of the First-tier Tribunal stands and the appeals remain dismissed on all grounds.</w:t>
      </w:r>
    </w:p>
    <w:p w14:paraId="019CAAA8" w14:textId="77777777" w:rsidR="008F0F55" w:rsidRDefault="00F81D1E" w:rsidP="008F0F55">
      <w:pPr>
        <w:tabs>
          <w:tab w:val="left" w:pos="2268"/>
          <w:tab w:val="left" w:pos="5103"/>
        </w:tabs>
        <w:rPr>
          <w:rFonts w:ascii="Book Antiqua" w:hAnsi="Book Antiqua" w:cs="Arial"/>
          <w:b/>
          <w:bCs/>
        </w:rPr>
      </w:pPr>
      <w:r w:rsidRPr="006E1B05">
        <w:rPr>
          <w:rFonts w:ascii="Book Antiqua" w:hAnsi="Book Antiqua" w:cs="Arial"/>
          <w:b/>
          <w:bCs/>
        </w:rPr>
        <w:tab/>
      </w:r>
      <w:r>
        <w:rPr>
          <w:noProof/>
        </w:rPr>
        <w:drawing>
          <wp:inline distT="0" distB="0" distL="0" distR="0" wp14:anchorId="17437FA5" wp14:editId="13849B23">
            <wp:extent cx="1979295" cy="1027430"/>
            <wp:effectExtent l="25400" t="0" r="1905" b="0"/>
            <wp:docPr id="2" name="Picture 2" descr="dp s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 sig"/>
                    <pic:cNvPicPr>
                      <a:picLocks noChangeAspect="1" noChangeArrowheads="1"/>
                    </pic:cNvPicPr>
                  </pic:nvPicPr>
                  <pic:blipFill>
                    <a:blip r:embed="rId8"/>
                    <a:srcRect/>
                    <a:stretch>
                      <a:fillRect/>
                    </a:stretch>
                  </pic:blipFill>
                  <pic:spPr bwMode="auto">
                    <a:xfrm>
                      <a:off x="0" y="0"/>
                      <a:ext cx="1979295" cy="1027430"/>
                    </a:xfrm>
                    <a:prstGeom prst="rect">
                      <a:avLst/>
                    </a:prstGeom>
                    <a:noFill/>
                    <a:ln w="9525">
                      <a:noFill/>
                      <a:miter lim="800000"/>
                      <a:headEnd/>
                      <a:tailEnd/>
                    </a:ln>
                  </pic:spPr>
                </pic:pic>
              </a:graphicData>
            </a:graphic>
          </wp:inline>
        </w:drawing>
      </w:r>
    </w:p>
    <w:p w14:paraId="724BA534" w14:textId="77777777" w:rsidR="008F0F55" w:rsidRPr="006E1B05" w:rsidRDefault="00F81D1E" w:rsidP="008F0F55">
      <w:pPr>
        <w:tabs>
          <w:tab w:val="left" w:pos="2268"/>
          <w:tab w:val="left" w:pos="5103"/>
        </w:tabs>
        <w:rPr>
          <w:rFonts w:ascii="Book Antiqua" w:hAnsi="Book Antiqua" w:cs="Arial"/>
          <w:b/>
          <w:bCs/>
        </w:rPr>
      </w:pPr>
      <w:r>
        <w:rPr>
          <w:rFonts w:ascii="Book Antiqua" w:hAnsi="Book Antiqua" w:cs="Arial"/>
          <w:b/>
          <w:bCs/>
        </w:rPr>
        <w:tab/>
      </w:r>
      <w:r w:rsidRPr="006E1B05">
        <w:rPr>
          <w:rFonts w:ascii="Book Antiqua" w:hAnsi="Book Antiqua" w:cs="Arial"/>
          <w:b/>
          <w:bCs/>
        </w:rPr>
        <w:t>Signed</w:t>
      </w:r>
      <w:r>
        <w:rPr>
          <w:rFonts w:ascii="Book Antiqua" w:hAnsi="Book Antiqua" w:cs="Arial"/>
          <w:b/>
          <w:bCs/>
        </w:rPr>
        <w:tab/>
      </w:r>
    </w:p>
    <w:p w14:paraId="5B0DA23E" w14:textId="77777777" w:rsidR="008F0F55" w:rsidRPr="006E1B05" w:rsidRDefault="00264091" w:rsidP="008F0F55">
      <w:pPr>
        <w:tabs>
          <w:tab w:val="left" w:pos="2268"/>
          <w:tab w:val="left" w:pos="4536"/>
          <w:tab w:val="left" w:pos="5103"/>
        </w:tabs>
        <w:rPr>
          <w:rFonts w:ascii="Book Antiqua" w:hAnsi="Book Antiqua" w:cs="Arial"/>
          <w:b/>
          <w:bCs/>
        </w:rPr>
      </w:pPr>
    </w:p>
    <w:p w14:paraId="35160E8C" w14:textId="77777777" w:rsidR="008F0F55" w:rsidRPr="006E1B05" w:rsidRDefault="00F81D1E" w:rsidP="008F0F55">
      <w:pPr>
        <w:tabs>
          <w:tab w:val="left" w:pos="2268"/>
          <w:tab w:val="left" w:pos="5103"/>
        </w:tabs>
        <w:ind w:left="567"/>
        <w:rPr>
          <w:rFonts w:ascii="Book Antiqua" w:hAnsi="Book Antiqua" w:cs="Arial"/>
          <w:b/>
          <w:bCs/>
        </w:rPr>
      </w:pPr>
      <w:r>
        <w:rPr>
          <w:rFonts w:ascii="Book Antiqua" w:hAnsi="Book Antiqua" w:cs="Arial"/>
          <w:b/>
          <w:bCs/>
        </w:rPr>
        <w:tab/>
        <w:t>Deputy Upper Tribunal Judge Pickup</w:t>
      </w:r>
    </w:p>
    <w:p w14:paraId="2A38EB86" w14:textId="77777777" w:rsidR="008F0F55" w:rsidRPr="006E1B05" w:rsidRDefault="00264091" w:rsidP="008F0F55">
      <w:pPr>
        <w:tabs>
          <w:tab w:val="left" w:pos="2268"/>
          <w:tab w:val="left" w:pos="5103"/>
        </w:tabs>
        <w:rPr>
          <w:rFonts w:ascii="Book Antiqua" w:hAnsi="Book Antiqua" w:cs="Arial"/>
          <w:b/>
          <w:bCs/>
        </w:rPr>
      </w:pPr>
    </w:p>
    <w:p w14:paraId="64B04546" w14:textId="45543407" w:rsidR="008F0F55" w:rsidRDefault="00F81D1E" w:rsidP="008F0F55">
      <w:pPr>
        <w:tabs>
          <w:tab w:val="left" w:pos="2268"/>
          <w:tab w:val="left" w:pos="5103"/>
        </w:tabs>
        <w:rPr>
          <w:rFonts w:ascii="Arial" w:hAnsi="Arial" w:cs="Arial"/>
          <w:b/>
          <w:bCs/>
        </w:rPr>
      </w:pPr>
      <w:r>
        <w:rPr>
          <w:rFonts w:ascii="Book Antiqua" w:hAnsi="Book Antiqua" w:cs="Arial"/>
          <w:b/>
          <w:bCs/>
        </w:rPr>
        <w:tab/>
      </w:r>
      <w:r w:rsidRPr="006E1B05">
        <w:rPr>
          <w:rFonts w:ascii="Book Antiqua" w:hAnsi="Book Antiqua" w:cs="Arial"/>
          <w:b/>
          <w:bCs/>
        </w:rPr>
        <w:t>Dated</w:t>
      </w:r>
    </w:p>
    <w:p w14:paraId="595E8736" w14:textId="77777777" w:rsidR="008F0F55" w:rsidRPr="0083585F" w:rsidRDefault="00264091" w:rsidP="008F0F55">
      <w:pPr>
        <w:tabs>
          <w:tab w:val="left" w:pos="2520"/>
        </w:tabs>
        <w:jc w:val="both"/>
        <w:rPr>
          <w:rFonts w:ascii="Book Antiqua" w:hAnsi="Book Antiqua" w:cs="Arial"/>
        </w:rPr>
      </w:pPr>
    </w:p>
    <w:p w14:paraId="1A761B54" w14:textId="77777777" w:rsidR="008F0F55" w:rsidRPr="0083585F" w:rsidRDefault="00264091" w:rsidP="008F0F55">
      <w:pPr>
        <w:tabs>
          <w:tab w:val="left" w:pos="2520"/>
        </w:tabs>
        <w:jc w:val="both"/>
        <w:rPr>
          <w:rFonts w:ascii="Book Antiqua" w:hAnsi="Book Antiqua" w:cs="Arial"/>
        </w:rPr>
      </w:pPr>
    </w:p>
    <w:p w14:paraId="400330E5" w14:textId="77777777" w:rsidR="008F0F55" w:rsidRPr="003A0DFB" w:rsidRDefault="00F81D1E" w:rsidP="008F0F55">
      <w:pPr>
        <w:tabs>
          <w:tab w:val="left" w:pos="2520"/>
        </w:tabs>
        <w:spacing w:before="240" w:after="100" w:afterAutospacing="1"/>
        <w:jc w:val="both"/>
        <w:rPr>
          <w:rFonts w:ascii="Book Antiqua" w:hAnsi="Book Antiqua" w:cs="Arial"/>
          <w:b/>
        </w:rPr>
      </w:pPr>
      <w:r w:rsidRPr="003A0DFB">
        <w:rPr>
          <w:rFonts w:ascii="Book Antiqua" w:hAnsi="Book Antiqua" w:cs="Arial"/>
          <w:b/>
        </w:rPr>
        <w:lastRenderedPageBreak/>
        <w:t>Anonymity</w:t>
      </w:r>
    </w:p>
    <w:p w14:paraId="557790B0" w14:textId="7E78143C" w:rsidR="008F0F55" w:rsidRPr="003A0DFB" w:rsidRDefault="00F81D1E" w:rsidP="008F0F55">
      <w:pPr>
        <w:tabs>
          <w:tab w:val="left" w:pos="2520"/>
        </w:tabs>
        <w:spacing w:before="240" w:after="100" w:afterAutospacing="1"/>
        <w:jc w:val="both"/>
        <w:rPr>
          <w:rFonts w:ascii="Book Antiqua" w:hAnsi="Book Antiqua" w:cs="Arial"/>
        </w:rPr>
      </w:pPr>
      <w:r>
        <w:rPr>
          <w:rFonts w:ascii="Book Antiqua" w:hAnsi="Book Antiqua"/>
        </w:rPr>
        <w:t xml:space="preserve">I have considered whether any parties require the protection of any anonymity direction. No submissions were made on the issue. </w:t>
      </w:r>
      <w:r>
        <w:rPr>
          <w:rFonts w:ascii="Book Antiqua" w:hAnsi="Book Antiqua" w:cs="Arial"/>
        </w:rPr>
        <w:t xml:space="preserve">The First-tier Tribunal </w:t>
      </w:r>
      <w:r w:rsidR="00DA035E" w:rsidRPr="003A0DFB">
        <w:rPr>
          <w:rFonts w:ascii="Book Antiqua" w:hAnsi="Book Antiqua" w:cs="Arial"/>
        </w:rPr>
        <w:t>did make</w:t>
      </w:r>
      <w:r w:rsidRPr="003A0DFB">
        <w:rPr>
          <w:rFonts w:ascii="Book Antiqua" w:hAnsi="Book Antiqua" w:cs="Arial"/>
        </w:rPr>
        <w:t xml:space="preserve"> an order pursuant to rule </w:t>
      </w:r>
      <w:r w:rsidR="00304CCE">
        <w:rPr>
          <w:rFonts w:ascii="Book Antiqua" w:hAnsi="Book Antiqua" w:cs="Arial"/>
        </w:rPr>
        <w:t>13(1)</w:t>
      </w:r>
      <w:r w:rsidRPr="003A0DFB">
        <w:rPr>
          <w:rFonts w:ascii="Book Antiqua" w:hAnsi="Book Antiqua" w:cs="Arial"/>
        </w:rPr>
        <w:t xml:space="preserve"> of the </w:t>
      </w:r>
      <w:r w:rsidR="00304CCE">
        <w:rPr>
          <w:rFonts w:ascii="Book Antiqua" w:hAnsi="Book Antiqua" w:cs="Arial"/>
        </w:rPr>
        <w:t>Tribunal Procedure Rules 2014</w:t>
      </w:r>
      <w:r w:rsidRPr="003A0DFB">
        <w:rPr>
          <w:rFonts w:ascii="Book Antiqua" w:hAnsi="Book Antiqua" w:cs="Arial"/>
        </w:rPr>
        <w:t>.</w:t>
      </w:r>
    </w:p>
    <w:p w14:paraId="66F6A56C" w14:textId="77777777" w:rsidR="00CF3153" w:rsidRPr="00177DBD" w:rsidRDefault="00F81D1E" w:rsidP="008F0F55">
      <w:pPr>
        <w:tabs>
          <w:tab w:val="left" w:pos="0"/>
          <w:tab w:val="left" w:pos="360"/>
        </w:tabs>
        <w:overflowPunct w:val="0"/>
        <w:autoSpaceDE w:val="0"/>
        <w:autoSpaceDN w:val="0"/>
        <w:adjustRightInd w:val="0"/>
        <w:spacing w:after="120"/>
        <w:jc w:val="both"/>
        <w:textAlignment w:val="baseline"/>
        <w:rPr>
          <w:rFonts w:ascii="Book Antiqua" w:hAnsi="Book Antiqua"/>
        </w:rPr>
      </w:pPr>
      <w:r>
        <w:rPr>
          <w:rFonts w:ascii="Book Antiqua" w:hAnsi="Book Antiqua"/>
        </w:rPr>
        <w:t xml:space="preserve">Given the circumstances, I </w:t>
      </w:r>
      <w:r w:rsidR="00CF3153">
        <w:rPr>
          <w:rFonts w:ascii="Book Antiqua" w:hAnsi="Book Antiqua"/>
        </w:rPr>
        <w:t>continue the</w:t>
      </w:r>
      <w:r>
        <w:rPr>
          <w:rFonts w:ascii="Book Antiqua" w:hAnsi="Book Antiqua"/>
        </w:rPr>
        <w:t xml:space="preserve"> anonymity </w:t>
      </w:r>
      <w:r w:rsidR="00CF3153">
        <w:rPr>
          <w:rFonts w:ascii="Book Antiqua" w:hAnsi="Book Antiqua"/>
        </w:rPr>
        <w:t>direction</w:t>
      </w:r>
      <w:r>
        <w:rPr>
          <w:rFonts w:ascii="Book Antiqua" w:hAnsi="Book Antiqua"/>
        </w:rPr>
        <w:t>.</w:t>
      </w:r>
    </w:p>
    <w:p w14:paraId="6FA43911" w14:textId="77777777" w:rsidR="00DA035E" w:rsidRDefault="00DA035E" w:rsidP="008F0F55">
      <w:pPr>
        <w:tabs>
          <w:tab w:val="left" w:pos="2520"/>
        </w:tabs>
        <w:spacing w:before="240" w:after="100" w:afterAutospacing="1"/>
        <w:jc w:val="both"/>
        <w:rPr>
          <w:rFonts w:ascii="Book Antiqua" w:hAnsi="Book Antiqua" w:cs="Arial"/>
          <w:b/>
        </w:rPr>
      </w:pPr>
    </w:p>
    <w:p w14:paraId="1F35193F" w14:textId="4E6E118D" w:rsidR="008F0F55" w:rsidRPr="003A0DFB" w:rsidRDefault="00F81D1E" w:rsidP="008F0F55">
      <w:pPr>
        <w:tabs>
          <w:tab w:val="left" w:pos="2520"/>
        </w:tabs>
        <w:spacing w:before="240" w:after="100" w:afterAutospacing="1"/>
        <w:jc w:val="both"/>
        <w:rPr>
          <w:rFonts w:ascii="Book Antiqua" w:hAnsi="Book Antiqua" w:cs="Arial"/>
          <w:b/>
        </w:rPr>
      </w:pPr>
      <w:r w:rsidRPr="003A0DFB">
        <w:rPr>
          <w:rFonts w:ascii="Book Antiqua" w:hAnsi="Book Antiqua" w:cs="Arial"/>
          <w:b/>
        </w:rPr>
        <w:t xml:space="preserve">Fee Award </w:t>
      </w:r>
      <w:r w:rsidRPr="003A0DFB">
        <w:rPr>
          <w:rFonts w:ascii="Book Antiqua" w:hAnsi="Book Antiqua" w:cs="Arial"/>
          <w:b/>
        </w:rPr>
        <w:tab/>
      </w:r>
      <w:r w:rsidRPr="003A0DFB">
        <w:rPr>
          <w:rFonts w:ascii="Book Antiqua" w:hAnsi="Book Antiqua" w:cs="Arial"/>
          <w:b/>
        </w:rPr>
        <w:tab/>
        <w:t>Note: this is not part of the determination.</w:t>
      </w:r>
    </w:p>
    <w:p w14:paraId="531646C6" w14:textId="77777777" w:rsidR="008F0F55" w:rsidRPr="003A0DFB" w:rsidRDefault="00F81D1E" w:rsidP="008F0F55">
      <w:pPr>
        <w:tabs>
          <w:tab w:val="left" w:pos="2520"/>
        </w:tabs>
        <w:spacing w:before="240" w:after="100" w:afterAutospacing="1"/>
        <w:jc w:val="both"/>
        <w:rPr>
          <w:rFonts w:ascii="Book Antiqua" w:hAnsi="Book Antiqua" w:cs="Arial"/>
        </w:rPr>
      </w:pPr>
      <w:r w:rsidRPr="003A0DFB">
        <w:rPr>
          <w:rFonts w:ascii="Book Antiqua" w:hAnsi="Book Antiqua" w:cs="Arial"/>
        </w:rPr>
        <w:t xml:space="preserve">In the light of </w:t>
      </w:r>
      <w:r>
        <w:rPr>
          <w:rFonts w:ascii="Book Antiqua" w:hAnsi="Book Antiqua" w:cs="Arial"/>
        </w:rPr>
        <w:t>my</w:t>
      </w:r>
      <w:r w:rsidRPr="003A0DFB">
        <w:rPr>
          <w:rFonts w:ascii="Book Antiqua" w:hAnsi="Book Antiqua" w:cs="Arial"/>
        </w:rPr>
        <w:t xml:space="preserve"> decision, </w:t>
      </w:r>
      <w:r>
        <w:rPr>
          <w:rFonts w:ascii="Book Antiqua" w:hAnsi="Book Antiqua" w:cs="Arial"/>
        </w:rPr>
        <w:t>I</w:t>
      </w:r>
      <w:r w:rsidRPr="003A0DFB">
        <w:rPr>
          <w:rFonts w:ascii="Book Antiqua" w:hAnsi="Book Antiqua" w:cs="Arial"/>
        </w:rPr>
        <w:t xml:space="preserve"> have considered whether to make a fee award </w:t>
      </w:r>
      <w:r w:rsidR="00304CCE">
        <w:rPr>
          <w:rFonts w:ascii="Book Antiqua" w:hAnsi="Book Antiqua" w:cs="Arial"/>
        </w:rPr>
        <w:t xml:space="preserve">pursuant to </w:t>
      </w:r>
      <w:r w:rsidRPr="003A0DFB">
        <w:rPr>
          <w:rFonts w:ascii="Book Antiqua" w:hAnsi="Book Antiqua" w:cs="Arial"/>
        </w:rPr>
        <w:t xml:space="preserve">section 12(4)(a) of the Tribunals, </w:t>
      </w:r>
      <w:r w:rsidR="00304CCE">
        <w:rPr>
          <w:rFonts w:ascii="Book Antiqua" w:hAnsi="Book Antiqua" w:cs="Arial"/>
        </w:rPr>
        <w:t>Courts and Enforcement Act 2007</w:t>
      </w:r>
      <w:r w:rsidRPr="003A0DFB">
        <w:rPr>
          <w:rFonts w:ascii="Book Antiqua" w:hAnsi="Book Antiqua" w:cs="Arial"/>
        </w:rPr>
        <w:t>.</w:t>
      </w:r>
    </w:p>
    <w:p w14:paraId="18A5FF4F" w14:textId="77777777" w:rsidR="008F0F55" w:rsidRPr="003A0DFB" w:rsidRDefault="00F81D1E" w:rsidP="008F0F55">
      <w:pPr>
        <w:tabs>
          <w:tab w:val="left" w:pos="2520"/>
        </w:tabs>
        <w:spacing w:before="240" w:after="100" w:afterAutospacing="1"/>
        <w:jc w:val="both"/>
        <w:rPr>
          <w:rFonts w:ascii="Book Antiqua" w:hAnsi="Book Antiqua" w:cs="Arial"/>
        </w:rPr>
      </w:pPr>
      <w:r>
        <w:rPr>
          <w:rFonts w:ascii="Book Antiqua" w:hAnsi="Book Antiqua" w:cs="Arial"/>
        </w:rPr>
        <w:t>I</w:t>
      </w:r>
      <w:r w:rsidRPr="003A0DFB">
        <w:rPr>
          <w:rFonts w:ascii="Book Antiqua" w:hAnsi="Book Antiqua" w:cs="Arial"/>
        </w:rPr>
        <w:t xml:space="preserve"> have had regard to the Joint Presidential Guidance Note: Fee Awards in Immigration Appeals (December 2011).</w:t>
      </w:r>
    </w:p>
    <w:p w14:paraId="33404A53" w14:textId="77777777" w:rsidR="008F0F55" w:rsidRPr="003A0DFB" w:rsidRDefault="00F81D1E" w:rsidP="008F0F55">
      <w:pPr>
        <w:tabs>
          <w:tab w:val="left" w:pos="2520"/>
        </w:tabs>
        <w:spacing w:before="240" w:after="100" w:afterAutospacing="1"/>
        <w:jc w:val="both"/>
        <w:rPr>
          <w:rFonts w:ascii="Book Antiqua" w:hAnsi="Book Antiqua" w:cs="Arial"/>
        </w:rPr>
      </w:pPr>
      <w:r>
        <w:rPr>
          <w:rFonts w:ascii="Book Antiqua" w:hAnsi="Book Antiqua" w:cs="Arial"/>
        </w:rPr>
        <w:t>I</w:t>
      </w:r>
      <w:r w:rsidRPr="003A0DFB">
        <w:rPr>
          <w:rFonts w:ascii="Book Antiqua" w:hAnsi="Book Antiqua" w:cs="Arial"/>
        </w:rPr>
        <w:t xml:space="preserve"> make no fee award.</w:t>
      </w:r>
    </w:p>
    <w:p w14:paraId="447016B6" w14:textId="77777777" w:rsidR="008F0F55" w:rsidRPr="003A0DFB" w:rsidRDefault="00F81D1E" w:rsidP="008F0F55">
      <w:pPr>
        <w:tabs>
          <w:tab w:val="left" w:pos="2520"/>
        </w:tabs>
        <w:spacing w:before="240" w:after="100" w:afterAutospacing="1"/>
        <w:jc w:val="both"/>
        <w:rPr>
          <w:rFonts w:ascii="Book Antiqua" w:hAnsi="Book Antiqua" w:cs="Arial"/>
        </w:rPr>
      </w:pPr>
      <w:r w:rsidRPr="003A0DFB">
        <w:rPr>
          <w:rFonts w:ascii="Book Antiqua" w:hAnsi="Book Antiqua" w:cs="Arial"/>
        </w:rPr>
        <w:t xml:space="preserve">Reasons: </w:t>
      </w:r>
      <w:r w:rsidR="00CF3153">
        <w:rPr>
          <w:rFonts w:ascii="Book Antiqua" w:hAnsi="Book Antiqua" w:cs="Arial"/>
        </w:rPr>
        <w:t xml:space="preserve">The appeals have been dismissed. </w:t>
      </w:r>
    </w:p>
    <w:p w14:paraId="1B2425AD" w14:textId="77777777" w:rsidR="008F0F55" w:rsidRPr="00F146AE" w:rsidRDefault="00264091" w:rsidP="008F0F55">
      <w:pPr>
        <w:tabs>
          <w:tab w:val="left" w:pos="2520"/>
        </w:tabs>
        <w:jc w:val="both"/>
        <w:rPr>
          <w:rFonts w:ascii="Book Antiqua" w:hAnsi="Book Antiqua" w:cs="Arial"/>
        </w:rPr>
      </w:pPr>
    </w:p>
    <w:p w14:paraId="54C6245B" w14:textId="77777777" w:rsidR="008F0F55" w:rsidRDefault="00F81D1E" w:rsidP="008F0F55">
      <w:pPr>
        <w:tabs>
          <w:tab w:val="left" w:pos="2268"/>
          <w:tab w:val="left" w:pos="5103"/>
        </w:tabs>
        <w:rPr>
          <w:rFonts w:ascii="Book Antiqua" w:hAnsi="Book Antiqua" w:cs="Arial"/>
          <w:b/>
          <w:bCs/>
        </w:rPr>
      </w:pPr>
      <w:r w:rsidRPr="006E1B05">
        <w:rPr>
          <w:rFonts w:ascii="Book Antiqua" w:hAnsi="Book Antiqua" w:cs="Arial"/>
          <w:b/>
          <w:bCs/>
        </w:rPr>
        <w:tab/>
      </w:r>
      <w:r>
        <w:rPr>
          <w:noProof/>
        </w:rPr>
        <w:drawing>
          <wp:inline distT="0" distB="0" distL="0" distR="0" wp14:anchorId="2FCA0C0B" wp14:editId="753CDB28">
            <wp:extent cx="1979295" cy="1027430"/>
            <wp:effectExtent l="25400" t="0" r="1905" b="0"/>
            <wp:docPr id="3" name="Picture 2" descr="dp s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 sig"/>
                    <pic:cNvPicPr>
                      <a:picLocks noChangeAspect="1" noChangeArrowheads="1"/>
                    </pic:cNvPicPr>
                  </pic:nvPicPr>
                  <pic:blipFill>
                    <a:blip r:embed="rId8"/>
                    <a:srcRect/>
                    <a:stretch>
                      <a:fillRect/>
                    </a:stretch>
                  </pic:blipFill>
                  <pic:spPr bwMode="auto">
                    <a:xfrm>
                      <a:off x="0" y="0"/>
                      <a:ext cx="1979295" cy="1027430"/>
                    </a:xfrm>
                    <a:prstGeom prst="rect">
                      <a:avLst/>
                    </a:prstGeom>
                    <a:noFill/>
                    <a:ln w="9525">
                      <a:noFill/>
                      <a:miter lim="800000"/>
                      <a:headEnd/>
                      <a:tailEnd/>
                    </a:ln>
                  </pic:spPr>
                </pic:pic>
              </a:graphicData>
            </a:graphic>
          </wp:inline>
        </w:drawing>
      </w:r>
    </w:p>
    <w:p w14:paraId="506D8DFA" w14:textId="77777777" w:rsidR="008F0F55" w:rsidRPr="006E1B05" w:rsidRDefault="00F81D1E" w:rsidP="008F0F55">
      <w:pPr>
        <w:tabs>
          <w:tab w:val="left" w:pos="2268"/>
          <w:tab w:val="left" w:pos="5103"/>
        </w:tabs>
        <w:rPr>
          <w:rFonts w:ascii="Book Antiqua" w:hAnsi="Book Antiqua" w:cs="Arial"/>
          <w:b/>
          <w:bCs/>
        </w:rPr>
      </w:pPr>
      <w:r>
        <w:rPr>
          <w:rFonts w:ascii="Book Antiqua" w:hAnsi="Book Antiqua" w:cs="Arial"/>
          <w:b/>
          <w:bCs/>
        </w:rPr>
        <w:tab/>
      </w:r>
      <w:r w:rsidRPr="006E1B05">
        <w:rPr>
          <w:rFonts w:ascii="Book Antiqua" w:hAnsi="Book Antiqua" w:cs="Arial"/>
          <w:b/>
          <w:bCs/>
        </w:rPr>
        <w:t>Signed</w:t>
      </w:r>
      <w:r>
        <w:rPr>
          <w:rFonts w:ascii="Book Antiqua" w:hAnsi="Book Antiqua" w:cs="Arial"/>
          <w:b/>
          <w:bCs/>
        </w:rPr>
        <w:tab/>
      </w:r>
    </w:p>
    <w:p w14:paraId="15EC7E46" w14:textId="77777777" w:rsidR="008F0F55" w:rsidRPr="006E1B05" w:rsidRDefault="00264091" w:rsidP="008F0F55">
      <w:pPr>
        <w:tabs>
          <w:tab w:val="left" w:pos="2268"/>
          <w:tab w:val="left" w:pos="4536"/>
          <w:tab w:val="left" w:pos="5103"/>
        </w:tabs>
        <w:rPr>
          <w:rFonts w:ascii="Book Antiqua" w:hAnsi="Book Antiqua" w:cs="Arial"/>
          <w:b/>
          <w:bCs/>
        </w:rPr>
      </w:pPr>
    </w:p>
    <w:p w14:paraId="2CB4FDBA" w14:textId="77777777" w:rsidR="008F0F55" w:rsidRPr="006E1B05" w:rsidRDefault="00F81D1E" w:rsidP="008F0F55">
      <w:pPr>
        <w:tabs>
          <w:tab w:val="left" w:pos="2268"/>
          <w:tab w:val="left" w:pos="5103"/>
        </w:tabs>
        <w:ind w:left="567"/>
        <w:rPr>
          <w:rFonts w:ascii="Book Antiqua" w:hAnsi="Book Antiqua" w:cs="Arial"/>
          <w:b/>
          <w:bCs/>
        </w:rPr>
      </w:pPr>
      <w:r>
        <w:rPr>
          <w:rFonts w:ascii="Book Antiqua" w:hAnsi="Book Antiqua" w:cs="Arial"/>
          <w:b/>
          <w:bCs/>
        </w:rPr>
        <w:tab/>
        <w:t>Deputy Upper Tribunal Judge Pickup</w:t>
      </w:r>
    </w:p>
    <w:p w14:paraId="3676882F" w14:textId="77777777" w:rsidR="008F0F55" w:rsidRPr="006E1B05" w:rsidRDefault="00264091" w:rsidP="008F0F55">
      <w:pPr>
        <w:tabs>
          <w:tab w:val="left" w:pos="2268"/>
          <w:tab w:val="left" w:pos="5103"/>
        </w:tabs>
        <w:rPr>
          <w:rFonts w:ascii="Book Antiqua" w:hAnsi="Book Antiqua" w:cs="Arial"/>
          <w:b/>
          <w:bCs/>
        </w:rPr>
      </w:pPr>
    </w:p>
    <w:p w14:paraId="4C088355" w14:textId="72AEB354" w:rsidR="008F0F55" w:rsidRDefault="00F81D1E" w:rsidP="00D70AF2">
      <w:pPr>
        <w:tabs>
          <w:tab w:val="left" w:pos="2268"/>
          <w:tab w:val="left" w:pos="5103"/>
        </w:tabs>
      </w:pPr>
      <w:r>
        <w:rPr>
          <w:rFonts w:ascii="Book Antiqua" w:hAnsi="Book Antiqua" w:cs="Arial"/>
          <w:b/>
          <w:bCs/>
        </w:rPr>
        <w:tab/>
      </w:r>
      <w:r w:rsidRPr="006E1B05">
        <w:rPr>
          <w:rFonts w:ascii="Book Antiqua" w:hAnsi="Book Antiqua" w:cs="Arial"/>
          <w:b/>
          <w:bCs/>
        </w:rPr>
        <w:t>Dated</w:t>
      </w:r>
    </w:p>
    <w:sectPr w:rsidR="008F0F55" w:rsidSect="00DA035E">
      <w:headerReference w:type="default" r:id="rId9"/>
      <w:footerReference w:type="default" r:id="rId10"/>
      <w:headerReference w:type="first" r:id="rId11"/>
      <w:footerReference w:type="first" r:id="rId12"/>
      <w:pgSz w:w="11906" w:h="16838" w:code="9"/>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4C982A" w14:textId="77777777" w:rsidR="00437C34" w:rsidRDefault="00437C34">
      <w:r>
        <w:separator/>
      </w:r>
    </w:p>
  </w:endnote>
  <w:endnote w:type="continuationSeparator" w:id="0">
    <w:p w14:paraId="15A42E4E" w14:textId="77777777" w:rsidR="00437C34" w:rsidRDefault="00437C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F54E25" w14:textId="37752A14" w:rsidR="008F0F55" w:rsidRPr="00DA035E" w:rsidRDefault="00F81D1E" w:rsidP="008F0F55">
    <w:pPr>
      <w:pStyle w:val="Footer"/>
      <w:jc w:val="center"/>
      <w:rPr>
        <w:rFonts w:ascii="Book Antiqua" w:hAnsi="Book Antiqua" w:cs="Arial"/>
        <w:sz w:val="20"/>
        <w:szCs w:val="20"/>
      </w:rPr>
    </w:pPr>
    <w:r w:rsidRPr="00DA035E">
      <w:rPr>
        <w:rStyle w:val="PageNumber"/>
        <w:rFonts w:ascii="Book Antiqua" w:hAnsi="Book Antiqua" w:cs="Arial"/>
        <w:sz w:val="20"/>
        <w:szCs w:val="20"/>
      </w:rPr>
      <w:fldChar w:fldCharType="begin"/>
    </w:r>
    <w:r w:rsidRPr="00DA035E">
      <w:rPr>
        <w:rStyle w:val="PageNumber"/>
        <w:rFonts w:ascii="Book Antiqua" w:hAnsi="Book Antiqua" w:cs="Arial"/>
        <w:sz w:val="20"/>
        <w:szCs w:val="20"/>
      </w:rPr>
      <w:instrText xml:space="preserve"> PAGE </w:instrText>
    </w:r>
    <w:r w:rsidRPr="00DA035E">
      <w:rPr>
        <w:rStyle w:val="PageNumber"/>
        <w:rFonts w:ascii="Book Antiqua" w:hAnsi="Book Antiqua" w:cs="Arial"/>
        <w:sz w:val="20"/>
        <w:szCs w:val="20"/>
      </w:rPr>
      <w:fldChar w:fldCharType="separate"/>
    </w:r>
    <w:r w:rsidR="00264091">
      <w:rPr>
        <w:rStyle w:val="PageNumber"/>
        <w:rFonts w:ascii="Book Antiqua" w:hAnsi="Book Antiqua" w:cs="Arial"/>
        <w:noProof/>
        <w:sz w:val="20"/>
        <w:szCs w:val="20"/>
      </w:rPr>
      <w:t>4</w:t>
    </w:r>
    <w:r w:rsidRPr="00DA035E">
      <w:rPr>
        <w:rStyle w:val="PageNumber"/>
        <w:rFonts w:ascii="Book Antiqua" w:hAnsi="Book Antiqua" w:cs="Arial"/>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BE2434" w14:textId="77777777" w:rsidR="008F0F55" w:rsidRPr="00F146AE" w:rsidRDefault="00F81D1E" w:rsidP="008F0F55">
    <w:pPr>
      <w:jc w:val="center"/>
      <w:rPr>
        <w:rFonts w:ascii="Book Antiqua" w:hAnsi="Book Antiqua" w:cs="Arial"/>
        <w:b/>
      </w:rPr>
    </w:pPr>
    <w:r w:rsidRPr="00F146AE">
      <w:rPr>
        <w:rFonts w:ascii="Book Antiqua" w:hAnsi="Book Antiqua" w:cs="Arial"/>
        <w:b/>
        <w:spacing w:val="-6"/>
      </w:rPr>
      <w:t>©</w:t>
    </w:r>
    <w:r w:rsidR="00E366C9">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B09394" w14:textId="77777777" w:rsidR="00437C34" w:rsidRDefault="00437C34">
      <w:r>
        <w:separator/>
      </w:r>
    </w:p>
  </w:footnote>
  <w:footnote w:type="continuationSeparator" w:id="0">
    <w:p w14:paraId="47D2C4D3" w14:textId="77777777" w:rsidR="00437C34" w:rsidRDefault="00437C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058071" w14:textId="77777777" w:rsidR="00DA035E" w:rsidRDefault="00F81D1E" w:rsidP="008F0F55">
    <w:pPr>
      <w:pStyle w:val="Header"/>
      <w:tabs>
        <w:tab w:val="clear" w:pos="4153"/>
        <w:tab w:val="clear" w:pos="8306"/>
        <w:tab w:val="right" w:pos="9639"/>
      </w:tabs>
      <w:jc w:val="right"/>
      <w:rPr>
        <w:rFonts w:ascii="Book Antiqua" w:hAnsi="Book Antiqua" w:cs="Arial"/>
        <w:sz w:val="20"/>
        <w:szCs w:val="16"/>
      </w:rPr>
    </w:pPr>
    <w:r w:rsidRPr="00EF136D">
      <w:rPr>
        <w:rFonts w:ascii="Book Antiqua" w:hAnsi="Book Antiqua" w:cs="Arial"/>
        <w:sz w:val="20"/>
        <w:szCs w:val="16"/>
      </w:rPr>
      <w:t>Appeal Number</w:t>
    </w:r>
    <w:r w:rsidR="002B380F">
      <w:rPr>
        <w:rFonts w:ascii="Book Antiqua" w:hAnsi="Book Antiqua" w:cs="Arial"/>
        <w:sz w:val="20"/>
        <w:szCs w:val="16"/>
      </w:rPr>
      <w:t xml:space="preserve">s: </w:t>
    </w:r>
    <w:r w:rsidR="004E3B2F">
      <w:rPr>
        <w:rFonts w:ascii="Book Antiqua" w:hAnsi="Book Antiqua" w:cs="Arial"/>
        <w:sz w:val="20"/>
        <w:szCs w:val="16"/>
      </w:rPr>
      <w:t>HU/05560/2016</w:t>
    </w:r>
  </w:p>
  <w:p w14:paraId="16FCF039" w14:textId="462C41D7" w:rsidR="008F0F55" w:rsidRDefault="004E3B2F" w:rsidP="008F0F55">
    <w:pPr>
      <w:pStyle w:val="Header"/>
      <w:tabs>
        <w:tab w:val="clear" w:pos="4153"/>
        <w:tab w:val="clear" w:pos="8306"/>
        <w:tab w:val="right" w:pos="9639"/>
      </w:tabs>
      <w:jc w:val="right"/>
      <w:rPr>
        <w:rFonts w:ascii="Book Antiqua" w:hAnsi="Book Antiqua" w:cs="Arial"/>
        <w:sz w:val="20"/>
        <w:szCs w:val="16"/>
      </w:rPr>
    </w:pPr>
    <w:r>
      <w:rPr>
        <w:rFonts w:ascii="Book Antiqua" w:hAnsi="Book Antiqua" w:cs="Arial"/>
        <w:sz w:val="20"/>
        <w:szCs w:val="16"/>
      </w:rPr>
      <w:t>HU/05564/2016</w:t>
    </w:r>
    <w:r w:rsidR="00DA035E">
      <w:rPr>
        <w:rFonts w:ascii="Book Antiqua" w:hAnsi="Book Antiqua" w:cs="Arial"/>
        <w:sz w:val="20"/>
        <w:szCs w:val="16"/>
      </w:rPr>
      <w:t xml:space="preserve"> </w:t>
    </w:r>
    <w:r>
      <w:rPr>
        <w:rFonts w:ascii="Book Antiqua" w:hAnsi="Book Antiqua" w:cs="Arial"/>
        <w:sz w:val="20"/>
        <w:szCs w:val="16"/>
      </w:rPr>
      <w:t>&amp; HU/05572/2016</w:t>
    </w:r>
  </w:p>
  <w:p w14:paraId="0E34F1EC" w14:textId="77777777" w:rsidR="00DA035E" w:rsidRPr="00EF136D" w:rsidRDefault="00DA035E" w:rsidP="008F0F55">
    <w:pPr>
      <w:pStyle w:val="Header"/>
      <w:tabs>
        <w:tab w:val="clear" w:pos="4153"/>
        <w:tab w:val="clear" w:pos="8306"/>
        <w:tab w:val="right" w:pos="9639"/>
      </w:tabs>
      <w:jc w:val="right"/>
      <w:rPr>
        <w:rFonts w:ascii="Book Antiqua" w:hAnsi="Book Antiqua" w:cs="Arial"/>
        <w:sz w:val="20"/>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55CF71" w14:textId="77777777" w:rsidR="008F0F55" w:rsidRPr="00F146AE" w:rsidRDefault="00F81D1E">
    <w:pPr>
      <w:pStyle w:val="Header"/>
      <w:rPr>
        <w:rFonts w:ascii="Book Antiqua" w:hAnsi="Book Antiqua"/>
      </w:rPr>
    </w:pPr>
    <w:r w:rsidRPr="00F146AE">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8CECAC3E"/>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0837268"/>
    <w:multiLevelType w:val="singleLevel"/>
    <w:tmpl w:val="E578DE1C"/>
    <w:lvl w:ilvl="0">
      <w:start w:val="1"/>
      <w:numFmt w:val="decimal"/>
      <w:lvlText w:val="%1."/>
      <w:legacy w:legacy="1" w:legacySpace="120" w:legacyIndent="360"/>
      <w:lvlJc w:val="left"/>
      <w:pPr>
        <w:ind w:left="720" w:hanging="360"/>
      </w:pPr>
      <w:rPr>
        <w:b w:val="0"/>
      </w:rPr>
    </w:lvl>
  </w:abstractNum>
  <w:abstractNum w:abstractNumId="7"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2C0A432B"/>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4423E35"/>
    <w:multiLevelType w:val="hybridMultilevel"/>
    <w:tmpl w:val="E5965568"/>
    <w:lvl w:ilvl="0" w:tplc="A7F84808">
      <w:start w:val="1"/>
      <w:numFmt w:val="lowerLetter"/>
      <w:lvlText w:val="%1)"/>
      <w:lvlJc w:val="left"/>
      <w:pPr>
        <w:tabs>
          <w:tab w:val="num" w:pos="927"/>
        </w:tabs>
        <w:ind w:left="927" w:hanging="360"/>
      </w:pPr>
      <w:rPr>
        <w:rFonts w:hint="default"/>
      </w:rPr>
    </w:lvl>
    <w:lvl w:ilvl="1" w:tplc="08090019" w:tentative="1">
      <w:start w:val="1"/>
      <w:numFmt w:val="lowerLetter"/>
      <w:lvlText w:val="%2."/>
      <w:lvlJc w:val="left"/>
      <w:pPr>
        <w:tabs>
          <w:tab w:val="num" w:pos="1647"/>
        </w:tabs>
        <w:ind w:left="1647" w:hanging="360"/>
      </w:pPr>
    </w:lvl>
    <w:lvl w:ilvl="2" w:tplc="0809001B" w:tentative="1">
      <w:start w:val="1"/>
      <w:numFmt w:val="lowerRoman"/>
      <w:lvlText w:val="%3."/>
      <w:lvlJc w:val="right"/>
      <w:pPr>
        <w:tabs>
          <w:tab w:val="num" w:pos="2367"/>
        </w:tabs>
        <w:ind w:left="2367" w:hanging="180"/>
      </w:p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abstractNum w:abstractNumId="12" w15:restartNumberingAfterBreak="0">
    <w:nsid w:val="54A579B4"/>
    <w:multiLevelType w:val="hybridMultilevel"/>
    <w:tmpl w:val="73B2F2A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0"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6"/>
  </w:num>
  <w:num w:numId="3">
    <w:abstractNumId w:val="2"/>
  </w:num>
  <w:num w:numId="4">
    <w:abstractNumId w:val="13"/>
  </w:num>
  <w:num w:numId="5">
    <w:abstractNumId w:val="21"/>
  </w:num>
  <w:num w:numId="6">
    <w:abstractNumId w:val="14"/>
  </w:num>
  <w:num w:numId="7">
    <w:abstractNumId w:val="20"/>
  </w:num>
  <w:num w:numId="8">
    <w:abstractNumId w:val="9"/>
  </w:num>
  <w:num w:numId="9">
    <w:abstractNumId w:val="7"/>
  </w:num>
  <w:num w:numId="10">
    <w:abstractNumId w:val="19"/>
  </w:num>
  <w:num w:numId="11">
    <w:abstractNumId w:val="18"/>
  </w:num>
  <w:num w:numId="12">
    <w:abstractNumId w:val="1"/>
  </w:num>
  <w:num w:numId="13">
    <w:abstractNumId w:val="17"/>
  </w:num>
  <w:num w:numId="14">
    <w:abstractNumId w:val="0"/>
  </w:num>
  <w:num w:numId="15">
    <w:abstractNumId w:val="3"/>
  </w:num>
  <w:num w:numId="16">
    <w:abstractNumId w:val="5"/>
  </w:num>
  <w:num w:numId="17">
    <w:abstractNumId w:val="15"/>
  </w:num>
  <w:num w:numId="18">
    <w:abstractNumId w:val="10"/>
  </w:num>
  <w:num w:numId="19">
    <w:abstractNumId w:val="12"/>
  </w:num>
  <w:num w:numId="20">
    <w:abstractNumId w:val="8"/>
  </w:num>
  <w:num w:numId="21">
    <w:abstractNumId w:val="11"/>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56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46C"/>
    <w:rsid w:val="00010A3C"/>
    <w:rsid w:val="00030458"/>
    <w:rsid w:val="000E524D"/>
    <w:rsid w:val="00100F72"/>
    <w:rsid w:val="00177842"/>
    <w:rsid w:val="0019392B"/>
    <w:rsid w:val="001B707E"/>
    <w:rsid w:val="00264091"/>
    <w:rsid w:val="002711D0"/>
    <w:rsid w:val="002A149D"/>
    <w:rsid w:val="002B380F"/>
    <w:rsid w:val="00304CCE"/>
    <w:rsid w:val="00373EE0"/>
    <w:rsid w:val="003A4962"/>
    <w:rsid w:val="00437C34"/>
    <w:rsid w:val="00471643"/>
    <w:rsid w:val="00497EA9"/>
    <w:rsid w:val="004D2C86"/>
    <w:rsid w:val="004E3B2F"/>
    <w:rsid w:val="0050304E"/>
    <w:rsid w:val="005155B8"/>
    <w:rsid w:val="00564D9B"/>
    <w:rsid w:val="00615003"/>
    <w:rsid w:val="006D1D4E"/>
    <w:rsid w:val="008801F1"/>
    <w:rsid w:val="008B7580"/>
    <w:rsid w:val="008C2D8D"/>
    <w:rsid w:val="008D180E"/>
    <w:rsid w:val="00963FBF"/>
    <w:rsid w:val="0097110C"/>
    <w:rsid w:val="009C1C8B"/>
    <w:rsid w:val="009D2E70"/>
    <w:rsid w:val="00A23187"/>
    <w:rsid w:val="00A42105"/>
    <w:rsid w:val="00A441E3"/>
    <w:rsid w:val="00AA6CB0"/>
    <w:rsid w:val="00AF6B95"/>
    <w:rsid w:val="00B36E83"/>
    <w:rsid w:val="00B608B4"/>
    <w:rsid w:val="00B8655C"/>
    <w:rsid w:val="00B96FB5"/>
    <w:rsid w:val="00BF3DA3"/>
    <w:rsid w:val="00C30B91"/>
    <w:rsid w:val="00C468D9"/>
    <w:rsid w:val="00CF3153"/>
    <w:rsid w:val="00D1687F"/>
    <w:rsid w:val="00D52E4C"/>
    <w:rsid w:val="00D70AF2"/>
    <w:rsid w:val="00D944D5"/>
    <w:rsid w:val="00DA035E"/>
    <w:rsid w:val="00DA0668"/>
    <w:rsid w:val="00E3288F"/>
    <w:rsid w:val="00E366C9"/>
    <w:rsid w:val="00E37A9D"/>
    <w:rsid w:val="00E44B1D"/>
    <w:rsid w:val="00F64F66"/>
    <w:rsid w:val="00F81D1E"/>
    <w:rsid w:val="00FC346C"/>
    <w:rsid w:val="00FF3600"/>
    <w:rsid w:val="00FF5D05"/>
    <w:rsid w:val="00FF6617"/>
  </w:rsids>
  <m:mathPr>
    <m:mathFont m:val="Cambria Math"/>
    <m:brkBin m:val="before"/>
    <m:brkBinSub m:val="--"/>
    <m:smallFrac/>
    <m:dispDef/>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B3A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323A"/>
    <w:rPr>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basedOn w:val="DefaultParagraphFont"/>
    <w:rsid w:val="005B7789"/>
    <w:rPr>
      <w:color w:val="0000FF"/>
      <w:u w:val="single"/>
    </w:rPr>
  </w:style>
  <w:style w:type="paragraph" w:styleId="ListParagraph">
    <w:name w:val="List Paragraph"/>
    <w:basedOn w:val="Normal"/>
    <w:uiPriority w:val="34"/>
    <w:qFormat/>
    <w:rsid w:val="008358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1091</Words>
  <Characters>6224</Characters>
  <Application>Microsoft Office Word</Application>
  <DocSecurity>0</DocSecurity>
  <Lines>51</Lines>
  <Paragraphs>14</Paragraphs>
  <ScaleCrop>false</ScaleCrop>
  <Company/>
  <LinksUpToDate>false</LinksUpToDate>
  <CharactersWithSpaces>7301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2018-06-14T13:20:00Z</dcterms:created>
  <dcterms:modified xsi:type="dcterms:W3CDTF">2018-06-14T13:20:00Z</dcterms:modified>
</cp:coreProperties>
</file>