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2FB" w:rsidRDefault="00302079">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E852FB" w:rsidRDefault="00E852FB">
      <w:pPr>
        <w:rPr>
          <w:rFonts w:ascii="Book Antiqua" w:hAnsi="Book Antiqua" w:cs="Arial"/>
          <w:color w:val="FF0000"/>
          <w:sz w:val="16"/>
          <w:szCs w:val="16"/>
        </w:rPr>
      </w:pPr>
    </w:p>
    <w:p w:rsidR="00E852FB" w:rsidRDefault="00E852FB">
      <w:pPr>
        <w:rPr>
          <w:rFonts w:ascii="Book Antiqua" w:hAnsi="Book Antiqua" w:cs="Arial"/>
        </w:rPr>
      </w:pPr>
    </w:p>
    <w:p w:rsidR="00E852FB" w:rsidRDefault="00E852FB">
      <w:pPr>
        <w:tabs>
          <w:tab w:val="right" w:pos="9639"/>
        </w:tabs>
        <w:rPr>
          <w:rFonts w:ascii="Book Antiqua" w:hAnsi="Book Antiqua" w:cs="Arial"/>
          <w:b/>
        </w:rPr>
      </w:pPr>
      <w:r>
        <w:rPr>
          <w:rFonts w:ascii="Book Antiqua" w:hAnsi="Book Antiqua" w:cs="Arial"/>
          <w:b/>
        </w:rPr>
        <w:t>Upper Tribunal</w:t>
      </w:r>
    </w:p>
    <w:p w:rsidR="00E852FB" w:rsidRDefault="00E852FB">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HU/05665/2017</w:t>
      </w:r>
      <w:bookmarkEnd w:id="0"/>
    </w:p>
    <w:p w:rsidR="00E852FB" w:rsidRDefault="00E852FB">
      <w:pPr>
        <w:jc w:val="center"/>
        <w:rPr>
          <w:rFonts w:ascii="Book Antiqua" w:hAnsi="Book Antiqua" w:cs="Arial"/>
        </w:rPr>
      </w:pPr>
    </w:p>
    <w:p w:rsidR="00E852FB" w:rsidRDefault="00E852FB">
      <w:pPr>
        <w:jc w:val="center"/>
        <w:rPr>
          <w:rFonts w:ascii="Book Antiqua" w:hAnsi="Book Antiqua" w:cs="Arial"/>
        </w:rPr>
      </w:pPr>
    </w:p>
    <w:p w:rsidR="00E852FB" w:rsidRDefault="00E852FB">
      <w:pPr>
        <w:jc w:val="center"/>
        <w:rPr>
          <w:rFonts w:ascii="Book Antiqua" w:hAnsi="Book Antiqua" w:cs="Arial"/>
          <w:b/>
          <w:u w:val="single"/>
        </w:rPr>
      </w:pPr>
      <w:r>
        <w:rPr>
          <w:rFonts w:ascii="Book Antiqua" w:hAnsi="Book Antiqua" w:cs="Arial"/>
          <w:b/>
          <w:u w:val="single"/>
        </w:rPr>
        <w:t>THE IMMIGRATION ACTS</w:t>
      </w:r>
    </w:p>
    <w:p w:rsidR="00E852FB" w:rsidRDefault="00E852FB">
      <w:pPr>
        <w:jc w:val="center"/>
        <w:rPr>
          <w:rFonts w:ascii="Book Antiqua" w:hAnsi="Book Antiqua" w:cs="Arial"/>
          <w:b/>
          <w:u w:val="single"/>
        </w:rPr>
      </w:pPr>
    </w:p>
    <w:p w:rsidR="00E852FB" w:rsidRDefault="00E852FB">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E852FB">
        <w:tc>
          <w:tcPr>
            <w:tcW w:w="5868" w:type="dxa"/>
          </w:tcPr>
          <w:p w:rsidR="00E852FB" w:rsidRDefault="00E852FB">
            <w:pPr>
              <w:jc w:val="both"/>
              <w:rPr>
                <w:rFonts w:ascii="Book Antiqua" w:hAnsi="Book Antiqua" w:cs="Arial"/>
                <w:b/>
              </w:rPr>
            </w:pPr>
            <w:r>
              <w:rPr>
                <w:rFonts w:ascii="Book Antiqua" w:hAnsi="Book Antiqua" w:cs="Arial"/>
                <w:b/>
              </w:rPr>
              <w:t>Heard at Field House</w:t>
            </w:r>
          </w:p>
        </w:tc>
        <w:tc>
          <w:tcPr>
            <w:tcW w:w="3986" w:type="dxa"/>
          </w:tcPr>
          <w:p w:rsidR="00E852FB" w:rsidRDefault="00E852FB">
            <w:pPr>
              <w:jc w:val="center"/>
              <w:rPr>
                <w:rFonts w:ascii="Book Antiqua" w:hAnsi="Book Antiqua" w:cs="Arial"/>
                <w:b/>
              </w:rPr>
            </w:pPr>
            <w:r>
              <w:rPr>
                <w:rFonts w:ascii="Book Antiqua" w:hAnsi="Book Antiqua" w:cs="Arial"/>
                <w:b/>
              </w:rPr>
              <w:t>Decision &amp; Reasons Promulgated</w:t>
            </w:r>
          </w:p>
        </w:tc>
      </w:tr>
      <w:tr w:rsidR="00E852FB">
        <w:tc>
          <w:tcPr>
            <w:tcW w:w="5868" w:type="dxa"/>
          </w:tcPr>
          <w:p w:rsidR="00E852FB" w:rsidRDefault="00E852FB">
            <w:pPr>
              <w:jc w:val="both"/>
              <w:rPr>
                <w:rFonts w:ascii="Book Antiqua" w:hAnsi="Book Antiqua" w:cs="Arial"/>
                <w:b/>
              </w:rPr>
            </w:pPr>
            <w:r>
              <w:rPr>
                <w:rFonts w:ascii="Book Antiqua" w:hAnsi="Book Antiqua" w:cs="Arial"/>
                <w:b/>
              </w:rPr>
              <w:t>On 13 August 2018</w:t>
            </w:r>
          </w:p>
        </w:tc>
        <w:tc>
          <w:tcPr>
            <w:tcW w:w="3986" w:type="dxa"/>
          </w:tcPr>
          <w:p w:rsidR="00E852FB" w:rsidRDefault="001104AC">
            <w:pPr>
              <w:jc w:val="both"/>
              <w:rPr>
                <w:rFonts w:ascii="Book Antiqua" w:hAnsi="Book Antiqua" w:cs="Arial"/>
                <w:b/>
              </w:rPr>
            </w:pPr>
            <w:r>
              <w:rPr>
                <w:rFonts w:ascii="Book Antiqua" w:hAnsi="Book Antiqua" w:cs="Arial"/>
                <w:b/>
              </w:rPr>
              <w:t>On 04 September 2018</w:t>
            </w:r>
          </w:p>
        </w:tc>
      </w:tr>
    </w:tbl>
    <w:p w:rsidR="00E852FB" w:rsidRDefault="00E852FB">
      <w:pPr>
        <w:jc w:val="center"/>
        <w:rPr>
          <w:rFonts w:ascii="Book Antiqua" w:hAnsi="Book Antiqua" w:cs="Arial"/>
        </w:rPr>
      </w:pPr>
    </w:p>
    <w:p w:rsidR="00E852FB" w:rsidRDefault="00E852FB">
      <w:pPr>
        <w:jc w:val="center"/>
        <w:rPr>
          <w:rFonts w:ascii="Book Antiqua" w:hAnsi="Book Antiqua" w:cs="Arial"/>
        </w:rPr>
      </w:pPr>
    </w:p>
    <w:p w:rsidR="00E852FB" w:rsidRDefault="00E852FB">
      <w:pPr>
        <w:jc w:val="center"/>
        <w:rPr>
          <w:rFonts w:ascii="Book Antiqua" w:hAnsi="Book Antiqua" w:cs="Arial"/>
          <w:b/>
        </w:rPr>
      </w:pPr>
      <w:r>
        <w:rPr>
          <w:rFonts w:ascii="Book Antiqua" w:hAnsi="Book Antiqua" w:cs="Arial"/>
          <w:b/>
        </w:rPr>
        <w:t>Before</w:t>
      </w:r>
    </w:p>
    <w:p w:rsidR="00E852FB" w:rsidRDefault="00E852FB">
      <w:pPr>
        <w:jc w:val="center"/>
        <w:rPr>
          <w:rFonts w:ascii="Book Antiqua" w:hAnsi="Book Antiqua" w:cs="Arial"/>
          <w:b/>
        </w:rPr>
      </w:pPr>
    </w:p>
    <w:p w:rsidR="00E852FB" w:rsidRDefault="00E852FB">
      <w:pPr>
        <w:jc w:val="center"/>
        <w:rPr>
          <w:rFonts w:ascii="Book Antiqua" w:hAnsi="Book Antiqua" w:cs="Arial"/>
          <w:b/>
        </w:rPr>
      </w:pPr>
      <w:r>
        <w:rPr>
          <w:rFonts w:ascii="Book Antiqua" w:hAnsi="Book Antiqua" w:cs="Arial"/>
          <w:b/>
        </w:rPr>
        <w:t>DEPUTY UPPER TRIBUNAL JUDGE MONSON</w:t>
      </w:r>
    </w:p>
    <w:p w:rsidR="00E852FB" w:rsidRDefault="00E852FB">
      <w:pPr>
        <w:jc w:val="center"/>
        <w:rPr>
          <w:rFonts w:ascii="Book Antiqua" w:hAnsi="Book Antiqua" w:cs="Arial"/>
          <w:b/>
        </w:rPr>
      </w:pPr>
    </w:p>
    <w:p w:rsidR="00E852FB" w:rsidRDefault="00E852FB">
      <w:pPr>
        <w:jc w:val="center"/>
        <w:rPr>
          <w:rFonts w:ascii="Book Antiqua" w:hAnsi="Book Antiqua" w:cs="Arial"/>
          <w:b/>
        </w:rPr>
      </w:pPr>
      <w:r>
        <w:rPr>
          <w:rFonts w:ascii="Book Antiqua" w:hAnsi="Book Antiqua" w:cs="Arial"/>
          <w:b/>
        </w:rPr>
        <w:t>Between</w:t>
      </w:r>
    </w:p>
    <w:p w:rsidR="00E852FB" w:rsidRDefault="00E852FB">
      <w:pPr>
        <w:jc w:val="center"/>
        <w:rPr>
          <w:rFonts w:ascii="Book Antiqua" w:hAnsi="Book Antiqua" w:cs="Arial"/>
          <w:b/>
        </w:rPr>
      </w:pPr>
    </w:p>
    <w:p w:rsidR="00E852FB" w:rsidRDefault="00E852FB">
      <w:pPr>
        <w:jc w:val="center"/>
        <w:rPr>
          <w:rFonts w:ascii="Book Antiqua" w:hAnsi="Book Antiqua" w:cs="Arial"/>
          <w:b/>
          <w:caps/>
        </w:rPr>
      </w:pPr>
      <w:r>
        <w:rPr>
          <w:rFonts w:ascii="Book Antiqua" w:hAnsi="Book Antiqua" w:cs="Arial"/>
          <w:b/>
          <w:caps/>
        </w:rPr>
        <w:t>MS (Jamaica)</w:t>
      </w:r>
    </w:p>
    <w:p w:rsidR="00E852FB" w:rsidRDefault="00E852FB">
      <w:pPr>
        <w:jc w:val="center"/>
        <w:rPr>
          <w:rFonts w:ascii="Book Antiqua" w:hAnsi="Book Antiqua" w:cs="Arial"/>
          <w:b/>
          <w:caps/>
        </w:rPr>
      </w:pPr>
      <w:r>
        <w:rPr>
          <w:rFonts w:ascii="Book Antiqua" w:hAnsi="Book Antiqua" w:cs="Arial"/>
          <w:b/>
          <w:caps/>
        </w:rPr>
        <w:t>(anonymity direction MADE)</w:t>
      </w:r>
    </w:p>
    <w:p w:rsidR="00E852FB" w:rsidRDefault="00E852FB">
      <w:pPr>
        <w:jc w:val="right"/>
        <w:rPr>
          <w:rFonts w:ascii="Book Antiqua" w:hAnsi="Book Antiqua" w:cs="Arial"/>
          <w:u w:val="single"/>
        </w:rPr>
      </w:pPr>
      <w:r>
        <w:rPr>
          <w:rFonts w:ascii="Book Antiqua" w:hAnsi="Book Antiqua" w:cs="Arial"/>
          <w:u w:val="single"/>
        </w:rPr>
        <w:t>Appellant</w:t>
      </w:r>
    </w:p>
    <w:p w:rsidR="00E852FB" w:rsidRDefault="00E852FB">
      <w:pPr>
        <w:jc w:val="center"/>
        <w:rPr>
          <w:rFonts w:ascii="Book Antiqua" w:hAnsi="Book Antiqua" w:cs="Arial"/>
          <w:b/>
        </w:rPr>
      </w:pPr>
    </w:p>
    <w:p w:rsidR="00E852FB" w:rsidRDefault="00E852FB">
      <w:pPr>
        <w:jc w:val="center"/>
        <w:rPr>
          <w:rFonts w:ascii="Book Antiqua" w:hAnsi="Book Antiqua" w:cs="Arial"/>
          <w:b/>
        </w:rPr>
      </w:pPr>
      <w:r>
        <w:rPr>
          <w:rFonts w:ascii="Book Antiqua" w:hAnsi="Book Antiqua" w:cs="Arial"/>
          <w:b/>
        </w:rPr>
        <w:t>and</w:t>
      </w:r>
    </w:p>
    <w:p w:rsidR="00E852FB" w:rsidRDefault="00E852FB">
      <w:pPr>
        <w:jc w:val="center"/>
        <w:rPr>
          <w:rFonts w:ascii="Book Antiqua" w:hAnsi="Book Antiqua" w:cs="Arial"/>
          <w:b/>
        </w:rPr>
      </w:pPr>
    </w:p>
    <w:p w:rsidR="00E852FB" w:rsidRDefault="00E852FB">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E852FB" w:rsidRDefault="00E852FB">
      <w:pPr>
        <w:jc w:val="right"/>
        <w:rPr>
          <w:rFonts w:ascii="Book Antiqua" w:hAnsi="Book Antiqua" w:cs="Arial"/>
          <w:u w:val="single"/>
        </w:rPr>
      </w:pPr>
      <w:r>
        <w:rPr>
          <w:rFonts w:ascii="Book Antiqua" w:hAnsi="Book Antiqua" w:cs="Arial"/>
          <w:u w:val="single"/>
        </w:rPr>
        <w:t>Respondent</w:t>
      </w:r>
    </w:p>
    <w:p w:rsidR="00E852FB" w:rsidRDefault="00E852FB">
      <w:pPr>
        <w:rPr>
          <w:rFonts w:ascii="Book Antiqua" w:hAnsi="Book Antiqua" w:cs="Arial"/>
          <w:u w:val="single"/>
        </w:rPr>
      </w:pPr>
    </w:p>
    <w:p w:rsidR="00E852FB" w:rsidRDefault="00E852FB">
      <w:pPr>
        <w:rPr>
          <w:rFonts w:ascii="Book Antiqua" w:hAnsi="Book Antiqua" w:cs="Arial"/>
        </w:rPr>
      </w:pPr>
      <w:r>
        <w:rPr>
          <w:rFonts w:ascii="Book Antiqua" w:hAnsi="Book Antiqua" w:cs="Arial"/>
          <w:b/>
          <w:u w:val="single"/>
        </w:rPr>
        <w:t>Representation</w:t>
      </w:r>
      <w:r>
        <w:rPr>
          <w:rFonts w:ascii="Book Antiqua" w:hAnsi="Book Antiqua" w:cs="Arial"/>
          <w:b/>
        </w:rPr>
        <w:t>:</w:t>
      </w:r>
    </w:p>
    <w:p w:rsidR="00E852FB" w:rsidRDefault="00E852FB">
      <w:pPr>
        <w:rPr>
          <w:rFonts w:ascii="Book Antiqua" w:hAnsi="Book Antiqua" w:cs="Arial"/>
        </w:rPr>
      </w:pPr>
    </w:p>
    <w:p w:rsidR="00E852FB" w:rsidRDefault="00E852FB">
      <w:pPr>
        <w:tabs>
          <w:tab w:val="left" w:pos="2520"/>
        </w:tabs>
        <w:rPr>
          <w:rFonts w:ascii="Book Antiqua" w:hAnsi="Book Antiqua" w:cs="Arial"/>
        </w:rPr>
      </w:pPr>
      <w:r>
        <w:rPr>
          <w:rFonts w:ascii="Book Antiqua" w:hAnsi="Book Antiqua" w:cs="Arial"/>
        </w:rPr>
        <w:t>For the Appellant:</w:t>
      </w:r>
      <w:r>
        <w:rPr>
          <w:rFonts w:ascii="Book Antiqua" w:hAnsi="Book Antiqua" w:cs="Arial"/>
        </w:rPr>
        <w:tab/>
        <w:t>In person.</w:t>
      </w:r>
    </w:p>
    <w:p w:rsidR="00E852FB" w:rsidRDefault="00E852FB">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D Clarke, Home Office Presenting Officer</w:t>
      </w:r>
    </w:p>
    <w:p w:rsidR="00E852FB" w:rsidRDefault="00E852FB">
      <w:pPr>
        <w:tabs>
          <w:tab w:val="left" w:pos="2520"/>
        </w:tabs>
        <w:jc w:val="center"/>
        <w:rPr>
          <w:rFonts w:ascii="Book Antiqua" w:hAnsi="Book Antiqua" w:cs="Arial"/>
        </w:rPr>
      </w:pPr>
    </w:p>
    <w:p w:rsidR="00E852FB" w:rsidRDefault="00E852FB">
      <w:pPr>
        <w:tabs>
          <w:tab w:val="left" w:pos="2520"/>
        </w:tabs>
        <w:jc w:val="center"/>
        <w:rPr>
          <w:rFonts w:ascii="Book Antiqua" w:hAnsi="Book Antiqua" w:cs="Arial"/>
        </w:rPr>
      </w:pPr>
    </w:p>
    <w:p w:rsidR="00E852FB" w:rsidRDefault="00E852FB">
      <w:pPr>
        <w:tabs>
          <w:tab w:val="left" w:pos="2520"/>
        </w:tabs>
        <w:jc w:val="center"/>
        <w:rPr>
          <w:rFonts w:ascii="Book Antiqua" w:hAnsi="Book Antiqua" w:cs="Arial"/>
        </w:rPr>
      </w:pPr>
      <w:r>
        <w:rPr>
          <w:rFonts w:ascii="Book Antiqua" w:hAnsi="Book Antiqua" w:cs="Arial"/>
          <w:b/>
          <w:u w:val="single"/>
        </w:rPr>
        <w:t>DECISION AND REASONS</w:t>
      </w:r>
    </w:p>
    <w:p w:rsidR="00E852FB" w:rsidRDefault="00E852FB">
      <w:pPr>
        <w:tabs>
          <w:tab w:val="left" w:pos="2520"/>
        </w:tabs>
        <w:jc w:val="both"/>
        <w:rPr>
          <w:rFonts w:ascii="Book Antiqua" w:hAnsi="Book Antiqua" w:cs="Arial"/>
        </w:rPr>
      </w:pPr>
    </w:p>
    <w:p w:rsidR="00E852FB" w:rsidRDefault="00E852FB">
      <w:pPr>
        <w:numPr>
          <w:ilvl w:val="0"/>
          <w:numId w:val="1"/>
        </w:numPr>
        <w:spacing w:before="240"/>
        <w:jc w:val="both"/>
        <w:rPr>
          <w:rFonts w:ascii="Book Antiqua" w:hAnsi="Book Antiqua" w:cs="Arial"/>
        </w:rPr>
      </w:pPr>
      <w:r>
        <w:rPr>
          <w:rFonts w:ascii="Book Antiqua" w:hAnsi="Book Antiqua" w:cs="Arial"/>
        </w:rPr>
        <w:t>The appellant appeals from the decision of the First-tier Tribunal (Judge Keith sitting at Hatton Cross on 2 March 2018) dismissing on the papers her appeal against the decision of the respondent to refuse to grant her leave to remain as a person who had a well-founded fear of serious harm on return to Jamaica, havi</w:t>
      </w:r>
      <w:r w:rsidR="00AD1821">
        <w:rPr>
          <w:rFonts w:ascii="Book Antiqua" w:hAnsi="Book Antiqua" w:cs="Arial"/>
        </w:rPr>
        <w:t>ng witnessed a murder there</w:t>
      </w:r>
      <w:r>
        <w:rPr>
          <w:rFonts w:ascii="Book Antiqua" w:hAnsi="Book Antiqua" w:cs="Arial"/>
        </w:rPr>
        <w:t xml:space="preserve"> in 1988; or </w:t>
      </w:r>
      <w:r w:rsidR="00AD1821">
        <w:rPr>
          <w:rFonts w:ascii="Book Antiqua" w:hAnsi="Book Antiqua" w:cs="Arial"/>
        </w:rPr>
        <w:t xml:space="preserve">leave to remain </w:t>
      </w:r>
      <w:r>
        <w:rPr>
          <w:rFonts w:ascii="Book Antiqua" w:hAnsi="Book Antiqua" w:cs="Arial"/>
        </w:rPr>
        <w:t xml:space="preserve">on the </w:t>
      </w:r>
      <w:r w:rsidR="00AD1821">
        <w:rPr>
          <w:rFonts w:ascii="Book Antiqua" w:hAnsi="Book Antiqua" w:cs="Arial"/>
        </w:rPr>
        <w:t xml:space="preserve">alternative </w:t>
      </w:r>
      <w:r>
        <w:rPr>
          <w:rFonts w:ascii="Book Antiqua" w:hAnsi="Book Antiqua" w:cs="Arial"/>
        </w:rPr>
        <w:t xml:space="preserve">basis that she had accrued at least </w:t>
      </w:r>
      <w:r>
        <w:rPr>
          <w:rFonts w:ascii="Book Antiqua" w:hAnsi="Book Antiqua" w:cs="Arial"/>
        </w:rPr>
        <w:lastRenderedPageBreak/>
        <w:t>20 years’ continuous residence in the UK since entering the country under a false identity in 1995.</w:t>
      </w:r>
    </w:p>
    <w:p w:rsidR="00E852FB" w:rsidRDefault="00AD1821">
      <w:pPr>
        <w:numPr>
          <w:ilvl w:val="0"/>
          <w:numId w:val="1"/>
        </w:numPr>
        <w:spacing w:before="240"/>
        <w:jc w:val="both"/>
        <w:rPr>
          <w:rFonts w:ascii="Book Antiqua" w:hAnsi="Book Antiqua" w:cs="Arial"/>
        </w:rPr>
      </w:pPr>
      <w:r>
        <w:rPr>
          <w:rFonts w:ascii="Book Antiqua" w:hAnsi="Book Antiqua" w:cs="Arial"/>
        </w:rPr>
        <w:t xml:space="preserve">Although </w:t>
      </w:r>
      <w:r w:rsidR="00E852FB">
        <w:rPr>
          <w:rFonts w:ascii="Book Antiqua" w:hAnsi="Book Antiqua" w:cs="Arial"/>
        </w:rPr>
        <w:t xml:space="preserve">First-tier Tribunal Judge </w:t>
      </w:r>
      <w:r>
        <w:rPr>
          <w:rFonts w:ascii="Book Antiqua" w:hAnsi="Book Antiqua" w:cs="Arial"/>
        </w:rPr>
        <w:t xml:space="preserve">Keith </w:t>
      </w:r>
      <w:r w:rsidR="00E852FB">
        <w:rPr>
          <w:rFonts w:ascii="Book Antiqua" w:hAnsi="Book Antiqua" w:cs="Arial"/>
        </w:rPr>
        <w:t>did not make an anonymity direction, the Fi</w:t>
      </w:r>
      <w:r>
        <w:rPr>
          <w:rFonts w:ascii="Book Antiqua" w:hAnsi="Book Antiqua" w:cs="Arial"/>
        </w:rPr>
        <w:t xml:space="preserve">rst-tier Tribunal Judge who </w:t>
      </w:r>
      <w:r w:rsidR="00E852FB">
        <w:rPr>
          <w:rFonts w:ascii="Book Antiqua" w:hAnsi="Book Antiqua" w:cs="Arial"/>
        </w:rPr>
        <w:t>granted permission to appeal to the Upper Tribunal made such a direction, and I was not invited to discharge it.</w:t>
      </w:r>
    </w:p>
    <w:p w:rsidR="00E852FB" w:rsidRDefault="00E852FB">
      <w:pPr>
        <w:spacing w:before="240"/>
        <w:jc w:val="both"/>
        <w:rPr>
          <w:rFonts w:ascii="Book Antiqua" w:hAnsi="Book Antiqua" w:cs="Arial"/>
          <w:b/>
          <w:bCs/>
          <w:u w:val="single"/>
        </w:rPr>
      </w:pPr>
      <w:r>
        <w:rPr>
          <w:rFonts w:ascii="Book Antiqua" w:hAnsi="Book Antiqua" w:cs="Arial"/>
          <w:b/>
          <w:bCs/>
          <w:u w:val="single"/>
        </w:rPr>
        <w:t>The Reasons for the Grant of Permission to Appeal</w:t>
      </w:r>
    </w:p>
    <w:p w:rsidR="00E852FB" w:rsidRDefault="00E852FB">
      <w:pPr>
        <w:numPr>
          <w:ilvl w:val="0"/>
          <w:numId w:val="1"/>
        </w:numPr>
        <w:spacing w:before="240"/>
        <w:jc w:val="both"/>
        <w:rPr>
          <w:rFonts w:ascii="Book Antiqua" w:hAnsi="Book Antiqua" w:cs="Arial"/>
          <w:i/>
          <w:iCs/>
        </w:rPr>
      </w:pPr>
      <w:r>
        <w:rPr>
          <w:rFonts w:ascii="Book Antiqua" w:hAnsi="Book Antiqua" w:cs="Arial"/>
        </w:rPr>
        <w:t xml:space="preserve">Permission to appeal was granted by First-tier Tribunal Judge PJM Hollingworth, as he considered that it was arguable that the appellant had been deprived of a fair hearing in the First-tier </w:t>
      </w:r>
      <w:r w:rsidR="00AD1821">
        <w:rPr>
          <w:rFonts w:ascii="Book Antiqua" w:hAnsi="Book Antiqua" w:cs="Arial"/>
        </w:rPr>
        <w:t>Tribunal, albeit that it was the appellant’s</w:t>
      </w:r>
      <w:r>
        <w:rPr>
          <w:rFonts w:ascii="Book Antiqua" w:hAnsi="Book Antiqua" w:cs="Arial"/>
        </w:rPr>
        <w:t xml:space="preserve"> election to have her appeal decided on the papers, without a hearing.  Judge Hollingworth’s reasoning included the following: “</w:t>
      </w:r>
      <w:r>
        <w:rPr>
          <w:rFonts w:ascii="Book Antiqua" w:hAnsi="Book Antiqua" w:cs="Arial"/>
          <w:i/>
          <w:iCs/>
        </w:rPr>
        <w:t>In the light of the material referred to in the perm</w:t>
      </w:r>
      <w:r w:rsidR="00AD1821">
        <w:rPr>
          <w:rFonts w:ascii="Book Antiqua" w:hAnsi="Book Antiqua" w:cs="Arial"/>
          <w:i/>
          <w:iCs/>
        </w:rPr>
        <w:t>ission application, it is arguable</w:t>
      </w:r>
      <w:r>
        <w:rPr>
          <w:rFonts w:ascii="Book Antiqua" w:hAnsi="Book Antiqua" w:cs="Arial"/>
          <w:i/>
          <w:iCs/>
        </w:rPr>
        <w:t xml:space="preserve"> that the Judge was not in possession of the extent of the evidence p</w:t>
      </w:r>
      <w:r w:rsidR="00AD1821">
        <w:rPr>
          <w:rFonts w:ascii="Book Antiqua" w:hAnsi="Book Antiqua" w:cs="Arial"/>
          <w:i/>
          <w:iCs/>
        </w:rPr>
        <w:t>rovided by or on behalf of the A</w:t>
      </w:r>
      <w:r>
        <w:rPr>
          <w:rFonts w:ascii="Book Antiqua" w:hAnsi="Book Antiqua" w:cs="Arial"/>
          <w:i/>
          <w:iCs/>
        </w:rPr>
        <w:t>ppellant.”</w:t>
      </w:r>
    </w:p>
    <w:p w:rsidR="00E852FB" w:rsidRDefault="00E852FB">
      <w:pPr>
        <w:spacing w:before="240"/>
        <w:jc w:val="both"/>
        <w:rPr>
          <w:rFonts w:ascii="Book Antiqua" w:hAnsi="Book Antiqua" w:cs="Arial"/>
          <w:b/>
          <w:bCs/>
          <w:i/>
          <w:iCs/>
          <w:u w:val="single"/>
        </w:rPr>
      </w:pPr>
      <w:r>
        <w:rPr>
          <w:rFonts w:ascii="Book Antiqua" w:hAnsi="Book Antiqua" w:cs="Arial"/>
          <w:b/>
          <w:bCs/>
          <w:u w:val="single"/>
        </w:rPr>
        <w:t>The Rule 24 Response</w:t>
      </w:r>
    </w:p>
    <w:p w:rsidR="00E852FB" w:rsidRDefault="00AD1821">
      <w:pPr>
        <w:numPr>
          <w:ilvl w:val="0"/>
          <w:numId w:val="1"/>
        </w:numPr>
        <w:spacing w:before="240"/>
        <w:jc w:val="both"/>
        <w:rPr>
          <w:rFonts w:ascii="Book Antiqua" w:hAnsi="Book Antiqua" w:cs="Arial"/>
        </w:rPr>
      </w:pPr>
      <w:r>
        <w:rPr>
          <w:rFonts w:ascii="Book Antiqua" w:hAnsi="Book Antiqua" w:cs="Arial"/>
        </w:rPr>
        <w:t>On 23 July 2018 Chris Howells</w:t>
      </w:r>
      <w:r w:rsidR="00E852FB">
        <w:rPr>
          <w:rFonts w:ascii="Book Antiqua" w:hAnsi="Book Antiqua" w:cs="Arial"/>
        </w:rPr>
        <w:t xml:space="preserve"> of the Specialist Appeals Team settled the Rule 24 response opposing the appeal.  He submitted that the First-tier Tribunal Judge had directed himself appropriately.  He </w:t>
      </w:r>
      <w:r>
        <w:rPr>
          <w:rFonts w:ascii="Book Antiqua" w:hAnsi="Book Antiqua" w:cs="Arial"/>
        </w:rPr>
        <w:t xml:space="preserve">had </w:t>
      </w:r>
      <w:r w:rsidR="00E852FB">
        <w:rPr>
          <w:rFonts w:ascii="Book Antiqua" w:hAnsi="Book Antiqua" w:cs="Arial"/>
        </w:rPr>
        <w:t>considered the documentary evidence b</w:t>
      </w:r>
      <w:r w:rsidR="00300091">
        <w:rPr>
          <w:rFonts w:ascii="Book Antiqua" w:hAnsi="Book Antiqua" w:cs="Arial"/>
        </w:rPr>
        <w:t xml:space="preserve">efore him and had made properly </w:t>
      </w:r>
      <w:r w:rsidR="00E852FB">
        <w:rPr>
          <w:rFonts w:ascii="Book Antiqua" w:hAnsi="Book Antiqua" w:cs="Arial"/>
        </w:rPr>
        <w:t>reasoned findings on the various issues raised by the appeal.  It was the appellant’s choice that her appeal should be determined without an oral hearing.</w:t>
      </w:r>
    </w:p>
    <w:p w:rsidR="00E852FB" w:rsidRDefault="00E852FB">
      <w:pPr>
        <w:spacing w:before="240"/>
        <w:jc w:val="both"/>
        <w:rPr>
          <w:rFonts w:ascii="Book Antiqua" w:hAnsi="Book Antiqua" w:cs="Arial"/>
          <w:b/>
          <w:bCs/>
          <w:u w:val="single"/>
        </w:rPr>
      </w:pPr>
      <w:r>
        <w:rPr>
          <w:rFonts w:ascii="Book Antiqua" w:hAnsi="Book Antiqua" w:cs="Arial"/>
          <w:b/>
          <w:bCs/>
          <w:u w:val="single"/>
        </w:rPr>
        <w:t>The Hearing in the Upper Tribunal</w:t>
      </w:r>
    </w:p>
    <w:p w:rsidR="00E852FB" w:rsidRDefault="00E852FB">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the appellant appeared in person to present her case.  I explained to her the ground on which the respondent opposed her appeal.  She agreed that she had chosen to have </w:t>
      </w:r>
      <w:r w:rsidR="00300091">
        <w:rPr>
          <w:rFonts w:ascii="Book Antiqua" w:hAnsi="Book Antiqua" w:cs="Arial"/>
        </w:rPr>
        <w:t>he</w:t>
      </w:r>
      <w:r>
        <w:rPr>
          <w:rFonts w:ascii="Book Antiqua" w:hAnsi="Book Antiqua" w:cs="Arial"/>
        </w:rPr>
        <w:t>r appeal det</w:t>
      </w:r>
      <w:r w:rsidR="00AD1821">
        <w:rPr>
          <w:rFonts w:ascii="Book Antiqua" w:hAnsi="Book Antiqua" w:cs="Arial"/>
        </w:rPr>
        <w:t>ermined on the papers.  She explained</w:t>
      </w:r>
      <w:r>
        <w:rPr>
          <w:rFonts w:ascii="Book Antiqua" w:hAnsi="Book Antiqua" w:cs="Arial"/>
        </w:rPr>
        <w:t xml:space="preserve"> that she thought that all the do</w:t>
      </w:r>
      <w:r w:rsidR="00AD1821">
        <w:rPr>
          <w:rFonts w:ascii="Book Antiqua" w:hAnsi="Book Antiqua" w:cs="Arial"/>
        </w:rPr>
        <w:t xml:space="preserve">cumentary evidence which she had provided to show </w:t>
      </w:r>
      <w:r>
        <w:rPr>
          <w:rFonts w:ascii="Book Antiqua" w:hAnsi="Book Antiqua" w:cs="Arial"/>
        </w:rPr>
        <w:t>at least 20 years’ continuous residence would be enough - and that it wo</w:t>
      </w:r>
      <w:r w:rsidR="00AD1821">
        <w:rPr>
          <w:rFonts w:ascii="Book Antiqua" w:hAnsi="Book Antiqua" w:cs="Arial"/>
        </w:rPr>
        <w:t xml:space="preserve">uld not be necessary for her to </w:t>
      </w:r>
      <w:r>
        <w:rPr>
          <w:rFonts w:ascii="Book Antiqua" w:hAnsi="Book Antiqua" w:cs="Arial"/>
        </w:rPr>
        <w:t>give oral evidence or for her to call her children or others as wi</w:t>
      </w:r>
      <w:r w:rsidR="00300091">
        <w:rPr>
          <w:rFonts w:ascii="Book Antiqua" w:hAnsi="Book Antiqua" w:cs="Arial"/>
        </w:rPr>
        <w:t>tnesses to confirm her continuous</w:t>
      </w:r>
      <w:r>
        <w:rPr>
          <w:rFonts w:ascii="Book Antiqua" w:hAnsi="Book Antiqua" w:cs="Arial"/>
        </w:rPr>
        <w:t xml:space="preserve"> presence here since 1995.  She agreed tha</w:t>
      </w:r>
      <w:r w:rsidR="00AD1821">
        <w:rPr>
          <w:rFonts w:ascii="Book Antiqua" w:hAnsi="Book Antiqua" w:cs="Arial"/>
        </w:rPr>
        <w:t>t she could have claimed asylum. But she</w:t>
      </w:r>
      <w:r>
        <w:rPr>
          <w:rFonts w:ascii="Book Antiqua" w:hAnsi="Book Antiqua" w:cs="Arial"/>
        </w:rPr>
        <w:t xml:space="preserve"> </w:t>
      </w:r>
      <w:r w:rsidR="00AD1821">
        <w:rPr>
          <w:rFonts w:ascii="Book Antiqua" w:hAnsi="Book Antiqua" w:cs="Arial"/>
        </w:rPr>
        <w:t>had</w:t>
      </w:r>
      <w:r>
        <w:rPr>
          <w:rFonts w:ascii="Book Antiqua" w:hAnsi="Book Antiqua" w:cs="Arial"/>
        </w:rPr>
        <w:t xml:space="preserve"> taken legal advice in the past, and the </w:t>
      </w:r>
      <w:r w:rsidR="00AD1821">
        <w:rPr>
          <w:rFonts w:ascii="Book Antiqua" w:hAnsi="Book Antiqua" w:cs="Arial"/>
        </w:rPr>
        <w:t xml:space="preserve">legal </w:t>
      </w:r>
      <w:r>
        <w:rPr>
          <w:rFonts w:ascii="Book Antiqua" w:hAnsi="Book Antiqua" w:cs="Arial"/>
        </w:rPr>
        <w:t xml:space="preserve">advice was to make </w:t>
      </w:r>
      <w:proofErr w:type="gramStart"/>
      <w:r>
        <w:rPr>
          <w:rFonts w:ascii="Book Antiqua" w:hAnsi="Book Antiqua" w:cs="Arial"/>
        </w:rPr>
        <w:t>a human rights</w:t>
      </w:r>
      <w:proofErr w:type="gramEnd"/>
      <w:r>
        <w:rPr>
          <w:rFonts w:ascii="Book Antiqua" w:hAnsi="Book Antiqua" w:cs="Arial"/>
        </w:rPr>
        <w:t xml:space="preserve"> claim under Articles 2, 3 and 8 ECHR, which is what she had done.</w:t>
      </w:r>
    </w:p>
    <w:p w:rsidR="00E852FB" w:rsidRPr="00AD1821" w:rsidRDefault="00E852FB">
      <w:pPr>
        <w:spacing w:before="240"/>
        <w:jc w:val="both"/>
        <w:rPr>
          <w:rFonts w:ascii="Book Antiqua" w:hAnsi="Book Antiqua" w:cs="Arial"/>
          <w:b/>
          <w:bCs/>
          <w:u w:val="single"/>
        </w:rPr>
      </w:pPr>
      <w:r w:rsidRPr="00AD1821">
        <w:rPr>
          <w:rFonts w:ascii="Book Antiqua" w:hAnsi="Book Antiqua" w:cs="Arial"/>
          <w:b/>
          <w:bCs/>
          <w:u w:val="single"/>
        </w:rPr>
        <w:t>Discussion</w:t>
      </w:r>
    </w:p>
    <w:p w:rsidR="00E852FB" w:rsidRDefault="00E852FB">
      <w:pPr>
        <w:numPr>
          <w:ilvl w:val="0"/>
          <w:numId w:val="1"/>
        </w:numPr>
        <w:spacing w:before="240"/>
        <w:jc w:val="both"/>
        <w:rPr>
          <w:rFonts w:ascii="Book Antiqua" w:hAnsi="Book Antiqua" w:cs="Arial"/>
        </w:rPr>
      </w:pPr>
      <w:r>
        <w:rPr>
          <w:rFonts w:ascii="Book Antiqua" w:hAnsi="Book Antiqua" w:cs="Arial"/>
        </w:rPr>
        <w:t>The appellant</w:t>
      </w:r>
      <w:r w:rsidR="002649B3">
        <w:rPr>
          <w:rFonts w:ascii="Book Antiqua" w:hAnsi="Book Antiqua" w:cs="Arial"/>
        </w:rPr>
        <w:t xml:space="preserve">’s </w:t>
      </w:r>
      <w:r w:rsidR="00300091">
        <w:rPr>
          <w:rFonts w:ascii="Book Antiqua" w:hAnsi="Book Antiqua" w:cs="Arial"/>
        </w:rPr>
        <w:t xml:space="preserve">lengthy and </w:t>
      </w:r>
      <w:r>
        <w:rPr>
          <w:rFonts w:ascii="Book Antiqua" w:hAnsi="Book Antiqua" w:cs="Arial"/>
        </w:rPr>
        <w:t xml:space="preserve">articulate grounds of appeal to the Upper Tribunal are primarily an expression of disagreement with findings that were open to the Judge on the evidence that was before him.  One </w:t>
      </w:r>
      <w:r w:rsidR="00AD1821">
        <w:rPr>
          <w:rFonts w:ascii="Book Antiqua" w:hAnsi="Book Antiqua" w:cs="Arial"/>
        </w:rPr>
        <w:t>notable exception to this is her</w:t>
      </w:r>
      <w:r>
        <w:rPr>
          <w:rFonts w:ascii="Book Antiqua" w:hAnsi="Book Antiqua" w:cs="Arial"/>
        </w:rPr>
        <w:t xml:space="preserve"> complaint about the Judge’s treatment of the medical records dating back to 1995, which the appellant relied on as establishing continuity of residence since that date.</w:t>
      </w:r>
    </w:p>
    <w:p w:rsidR="00E852FB" w:rsidRDefault="00E852FB">
      <w:pPr>
        <w:numPr>
          <w:ilvl w:val="0"/>
          <w:numId w:val="1"/>
        </w:numPr>
        <w:spacing w:before="240"/>
        <w:jc w:val="both"/>
        <w:rPr>
          <w:rFonts w:ascii="Book Antiqua" w:hAnsi="Book Antiqua" w:cs="Arial"/>
        </w:rPr>
      </w:pPr>
      <w:r>
        <w:rPr>
          <w:rFonts w:ascii="Book Antiqua" w:hAnsi="Book Antiqua" w:cs="Arial"/>
        </w:rPr>
        <w:lastRenderedPageBreak/>
        <w:t xml:space="preserve">At paragraph </w:t>
      </w:r>
      <w:r w:rsidR="00AD1821">
        <w:rPr>
          <w:rFonts w:ascii="Book Antiqua" w:hAnsi="Book Antiqua" w:cs="Arial"/>
        </w:rPr>
        <w:t>[</w:t>
      </w:r>
      <w:r>
        <w:rPr>
          <w:rFonts w:ascii="Book Antiqua" w:hAnsi="Book Antiqua" w:cs="Arial"/>
        </w:rPr>
        <w:t>18</w:t>
      </w:r>
      <w:r w:rsidR="00AD1821">
        <w:rPr>
          <w:rFonts w:ascii="Book Antiqua" w:hAnsi="Book Antiqua" w:cs="Arial"/>
        </w:rPr>
        <w:t>]</w:t>
      </w:r>
      <w:r>
        <w:rPr>
          <w:rFonts w:ascii="Book Antiqua" w:hAnsi="Book Antiqua" w:cs="Arial"/>
        </w:rPr>
        <w:t xml:space="preserve"> of his decision, Judge Keith observed that while the appellant claimed to be in receipt of state benefits relating to her disabilities, she had n</w:t>
      </w:r>
      <w:r w:rsidR="00AD1821">
        <w:rPr>
          <w:rFonts w:ascii="Book Antiqua" w:hAnsi="Book Antiqua" w:cs="Arial"/>
        </w:rPr>
        <w:t>ot provided any detailed medical reports</w:t>
      </w:r>
      <w:r>
        <w:rPr>
          <w:rFonts w:ascii="Book Antiqua" w:hAnsi="Book Antiqua" w:cs="Arial"/>
        </w:rPr>
        <w:t xml:space="preserve">, or </w:t>
      </w:r>
      <w:r w:rsidR="00AD1821">
        <w:rPr>
          <w:rFonts w:ascii="Book Antiqua" w:hAnsi="Book Antiqua" w:cs="Arial"/>
        </w:rPr>
        <w:t xml:space="preserve">any </w:t>
      </w:r>
      <w:r>
        <w:rPr>
          <w:rFonts w:ascii="Book Antiqua" w:hAnsi="Book Antiqua" w:cs="Arial"/>
        </w:rPr>
        <w:t>detailed assessments that would have been undertaken for her to have received the disability</w:t>
      </w:r>
      <w:r w:rsidR="00AD1821">
        <w:rPr>
          <w:rFonts w:ascii="Book Antiqua" w:hAnsi="Book Antiqua" w:cs="Arial"/>
        </w:rPr>
        <w:t>-related state benefits.  In her</w:t>
      </w:r>
      <w:r>
        <w:rPr>
          <w:rFonts w:ascii="Book Antiqua" w:hAnsi="Book Antiqua" w:cs="Arial"/>
        </w:rPr>
        <w:t xml:space="preserve"> grounds of appeal</w:t>
      </w:r>
      <w:r w:rsidR="00AD1821">
        <w:rPr>
          <w:rFonts w:ascii="Book Antiqua" w:hAnsi="Book Antiqua" w:cs="Arial"/>
        </w:rPr>
        <w:t xml:space="preserve"> to the Upper Tribunal</w:t>
      </w:r>
      <w:r w:rsidR="00AE0DA9">
        <w:rPr>
          <w:rFonts w:ascii="Book Antiqua" w:hAnsi="Book Antiqua" w:cs="Arial"/>
        </w:rPr>
        <w:t>, the appellant contended that this was not the case.  She said</w:t>
      </w:r>
      <w:r>
        <w:rPr>
          <w:rFonts w:ascii="Book Antiqua" w:hAnsi="Book Antiqua" w:cs="Arial"/>
        </w:rPr>
        <w:t xml:space="preserve"> that the findings </w:t>
      </w:r>
      <w:r w:rsidR="00AE0DA9">
        <w:rPr>
          <w:rFonts w:ascii="Book Antiqua" w:hAnsi="Book Antiqua" w:cs="Arial"/>
        </w:rPr>
        <w:t>of</w:t>
      </w:r>
      <w:r w:rsidR="00AD1821">
        <w:rPr>
          <w:rFonts w:ascii="Book Antiqua" w:hAnsi="Book Antiqua" w:cs="Arial"/>
        </w:rPr>
        <w:t xml:space="preserve"> all her medical experts were</w:t>
      </w:r>
      <w:r>
        <w:rPr>
          <w:rFonts w:ascii="Book Antiqua" w:hAnsi="Book Antiqua" w:cs="Arial"/>
        </w:rPr>
        <w:t xml:space="preserve"> in the medical file that was sent to the Tribunal, and the suggestion that some portion of “</w:t>
      </w:r>
      <w:r>
        <w:rPr>
          <w:rFonts w:ascii="Book Antiqua" w:hAnsi="Book Antiqua" w:cs="Arial"/>
          <w:i/>
          <w:iCs/>
        </w:rPr>
        <w:t xml:space="preserve">my medical report” </w:t>
      </w:r>
      <w:r w:rsidR="00AE0DA9">
        <w:rPr>
          <w:rFonts w:ascii="Book Antiqua" w:hAnsi="Book Antiqua" w:cs="Arial"/>
        </w:rPr>
        <w:t>was absent confirm</w:t>
      </w:r>
      <w:r w:rsidR="002649B3">
        <w:rPr>
          <w:rFonts w:ascii="Book Antiqua" w:hAnsi="Book Antiqua" w:cs="Arial"/>
        </w:rPr>
        <w:t>ed</w:t>
      </w:r>
      <w:r>
        <w:rPr>
          <w:rFonts w:ascii="Book Antiqua" w:hAnsi="Book Antiqua" w:cs="Arial"/>
        </w:rPr>
        <w:t xml:space="preserve"> her belief that not all the evidence that she had sent</w:t>
      </w:r>
      <w:r w:rsidR="002649B3">
        <w:rPr>
          <w:rFonts w:ascii="Book Antiqua" w:hAnsi="Book Antiqua" w:cs="Arial"/>
        </w:rPr>
        <w:t xml:space="preserve"> to the Tribunal</w:t>
      </w:r>
      <w:r>
        <w:rPr>
          <w:rFonts w:ascii="Book Antiqua" w:hAnsi="Book Antiqua" w:cs="Arial"/>
        </w:rPr>
        <w:t xml:space="preserve"> had </w:t>
      </w:r>
      <w:r w:rsidR="00AE0DA9">
        <w:rPr>
          <w:rFonts w:ascii="Book Antiqua" w:hAnsi="Book Antiqua" w:cs="Arial"/>
        </w:rPr>
        <w:t xml:space="preserve">actually </w:t>
      </w:r>
      <w:r>
        <w:rPr>
          <w:rFonts w:ascii="Book Antiqua" w:hAnsi="Book Antiqua" w:cs="Arial"/>
        </w:rPr>
        <w:t>been received by the Tribunal.</w:t>
      </w:r>
    </w:p>
    <w:p w:rsidR="00E852FB" w:rsidRDefault="00E852FB">
      <w:pPr>
        <w:numPr>
          <w:ilvl w:val="0"/>
          <w:numId w:val="1"/>
        </w:numPr>
        <w:spacing w:before="240"/>
        <w:jc w:val="both"/>
        <w:rPr>
          <w:rFonts w:ascii="Book Antiqua" w:hAnsi="Book Antiqua" w:cs="Arial"/>
        </w:rPr>
      </w:pPr>
      <w:r>
        <w:rPr>
          <w:rFonts w:ascii="Book Antiqua" w:hAnsi="Book Antiqua" w:cs="Arial"/>
        </w:rPr>
        <w:t>The appellant did not seek to make good this particular claim when presenting her case to me.  In addition, the Judge’s observation about the lack of supporting medical evidence for the alleged award to the appellant of disability-related state benefits was simply one of a number of adverse credibility points that the Judge identified in respect of the medical records relied upon by the appellant.</w:t>
      </w:r>
    </w:p>
    <w:p w:rsidR="00E852FB" w:rsidRDefault="00E852FB">
      <w:pPr>
        <w:numPr>
          <w:ilvl w:val="0"/>
          <w:numId w:val="1"/>
        </w:numPr>
        <w:spacing w:before="240"/>
        <w:jc w:val="both"/>
        <w:rPr>
          <w:rFonts w:ascii="Book Antiqua" w:hAnsi="Book Antiqua" w:cs="Arial"/>
        </w:rPr>
      </w:pPr>
      <w:r>
        <w:rPr>
          <w:rFonts w:ascii="Book Antiqua" w:hAnsi="Book Antiqua" w:cs="Arial"/>
        </w:rPr>
        <w:t>He accepted that the appellant had disclosed GP records in “</w:t>
      </w:r>
      <w:r>
        <w:rPr>
          <w:rFonts w:ascii="Book Antiqua" w:hAnsi="Book Antiqua" w:cs="Arial"/>
          <w:i/>
          <w:iCs/>
        </w:rPr>
        <w:t>the assumed name”</w:t>
      </w:r>
      <w:r w:rsidR="00AE0DA9">
        <w:rPr>
          <w:rFonts w:ascii="Book Antiqua" w:hAnsi="Book Antiqua" w:cs="Arial"/>
        </w:rPr>
        <w:t xml:space="preserve"> of Marjory Morgan.  However, </w:t>
      </w:r>
      <w:r>
        <w:rPr>
          <w:rFonts w:ascii="Book Antiqua" w:hAnsi="Book Antiqua" w:cs="Arial"/>
        </w:rPr>
        <w:t>correspondence from the GP dated 4 May 2017 stated tha</w:t>
      </w:r>
      <w:r w:rsidR="00AE0DA9">
        <w:rPr>
          <w:rFonts w:ascii="Book Antiqua" w:hAnsi="Book Antiqua" w:cs="Arial"/>
        </w:rPr>
        <w:t>t someone under this name</w:t>
      </w:r>
      <w:r>
        <w:rPr>
          <w:rFonts w:ascii="Book Antiqua" w:hAnsi="Book Antiqua" w:cs="Arial"/>
        </w:rPr>
        <w:t xml:space="preserve"> had </w:t>
      </w:r>
      <w:r w:rsidR="00AE0DA9">
        <w:rPr>
          <w:rFonts w:ascii="Book Antiqua" w:hAnsi="Book Antiqua" w:cs="Arial"/>
        </w:rPr>
        <w:t>been registered with the practic</w:t>
      </w:r>
      <w:r w:rsidR="00300091">
        <w:rPr>
          <w:rFonts w:ascii="Book Antiqua" w:hAnsi="Book Antiqua" w:cs="Arial"/>
        </w:rPr>
        <w:t xml:space="preserve">e </w:t>
      </w:r>
      <w:r>
        <w:rPr>
          <w:rFonts w:ascii="Book Antiqua" w:hAnsi="Book Antiqua" w:cs="Arial"/>
        </w:rPr>
        <w:t>since 5 February 1995, whereas the appellant only claimed to have entered the U</w:t>
      </w:r>
      <w:r w:rsidR="00300091">
        <w:rPr>
          <w:rFonts w:ascii="Book Antiqua" w:hAnsi="Book Antiqua" w:cs="Arial"/>
        </w:rPr>
        <w:t xml:space="preserve">nited </w:t>
      </w:r>
      <w:r>
        <w:rPr>
          <w:rFonts w:ascii="Book Antiqua" w:hAnsi="Book Antiqua" w:cs="Arial"/>
        </w:rPr>
        <w:t>K</w:t>
      </w:r>
      <w:r w:rsidR="00300091">
        <w:rPr>
          <w:rFonts w:ascii="Book Antiqua" w:hAnsi="Book Antiqua" w:cs="Arial"/>
        </w:rPr>
        <w:t>ingdom</w:t>
      </w:r>
      <w:r>
        <w:rPr>
          <w:rFonts w:ascii="Book Antiqua" w:hAnsi="Book Antiqua" w:cs="Arial"/>
        </w:rPr>
        <w:t xml:space="preserve"> in March 1995.  The appellant also referred to multiple people using the ass</w:t>
      </w:r>
      <w:r w:rsidR="00AE0DA9">
        <w:rPr>
          <w:rFonts w:ascii="Book Antiqua" w:hAnsi="Book Antiqua" w:cs="Arial"/>
        </w:rPr>
        <w:t>umed identity of Margery Morgan.</w:t>
      </w:r>
      <w:r>
        <w:rPr>
          <w:rFonts w:ascii="Book Antiqua" w:hAnsi="Book Antiqua" w:cs="Arial"/>
        </w:rPr>
        <w:t xml:space="preserve">  Those doing so were relatives of the “</w:t>
      </w:r>
      <w:r>
        <w:rPr>
          <w:rFonts w:ascii="Book Antiqua" w:hAnsi="Book Antiqua" w:cs="Arial"/>
          <w:i/>
          <w:iCs/>
        </w:rPr>
        <w:t xml:space="preserve">real” </w:t>
      </w:r>
      <w:r w:rsidR="00AE0DA9">
        <w:rPr>
          <w:rFonts w:ascii="Book Antiqua" w:hAnsi="Book Antiqua" w:cs="Arial"/>
        </w:rPr>
        <w:t>M</w:t>
      </w:r>
      <w:r>
        <w:rPr>
          <w:rFonts w:ascii="Book Antiqua" w:hAnsi="Book Antiqua" w:cs="Arial"/>
        </w:rPr>
        <w:t>s Morgan, who travelled</w:t>
      </w:r>
      <w:r w:rsidR="00AE0DA9">
        <w:rPr>
          <w:rFonts w:ascii="Book Antiqua" w:hAnsi="Book Antiqua" w:cs="Arial"/>
        </w:rPr>
        <w:t xml:space="preserve"> on a separate passport of hers </w:t>
      </w:r>
      <w:r>
        <w:rPr>
          <w:rFonts w:ascii="Book Antiqua" w:hAnsi="Book Antiqua" w:cs="Arial"/>
        </w:rPr>
        <w:t xml:space="preserve">under </w:t>
      </w:r>
      <w:r w:rsidR="00AE0DA9">
        <w:rPr>
          <w:rFonts w:ascii="Book Antiqua" w:hAnsi="Book Antiqua" w:cs="Arial"/>
        </w:rPr>
        <w:t xml:space="preserve">her </w:t>
      </w:r>
      <w:r>
        <w:rPr>
          <w:rFonts w:ascii="Book Antiqua" w:hAnsi="Book Antiqua" w:cs="Arial"/>
        </w:rPr>
        <w:t>maiden name: “</w:t>
      </w:r>
      <w:r>
        <w:rPr>
          <w:rFonts w:ascii="Book Antiqua" w:hAnsi="Book Antiqua" w:cs="Arial"/>
          <w:i/>
          <w:iCs/>
        </w:rPr>
        <w:t>In the context of GP registration prior to the appellant entering the United K</w:t>
      </w:r>
      <w:r w:rsidR="00AE0DA9">
        <w:rPr>
          <w:rFonts w:ascii="Book Antiqua" w:hAnsi="Book Antiqua" w:cs="Arial"/>
          <w:i/>
          <w:iCs/>
        </w:rPr>
        <w:t>ingdom and multiple users of M</w:t>
      </w:r>
      <w:r>
        <w:rPr>
          <w:rFonts w:ascii="Book Antiqua" w:hAnsi="Book Antiqua" w:cs="Arial"/>
          <w:i/>
          <w:iCs/>
        </w:rPr>
        <w:t xml:space="preserve">s Morgan’s identity, I was concerned about the reliability of the GP records, specifically the extent to which they were related to the appellant, rather than others, or the appellant and others.  The records were not even internally consistent.  An entry of 9 April 2015 referred to the appellant never </w:t>
      </w:r>
      <w:r w:rsidR="00AE0DA9">
        <w:rPr>
          <w:rFonts w:ascii="Book Antiqua" w:hAnsi="Book Antiqua" w:cs="Arial"/>
          <w:i/>
          <w:iCs/>
        </w:rPr>
        <w:t xml:space="preserve">having smoking, </w:t>
      </w:r>
      <w:r>
        <w:rPr>
          <w:rFonts w:ascii="Book Antiqua" w:hAnsi="Book Antiqua" w:cs="Arial"/>
          <w:i/>
          <w:iCs/>
        </w:rPr>
        <w:t xml:space="preserve">whereas in 1999, the records refer to the appellant as smoking 5 cigarettes a day.  The GP records were also not up to date, as they related </w:t>
      </w:r>
      <w:r w:rsidR="00AE0DA9">
        <w:rPr>
          <w:rFonts w:ascii="Book Antiqua" w:hAnsi="Book Antiqua" w:cs="Arial"/>
          <w:i/>
          <w:iCs/>
        </w:rPr>
        <w:t>to the</w:t>
      </w:r>
      <w:r>
        <w:rPr>
          <w:rFonts w:ascii="Book Antiqua" w:hAnsi="Book Antiqua" w:cs="Arial"/>
          <w:i/>
          <w:iCs/>
        </w:rPr>
        <w:t xml:space="preserve"> period </w:t>
      </w:r>
      <w:r w:rsidR="00AE0DA9">
        <w:rPr>
          <w:rFonts w:ascii="Book Antiqua" w:hAnsi="Book Antiqua" w:cs="Arial"/>
          <w:i/>
          <w:iCs/>
        </w:rPr>
        <w:t xml:space="preserve">up to </w:t>
      </w:r>
      <w:r>
        <w:rPr>
          <w:rFonts w:ascii="Book Antiqua" w:hAnsi="Book Antiqua" w:cs="Arial"/>
          <w:i/>
          <w:iCs/>
        </w:rPr>
        <w:t>14 April 2016.”</w:t>
      </w:r>
    </w:p>
    <w:p w:rsidR="00E852FB" w:rsidRDefault="00E852FB">
      <w:pPr>
        <w:numPr>
          <w:ilvl w:val="0"/>
          <w:numId w:val="1"/>
        </w:numPr>
        <w:spacing w:before="240"/>
        <w:jc w:val="both"/>
        <w:rPr>
          <w:rFonts w:ascii="Book Antiqua" w:hAnsi="Book Antiqua" w:cs="Arial"/>
        </w:rPr>
      </w:pPr>
      <w:r>
        <w:rPr>
          <w:rFonts w:ascii="Book Antiqua" w:hAnsi="Book Antiqua" w:cs="Arial"/>
        </w:rPr>
        <w:t xml:space="preserve">The Judge’s conclusion on the topic of the appellant’s </w:t>
      </w:r>
      <w:r w:rsidR="00300091">
        <w:rPr>
          <w:rFonts w:ascii="Book Antiqua" w:hAnsi="Book Antiqua" w:cs="Arial"/>
        </w:rPr>
        <w:t xml:space="preserve">continuous </w:t>
      </w:r>
      <w:r>
        <w:rPr>
          <w:rFonts w:ascii="Book Antiqua" w:hAnsi="Book Antiqua" w:cs="Arial"/>
        </w:rPr>
        <w:t xml:space="preserve">presence in the United Kingdom was contained in paragraph </w:t>
      </w:r>
      <w:r w:rsidR="00AE0DA9">
        <w:rPr>
          <w:rFonts w:ascii="Book Antiqua" w:hAnsi="Book Antiqua" w:cs="Arial"/>
        </w:rPr>
        <w:t>[</w:t>
      </w:r>
      <w:r>
        <w:rPr>
          <w:rFonts w:ascii="Book Antiqua" w:hAnsi="Book Antiqua" w:cs="Arial"/>
        </w:rPr>
        <w:t>28</w:t>
      </w:r>
      <w:r w:rsidR="00AE0DA9">
        <w:rPr>
          <w:rFonts w:ascii="Book Antiqua" w:hAnsi="Book Antiqua" w:cs="Arial"/>
        </w:rPr>
        <w:t xml:space="preserve">] of </w:t>
      </w:r>
      <w:r>
        <w:rPr>
          <w:rFonts w:ascii="Book Antiqua" w:hAnsi="Book Antiqua" w:cs="Arial"/>
        </w:rPr>
        <w:t>his decision.  The Judge stated as follows: “</w:t>
      </w:r>
      <w:r>
        <w:rPr>
          <w:rFonts w:ascii="Book Antiqua" w:hAnsi="Book Antiqua" w:cs="Arial"/>
          <w:i/>
          <w:iCs/>
        </w:rPr>
        <w:t>I treated the tax records and other documentation claimed to show a continuing presence in the United Kingdom with a significant degree of caution.  The documentation was under an assumed false identity, possibly also used by others.  On the appellant’s own evidence, Ms Morgan’s other relatives also used Ms Morgan’s identity, and even did so to travel back to Jamaica using her passport.  While the appellant claims continual presence without interruption, she has not provided the statements of any others confirming this.  Almost all of the documentation is under a false identity, shared with others, and those others have travelled backwards and forwards to Jamaica.  In the circumstances, I do not find that there is sufficient evidence to show that the appellant has been continuously in the United Kingdom since 1995, or for what periods she has been present here.”</w:t>
      </w:r>
    </w:p>
    <w:p w:rsidR="00E852FB" w:rsidRDefault="00E852FB">
      <w:pPr>
        <w:numPr>
          <w:ilvl w:val="0"/>
          <w:numId w:val="1"/>
        </w:numPr>
        <w:spacing w:before="240"/>
        <w:jc w:val="both"/>
        <w:rPr>
          <w:rFonts w:ascii="Book Antiqua" w:hAnsi="Book Antiqua" w:cs="Arial"/>
        </w:rPr>
      </w:pPr>
      <w:r>
        <w:rPr>
          <w:rFonts w:ascii="Book Antiqua" w:hAnsi="Book Antiqua" w:cs="Arial"/>
        </w:rPr>
        <w:t>As I explored with the appellant in oral argument, she laid herself open to such a finding by the Judge by not electing for an oral hearing, where she could be asked questions about aspects of the evidence which troubled</w:t>
      </w:r>
      <w:r w:rsidR="00AE0DA9">
        <w:rPr>
          <w:rFonts w:ascii="Book Antiqua" w:hAnsi="Book Antiqua" w:cs="Arial"/>
        </w:rPr>
        <w:t xml:space="preserve"> the Judge, and at which she would have</w:t>
      </w:r>
      <w:r>
        <w:rPr>
          <w:rFonts w:ascii="Book Antiqua" w:hAnsi="Book Antiqua" w:cs="Arial"/>
        </w:rPr>
        <w:t xml:space="preserve"> had the opportunity to tender oral evidence from supporting witnesses to </w:t>
      </w:r>
      <w:r>
        <w:rPr>
          <w:rFonts w:ascii="Book Antiqua" w:hAnsi="Book Antiqua" w:cs="Arial"/>
        </w:rPr>
        <w:lastRenderedPageBreak/>
        <w:t>corroborate her claim that, unlike Ms Morgan</w:t>
      </w:r>
      <w:r w:rsidR="00AE0DA9">
        <w:rPr>
          <w:rFonts w:ascii="Book Antiqua" w:hAnsi="Book Antiqua" w:cs="Arial"/>
        </w:rPr>
        <w:t xml:space="preserve">’s </w:t>
      </w:r>
      <w:r>
        <w:rPr>
          <w:rFonts w:ascii="Book Antiqua" w:hAnsi="Book Antiqua" w:cs="Arial"/>
        </w:rPr>
        <w:t>relatives, she had not travelled to and from Jamaica using Ms Morgan’s passport.</w:t>
      </w:r>
    </w:p>
    <w:p w:rsidR="00936465" w:rsidRDefault="00E852FB">
      <w:pPr>
        <w:numPr>
          <w:ilvl w:val="0"/>
          <w:numId w:val="1"/>
        </w:numPr>
        <w:spacing w:before="240"/>
        <w:jc w:val="both"/>
        <w:rPr>
          <w:rFonts w:ascii="Book Antiqua" w:hAnsi="Book Antiqua" w:cs="Arial"/>
        </w:rPr>
      </w:pPr>
      <w:r>
        <w:rPr>
          <w:rFonts w:ascii="Book Antiqua" w:hAnsi="Book Antiqua" w:cs="Arial"/>
        </w:rPr>
        <w:t xml:space="preserve">The upshot </w:t>
      </w:r>
      <w:r w:rsidR="00300091">
        <w:rPr>
          <w:rFonts w:ascii="Book Antiqua" w:hAnsi="Book Antiqua" w:cs="Arial"/>
        </w:rPr>
        <w:t xml:space="preserve">is that the appellant </w:t>
      </w:r>
      <w:r>
        <w:rPr>
          <w:rFonts w:ascii="Book Antiqua" w:hAnsi="Book Antiqua" w:cs="Arial"/>
        </w:rPr>
        <w:t xml:space="preserve">has not shown that she has been deprived of a fair hearing in the First-tier Tribunal. </w:t>
      </w:r>
      <w:r w:rsidR="00AE0DA9">
        <w:rPr>
          <w:rFonts w:ascii="Book Antiqua" w:hAnsi="Book Antiqua" w:cs="Arial"/>
        </w:rPr>
        <w:t xml:space="preserve">Judge Keith carefully and </w:t>
      </w:r>
      <w:r w:rsidR="00936465">
        <w:rPr>
          <w:rFonts w:ascii="Book Antiqua" w:hAnsi="Book Antiqua" w:cs="Arial"/>
        </w:rPr>
        <w:t xml:space="preserve">conscientiously </w:t>
      </w:r>
      <w:r w:rsidR="00AE0DA9">
        <w:rPr>
          <w:rFonts w:ascii="Book Antiqua" w:hAnsi="Book Antiqua" w:cs="Arial"/>
        </w:rPr>
        <w:t xml:space="preserve">analysed the documentary evidence </w:t>
      </w:r>
      <w:r w:rsidR="00936465">
        <w:rPr>
          <w:rFonts w:ascii="Book Antiqua" w:hAnsi="Book Antiqua" w:cs="Arial"/>
        </w:rPr>
        <w:t xml:space="preserve">that the appellant provided for her appeal, and he gave comprehensive and fully sustainable reasons for finding that she had not made out her case.  </w:t>
      </w:r>
    </w:p>
    <w:p w:rsidR="00E852FB" w:rsidRDefault="00E852FB">
      <w:pPr>
        <w:numPr>
          <w:ilvl w:val="0"/>
          <w:numId w:val="1"/>
        </w:numPr>
        <w:spacing w:before="240"/>
        <w:jc w:val="both"/>
        <w:rPr>
          <w:rFonts w:ascii="Book Antiqua" w:hAnsi="Book Antiqua" w:cs="Arial"/>
        </w:rPr>
      </w:pPr>
      <w:r>
        <w:rPr>
          <w:rFonts w:ascii="Book Antiqua" w:hAnsi="Book Antiqua" w:cs="Arial"/>
        </w:rPr>
        <w:t xml:space="preserve">It is understandable that </w:t>
      </w:r>
      <w:r w:rsidR="00936465">
        <w:rPr>
          <w:rFonts w:ascii="Book Antiqua" w:hAnsi="Book Antiqua" w:cs="Arial"/>
        </w:rPr>
        <w:t>as a litigant in person she believed that she could</w:t>
      </w:r>
      <w:r>
        <w:rPr>
          <w:rFonts w:ascii="Book Antiqua" w:hAnsi="Book Antiqua" w:cs="Arial"/>
        </w:rPr>
        <w:t xml:space="preserve"> succeed in her appeal simply on the basis of the documentary e</w:t>
      </w:r>
      <w:r w:rsidR="00936465">
        <w:rPr>
          <w:rFonts w:ascii="Book Antiqua" w:hAnsi="Book Antiqua" w:cs="Arial"/>
        </w:rPr>
        <w:t xml:space="preserve">vidence which she had provided to the First-tier Tribunal: </w:t>
      </w:r>
      <w:r>
        <w:rPr>
          <w:rFonts w:ascii="Book Antiqua" w:hAnsi="Book Antiqua" w:cs="Arial"/>
        </w:rPr>
        <w:t>in particular</w:t>
      </w:r>
      <w:r w:rsidR="00300091">
        <w:rPr>
          <w:rFonts w:ascii="Book Antiqua" w:hAnsi="Book Antiqua" w:cs="Arial"/>
        </w:rPr>
        <w:t>,</w:t>
      </w:r>
      <w:r>
        <w:rPr>
          <w:rFonts w:ascii="Book Antiqua" w:hAnsi="Book Antiqua" w:cs="Arial"/>
        </w:rPr>
        <w:t xml:space="preserve"> </w:t>
      </w:r>
      <w:r w:rsidR="002649B3">
        <w:rPr>
          <w:rFonts w:ascii="Book Antiqua" w:hAnsi="Book Antiqua" w:cs="Arial"/>
        </w:rPr>
        <w:t xml:space="preserve">continuous </w:t>
      </w:r>
      <w:r>
        <w:rPr>
          <w:rFonts w:ascii="Book Antiqua" w:hAnsi="Book Antiqua" w:cs="Arial"/>
        </w:rPr>
        <w:t xml:space="preserve">tax records since 1996, and </w:t>
      </w:r>
      <w:r w:rsidR="002649B3">
        <w:rPr>
          <w:rFonts w:ascii="Book Antiqua" w:hAnsi="Book Antiqua" w:cs="Arial"/>
        </w:rPr>
        <w:t xml:space="preserve">continuous </w:t>
      </w:r>
      <w:r>
        <w:rPr>
          <w:rFonts w:ascii="Book Antiqua" w:hAnsi="Book Antiqua" w:cs="Arial"/>
        </w:rPr>
        <w:t xml:space="preserve">GP records since 1995.  </w:t>
      </w:r>
      <w:r w:rsidR="00936465">
        <w:rPr>
          <w:rFonts w:ascii="Book Antiqua" w:hAnsi="Book Antiqua" w:cs="Arial"/>
        </w:rPr>
        <w:t>However, s</w:t>
      </w:r>
      <w:r>
        <w:rPr>
          <w:rFonts w:ascii="Book Antiqua" w:hAnsi="Book Antiqua" w:cs="Arial"/>
        </w:rPr>
        <w:t>he did not have a legitimate expectation that this evidence would carry the day in circumstances where she admitted having engaged in fraudulent impersonation</w:t>
      </w:r>
      <w:r w:rsidR="00936465">
        <w:rPr>
          <w:rFonts w:ascii="Book Antiqua" w:hAnsi="Book Antiqua" w:cs="Arial"/>
        </w:rPr>
        <w:t xml:space="preserve"> of a British national (Marjory Morgan)</w:t>
      </w:r>
      <w:r>
        <w:rPr>
          <w:rFonts w:ascii="Book Antiqua" w:hAnsi="Book Antiqua" w:cs="Arial"/>
        </w:rPr>
        <w:t xml:space="preserve">, and indeed (as she confirmed to me) </w:t>
      </w:r>
      <w:r w:rsidR="00936465">
        <w:rPr>
          <w:rFonts w:ascii="Book Antiqua" w:hAnsi="Book Antiqua" w:cs="Arial"/>
        </w:rPr>
        <w:t xml:space="preserve">where </w:t>
      </w:r>
      <w:r>
        <w:rPr>
          <w:rFonts w:ascii="Book Antiqua" w:hAnsi="Book Antiqua" w:cs="Arial"/>
        </w:rPr>
        <w:t xml:space="preserve">she had pleaded guilty to </w:t>
      </w:r>
      <w:r w:rsidR="00936465">
        <w:rPr>
          <w:rFonts w:ascii="Book Antiqua" w:hAnsi="Book Antiqua" w:cs="Arial"/>
        </w:rPr>
        <w:t xml:space="preserve">related fraud </w:t>
      </w:r>
      <w:r>
        <w:rPr>
          <w:rFonts w:ascii="Book Antiqua" w:hAnsi="Book Antiqua" w:cs="Arial"/>
        </w:rPr>
        <w:t>offence</w:t>
      </w:r>
      <w:r w:rsidR="00936465">
        <w:rPr>
          <w:rFonts w:ascii="Book Antiqua" w:hAnsi="Book Antiqua" w:cs="Arial"/>
        </w:rPr>
        <w:t>s</w:t>
      </w:r>
      <w:r>
        <w:rPr>
          <w:rFonts w:ascii="Book Antiqua" w:hAnsi="Book Antiqua" w:cs="Arial"/>
        </w:rPr>
        <w:t xml:space="preserve"> </w:t>
      </w:r>
      <w:r w:rsidR="00936465">
        <w:rPr>
          <w:rFonts w:ascii="Book Antiqua" w:hAnsi="Book Antiqua" w:cs="Arial"/>
        </w:rPr>
        <w:t>a</w:t>
      </w:r>
      <w:r>
        <w:rPr>
          <w:rFonts w:ascii="Book Antiqua" w:hAnsi="Book Antiqua" w:cs="Arial"/>
        </w:rPr>
        <w:t>t Snaresbro</w:t>
      </w:r>
      <w:r w:rsidR="00936465">
        <w:rPr>
          <w:rFonts w:ascii="Book Antiqua" w:hAnsi="Book Antiqua" w:cs="Arial"/>
        </w:rPr>
        <w:t>ok Crown Court in February 2017. She said that she was convicted of</w:t>
      </w:r>
      <w:r>
        <w:rPr>
          <w:rFonts w:ascii="Book Antiqua" w:hAnsi="Book Antiqua" w:cs="Arial"/>
        </w:rPr>
        <w:t xml:space="preserve"> using a false passport and claiming benefits to which she was not entitled.</w:t>
      </w:r>
    </w:p>
    <w:p w:rsidR="00E852FB" w:rsidRDefault="00E852FB">
      <w:pPr>
        <w:numPr>
          <w:ilvl w:val="0"/>
          <w:numId w:val="1"/>
        </w:numPr>
        <w:spacing w:before="240"/>
        <w:jc w:val="both"/>
        <w:rPr>
          <w:rFonts w:ascii="Book Antiqua" w:hAnsi="Book Antiqua" w:cs="Arial"/>
        </w:rPr>
      </w:pPr>
      <w:r>
        <w:rPr>
          <w:rFonts w:ascii="Book Antiqua" w:hAnsi="Book Antiqua" w:cs="Arial"/>
        </w:rPr>
        <w:t>Although the appellant’s appeal to the Upper Tribunal must therefore be dismissed, she still has the option of making an asylum claim in person, and Mr Clarke gave her the necessary contact details to enable her to do this.  If the asylum claim is ref</w:t>
      </w:r>
      <w:r w:rsidR="002649B3">
        <w:rPr>
          <w:rFonts w:ascii="Book Antiqua" w:hAnsi="Book Antiqua" w:cs="Arial"/>
        </w:rPr>
        <w:t xml:space="preserve">used, the appellant will have an </w:t>
      </w:r>
      <w:r>
        <w:rPr>
          <w:rFonts w:ascii="Book Antiqua" w:hAnsi="Book Antiqua" w:cs="Arial"/>
        </w:rPr>
        <w:t xml:space="preserve">in-country right of appeal </w:t>
      </w:r>
      <w:r w:rsidR="002649B3">
        <w:rPr>
          <w:rFonts w:ascii="Book Antiqua" w:hAnsi="Book Antiqua" w:cs="Arial"/>
        </w:rPr>
        <w:t xml:space="preserve">against the refusal of her protection and human rights claims </w:t>
      </w:r>
      <w:r>
        <w:rPr>
          <w:rFonts w:ascii="Book Antiqua" w:hAnsi="Book Antiqua" w:cs="Arial"/>
        </w:rPr>
        <w:t>and she can elect for an oral hearing of such an appeal.</w:t>
      </w:r>
    </w:p>
    <w:p w:rsidR="00E852FB" w:rsidRDefault="00E852FB">
      <w:pPr>
        <w:jc w:val="both"/>
        <w:outlineLvl w:val="0"/>
        <w:rPr>
          <w:rFonts w:ascii="Book Antiqua" w:hAnsi="Book Antiqua" w:cs="Arial"/>
          <w:b/>
          <w:u w:val="single"/>
        </w:rPr>
      </w:pPr>
    </w:p>
    <w:p w:rsidR="00E852FB" w:rsidRDefault="00E852FB">
      <w:pPr>
        <w:jc w:val="both"/>
        <w:outlineLvl w:val="0"/>
        <w:rPr>
          <w:rFonts w:ascii="Book Antiqua" w:hAnsi="Book Antiqua" w:cs="Arial"/>
          <w:b/>
          <w:u w:val="single"/>
        </w:rPr>
      </w:pPr>
      <w:r>
        <w:rPr>
          <w:rFonts w:ascii="Book Antiqua" w:hAnsi="Book Antiqua" w:cs="Arial"/>
          <w:b/>
          <w:u w:val="single"/>
        </w:rPr>
        <w:t>Notice of Decision</w:t>
      </w:r>
    </w:p>
    <w:p w:rsidR="00E852FB" w:rsidRDefault="00E852FB">
      <w:pPr>
        <w:tabs>
          <w:tab w:val="left" w:pos="567"/>
        </w:tabs>
        <w:jc w:val="both"/>
        <w:rPr>
          <w:rFonts w:ascii="Book Antiqua" w:hAnsi="Book Antiqua" w:cs="Arial"/>
        </w:rPr>
      </w:pPr>
    </w:p>
    <w:p w:rsidR="00E852FB" w:rsidRDefault="00E852FB">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E852FB" w:rsidRDefault="00E852FB">
      <w:pPr>
        <w:tabs>
          <w:tab w:val="left" w:pos="567"/>
        </w:tabs>
        <w:jc w:val="both"/>
        <w:rPr>
          <w:rFonts w:ascii="Book Antiqua" w:hAnsi="Book Antiqua" w:cs="Arial"/>
        </w:rPr>
      </w:pPr>
    </w:p>
    <w:p w:rsidR="00E852FB" w:rsidRDefault="00E852FB">
      <w:pPr>
        <w:jc w:val="both"/>
        <w:rPr>
          <w:rFonts w:ascii="Book Antiqua" w:hAnsi="Book Antiqua"/>
        </w:rPr>
      </w:pPr>
      <w:r>
        <w:rPr>
          <w:rFonts w:ascii="Book Antiqua" w:hAnsi="Book Antiqua"/>
          <w:b/>
          <w:u w:val="single"/>
        </w:rPr>
        <w:t xml:space="preserve">Direction Regarding Anonymity – </w:t>
      </w:r>
      <w:r w:rsidR="00300091">
        <w:rPr>
          <w:rFonts w:ascii="Book Antiqua" w:hAnsi="Book Antiqua" w:cs="Arial"/>
          <w:b/>
          <w:u w:val="single"/>
        </w:rPr>
        <w:t>rule 14</w:t>
      </w:r>
      <w:r>
        <w:rPr>
          <w:rFonts w:ascii="Book Antiqua" w:hAnsi="Book Antiqua" w:cs="Arial"/>
          <w:b/>
          <w:u w:val="single"/>
        </w:rPr>
        <w:t xml:space="preserve"> of the </w:t>
      </w:r>
      <w:r w:rsidR="00300091">
        <w:rPr>
          <w:rFonts w:ascii="Book Antiqua" w:hAnsi="Book Antiqua" w:cs="Arial"/>
          <w:b/>
          <w:u w:val="single"/>
        </w:rPr>
        <w:t xml:space="preserve">Tribunal Procedure (Upper Tribunal) </w:t>
      </w:r>
      <w:r>
        <w:rPr>
          <w:rFonts w:ascii="Book Antiqua" w:hAnsi="Book Antiqua" w:cs="Arial"/>
          <w:b/>
          <w:u w:val="single"/>
        </w:rPr>
        <w:t>Rules 20</w:t>
      </w:r>
      <w:r w:rsidR="00300091">
        <w:rPr>
          <w:rFonts w:ascii="Book Antiqua" w:hAnsi="Book Antiqua" w:cs="Arial"/>
          <w:b/>
          <w:u w:val="single"/>
        </w:rPr>
        <w:t>08</w:t>
      </w:r>
    </w:p>
    <w:p w:rsidR="00E852FB" w:rsidRDefault="00E852FB">
      <w:pPr>
        <w:jc w:val="both"/>
        <w:rPr>
          <w:rFonts w:ascii="Book Antiqua" w:hAnsi="Book Antiqua"/>
        </w:rPr>
      </w:pPr>
    </w:p>
    <w:p w:rsidR="00E852FB" w:rsidRDefault="00E852FB">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w:t>
      </w:r>
      <w:r w:rsidR="002649B3">
        <w:rPr>
          <w:rFonts w:ascii="Book Antiqua" w:hAnsi="Book Antiqua"/>
        </w:rPr>
        <w:t xml:space="preserve">ectly or indirectly identify </w:t>
      </w:r>
      <w:r>
        <w:rPr>
          <w:rFonts w:ascii="Book Antiqua" w:hAnsi="Book Antiqua"/>
        </w:rPr>
        <w:t>her or any member of their family.  This direction applies both to the appellant and to the respondent.  Failure to comply with this direction could lead to contempt of court proceedings.</w:t>
      </w:r>
    </w:p>
    <w:p w:rsidR="00E852FB" w:rsidRDefault="00E852FB">
      <w:pPr>
        <w:tabs>
          <w:tab w:val="left" w:pos="567"/>
        </w:tabs>
        <w:jc w:val="both"/>
        <w:rPr>
          <w:rFonts w:ascii="Book Antiqua" w:hAnsi="Book Antiqua" w:cs="Arial"/>
        </w:rPr>
      </w:pPr>
    </w:p>
    <w:p w:rsidR="00E852FB" w:rsidRDefault="00E852FB">
      <w:pPr>
        <w:jc w:val="both"/>
        <w:rPr>
          <w:rFonts w:ascii="Book Antiqua" w:hAnsi="Book Antiqua" w:cs="Arial"/>
        </w:rPr>
      </w:pPr>
    </w:p>
    <w:p w:rsidR="00E852FB" w:rsidRDefault="00E852FB">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2649B3">
        <w:rPr>
          <w:rFonts w:ascii="Book Antiqua" w:hAnsi="Book Antiqua" w:cs="Arial"/>
        </w:rPr>
        <w:t>26</w:t>
      </w:r>
      <w:r>
        <w:rPr>
          <w:rFonts w:ascii="Book Antiqua" w:hAnsi="Book Antiqua" w:cs="Arial"/>
        </w:rPr>
        <w:t xml:space="preserve"> August 2018</w:t>
      </w:r>
    </w:p>
    <w:p w:rsidR="003C2EF8" w:rsidRDefault="003C2EF8" w:rsidP="001104AC">
      <w:pPr>
        <w:jc w:val="both"/>
        <w:rPr>
          <w:rFonts w:ascii="Book Antiqua" w:hAnsi="Book Antiqua" w:cs="Arial"/>
        </w:rPr>
      </w:pPr>
    </w:p>
    <w:p w:rsidR="001104AC" w:rsidRDefault="00E852FB" w:rsidP="001104AC">
      <w:pPr>
        <w:jc w:val="both"/>
        <w:rPr>
          <w:rFonts w:ascii="Book Antiqua" w:hAnsi="Book Antiqua" w:cs="Arial"/>
        </w:rPr>
      </w:pPr>
      <w:r>
        <w:rPr>
          <w:rFonts w:ascii="Book Antiqua" w:hAnsi="Book Antiqua" w:cs="Arial"/>
        </w:rPr>
        <w:t>Deputy Upper Tribunal Judge</w:t>
      </w:r>
      <w:r w:rsidR="002649B3">
        <w:rPr>
          <w:rFonts w:ascii="Book Antiqua" w:hAnsi="Book Antiqua" w:cs="Arial"/>
        </w:rPr>
        <w:t xml:space="preserve"> Monson</w:t>
      </w:r>
    </w:p>
    <w:sectPr w:rsidR="001104AC">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2FB" w:rsidRDefault="00E852FB">
      <w:r>
        <w:separator/>
      </w:r>
    </w:p>
  </w:endnote>
  <w:endnote w:type="continuationSeparator" w:id="0">
    <w:p w:rsidR="00E852FB" w:rsidRDefault="00E8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FB" w:rsidRDefault="00E852FB">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E52E3D">
      <w:rPr>
        <w:rStyle w:val="PageNumber"/>
        <w:rFonts w:ascii="Book Antiqua" w:hAnsi="Book Antiqua" w:cs="Arial"/>
        <w:noProof/>
        <w:sz w:val="16"/>
        <w:szCs w:val="16"/>
      </w:rPr>
      <w:t>4</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FB" w:rsidRDefault="00E852FB">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2FB" w:rsidRDefault="00E852FB">
      <w:r>
        <w:separator/>
      </w:r>
    </w:p>
  </w:footnote>
  <w:footnote w:type="continuationSeparator" w:id="0">
    <w:p w:rsidR="00E852FB" w:rsidRDefault="00E85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FB" w:rsidRDefault="00E852FB">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HU/05665/2017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FB" w:rsidRDefault="00E852FB">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04AC"/>
    <w:rsid w:val="00172A27"/>
    <w:rsid w:val="001F169F"/>
    <w:rsid w:val="002649B3"/>
    <w:rsid w:val="00300091"/>
    <w:rsid w:val="00302079"/>
    <w:rsid w:val="003C2EF8"/>
    <w:rsid w:val="00936465"/>
    <w:rsid w:val="009F0E1D"/>
    <w:rsid w:val="00AD1821"/>
    <w:rsid w:val="00AE0DA9"/>
    <w:rsid w:val="00E52E3D"/>
    <w:rsid w:val="00E852FB"/>
    <w:rsid w:val="01025BDF"/>
    <w:rsid w:val="017770E9"/>
    <w:rsid w:val="03E1783D"/>
    <w:rsid w:val="057D74F1"/>
    <w:rsid w:val="059A5658"/>
    <w:rsid w:val="0CE06A9D"/>
    <w:rsid w:val="0D9D376D"/>
    <w:rsid w:val="0E0202C3"/>
    <w:rsid w:val="0E1C2B52"/>
    <w:rsid w:val="0F19354B"/>
    <w:rsid w:val="101A13AE"/>
    <w:rsid w:val="11100081"/>
    <w:rsid w:val="126E172F"/>
    <w:rsid w:val="13F5090E"/>
    <w:rsid w:val="14132D1C"/>
    <w:rsid w:val="14B71948"/>
    <w:rsid w:val="172C630B"/>
    <w:rsid w:val="174635BB"/>
    <w:rsid w:val="17914C39"/>
    <w:rsid w:val="1A25057E"/>
    <w:rsid w:val="1F036D4B"/>
    <w:rsid w:val="2029338F"/>
    <w:rsid w:val="20E00039"/>
    <w:rsid w:val="214841D7"/>
    <w:rsid w:val="21F903AD"/>
    <w:rsid w:val="23B57380"/>
    <w:rsid w:val="23C710EF"/>
    <w:rsid w:val="26D91087"/>
    <w:rsid w:val="2A74080D"/>
    <w:rsid w:val="2C7D6E9D"/>
    <w:rsid w:val="2CDF0A78"/>
    <w:rsid w:val="30593EC5"/>
    <w:rsid w:val="307F0ED1"/>
    <w:rsid w:val="3360420D"/>
    <w:rsid w:val="3A1958AE"/>
    <w:rsid w:val="3FE14789"/>
    <w:rsid w:val="441E1F40"/>
    <w:rsid w:val="4599530C"/>
    <w:rsid w:val="46F72B3E"/>
    <w:rsid w:val="47334429"/>
    <w:rsid w:val="47D5272C"/>
    <w:rsid w:val="48ED08B0"/>
    <w:rsid w:val="48F2781B"/>
    <w:rsid w:val="4A4C588A"/>
    <w:rsid w:val="4CC32A5F"/>
    <w:rsid w:val="4D8F66A6"/>
    <w:rsid w:val="4FF8249B"/>
    <w:rsid w:val="529A0E8C"/>
    <w:rsid w:val="534B2340"/>
    <w:rsid w:val="5B6B5594"/>
    <w:rsid w:val="5C396EE6"/>
    <w:rsid w:val="5D6436BD"/>
    <w:rsid w:val="5E55107B"/>
    <w:rsid w:val="5E585404"/>
    <w:rsid w:val="5EA276A0"/>
    <w:rsid w:val="5EF51AD7"/>
    <w:rsid w:val="638F284C"/>
    <w:rsid w:val="64E651BE"/>
    <w:rsid w:val="650132BD"/>
    <w:rsid w:val="655B0196"/>
    <w:rsid w:val="655C01FB"/>
    <w:rsid w:val="676D5DDC"/>
    <w:rsid w:val="67B87D3B"/>
    <w:rsid w:val="68F82D2A"/>
    <w:rsid w:val="690865AE"/>
    <w:rsid w:val="690D35A4"/>
    <w:rsid w:val="695C13C0"/>
    <w:rsid w:val="6AE506BA"/>
    <w:rsid w:val="6BDC3232"/>
    <w:rsid w:val="6C073C6A"/>
    <w:rsid w:val="6D6C07F2"/>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224534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1599</Words>
  <Characters>8009</Characters>
  <Application>Microsoft Office Word</Application>
  <DocSecurity>0</DocSecurity>
  <PresentationFormat/>
  <Lines>66</Lines>
  <Paragraphs>19</Paragraphs>
  <Slides>0</Slides>
  <Notes>0</Notes>
  <HiddenSlides>0</HiddenSlides>
  <MMClips>0</MMClip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2018-09-18T14:08:00Z</dcterms:created>
  <dcterms:modified xsi:type="dcterms:W3CDTF">2018-09-18T14:08:00Z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