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D6C3D" w:rsidRDefault="00E30E6D" w:rsidP="00D33C67">
      <w:pPr>
        <w:jc w:val="center"/>
        <w:rPr>
          <w:rFonts w:ascii="Book Antiqua" w:hAnsi="Book Antiqua" w:cs="Arial"/>
          <w:caps/>
          <w:color w:val="000000"/>
          <w:sz w:val="16"/>
          <w:szCs w:val="16"/>
        </w:rPr>
      </w:pPr>
      <w:r w:rsidRPr="009D6C3D">
        <w:rPr>
          <w:noProof/>
          <w:sz w:val="16"/>
          <w:szCs w:val="16"/>
        </w:rPr>
        <w:drawing>
          <wp:inline distT="0" distB="0" distL="0" distR="0">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rsidR="00D94AFC" w:rsidRPr="009D6C3D" w:rsidRDefault="00D94AFC">
      <w:pPr>
        <w:rPr>
          <w:rFonts w:ascii="Book Antiqua" w:hAnsi="Book Antiqua" w:cs="Arial"/>
          <w:color w:val="000000"/>
          <w:sz w:val="16"/>
          <w:szCs w:val="16"/>
        </w:rPr>
      </w:pPr>
    </w:p>
    <w:p w:rsidR="008A6059" w:rsidRPr="00507339" w:rsidRDefault="008A6059" w:rsidP="00780F86">
      <w:pPr>
        <w:tabs>
          <w:tab w:val="right" w:pos="9720"/>
        </w:tabs>
        <w:ind w:right="-82"/>
        <w:rPr>
          <w:rFonts w:ascii="Book Antiqua" w:hAnsi="Book Antiqua" w:cs="Arial"/>
          <w:b/>
          <w:color w:val="000000"/>
        </w:rPr>
      </w:pPr>
      <w:r w:rsidRPr="00507339">
        <w:rPr>
          <w:rFonts w:ascii="Book Antiqua" w:hAnsi="Book Antiqua" w:cs="Arial"/>
          <w:b/>
          <w:color w:val="000000"/>
        </w:rPr>
        <w:t xml:space="preserve">Upper Tribunal </w:t>
      </w:r>
    </w:p>
    <w:p w:rsidR="007B0824" w:rsidRPr="00507339" w:rsidRDefault="008A6059" w:rsidP="00780F86">
      <w:pPr>
        <w:tabs>
          <w:tab w:val="right" w:pos="9720"/>
        </w:tabs>
        <w:ind w:right="-82"/>
        <w:rPr>
          <w:rFonts w:ascii="Book Antiqua" w:hAnsi="Book Antiqua" w:cs="Arial"/>
          <w:color w:val="000000"/>
        </w:rPr>
      </w:pPr>
      <w:r w:rsidRPr="00507339">
        <w:rPr>
          <w:rFonts w:ascii="Book Antiqua" w:hAnsi="Book Antiqua" w:cs="Arial"/>
          <w:b/>
          <w:color w:val="000000"/>
        </w:rPr>
        <w:t>(Immigration and Asylum Chamber)</w:t>
      </w:r>
      <w:r w:rsidR="00DB70AE" w:rsidRPr="00507339">
        <w:rPr>
          <w:rFonts w:ascii="Book Antiqua" w:hAnsi="Book Antiqua" w:cs="Arial"/>
          <w:b/>
          <w:color w:val="000000"/>
        </w:rPr>
        <w:tab/>
      </w:r>
      <w:r w:rsidR="00B3524D" w:rsidRPr="00507339">
        <w:rPr>
          <w:rFonts w:ascii="Book Antiqua" w:hAnsi="Book Antiqua" w:cs="Arial"/>
          <w:color w:val="000000"/>
        </w:rPr>
        <w:t>Appeal Number</w:t>
      </w:r>
      <w:r w:rsidR="00D53769" w:rsidRPr="00507339">
        <w:rPr>
          <w:rFonts w:ascii="Book Antiqua" w:hAnsi="Book Antiqua" w:cs="Arial"/>
          <w:color w:val="000000"/>
        </w:rPr>
        <w:t>:</w:t>
      </w:r>
      <w:r w:rsidR="00B3524D" w:rsidRPr="00507339">
        <w:rPr>
          <w:rFonts w:ascii="Book Antiqua" w:hAnsi="Book Antiqua" w:cs="Arial"/>
          <w:color w:val="000000"/>
        </w:rPr>
        <w:t xml:space="preserve"> </w:t>
      </w:r>
      <w:bookmarkStart w:id="0" w:name="_GoBack"/>
      <w:r w:rsidR="00E30E6D" w:rsidRPr="00507339">
        <w:rPr>
          <w:rFonts w:ascii="Book Antiqua" w:hAnsi="Book Antiqua" w:cs="Arial"/>
          <w:caps/>
          <w:color w:val="000000"/>
        </w:rPr>
        <w:t xml:space="preserve">HU/05780/2016  </w:t>
      </w:r>
      <w:bookmarkEnd w:id="0"/>
    </w:p>
    <w:p w:rsidR="00C345E1" w:rsidRPr="00507339" w:rsidRDefault="00C345E1" w:rsidP="00C345E1">
      <w:pPr>
        <w:jc w:val="center"/>
        <w:rPr>
          <w:rFonts w:ascii="Book Antiqua" w:hAnsi="Book Antiqua" w:cs="Arial"/>
          <w:color w:val="000000"/>
        </w:rPr>
      </w:pPr>
    </w:p>
    <w:p w:rsidR="00C345E1" w:rsidRPr="00507339" w:rsidRDefault="00C345E1" w:rsidP="00C345E1">
      <w:pPr>
        <w:jc w:val="center"/>
        <w:rPr>
          <w:rFonts w:ascii="Book Antiqua" w:hAnsi="Book Antiqua" w:cs="Arial"/>
          <w:color w:val="000000"/>
        </w:rPr>
      </w:pPr>
    </w:p>
    <w:p w:rsidR="00C345E1" w:rsidRPr="00507339" w:rsidRDefault="00C345E1" w:rsidP="00C345E1">
      <w:pPr>
        <w:jc w:val="center"/>
        <w:rPr>
          <w:rFonts w:ascii="Book Antiqua" w:hAnsi="Book Antiqua" w:cs="Arial"/>
          <w:b/>
          <w:color w:val="000000"/>
          <w:u w:val="single"/>
        </w:rPr>
      </w:pPr>
      <w:r w:rsidRPr="00507339">
        <w:rPr>
          <w:rFonts w:ascii="Book Antiqua" w:hAnsi="Book Antiqua" w:cs="Arial"/>
          <w:b/>
          <w:color w:val="000000"/>
          <w:u w:val="single"/>
        </w:rPr>
        <w:t>THE IMMIGRATION ACTS</w:t>
      </w:r>
    </w:p>
    <w:p w:rsidR="00C345E1" w:rsidRPr="00507339" w:rsidRDefault="00C345E1" w:rsidP="00C345E1">
      <w:pPr>
        <w:jc w:val="center"/>
        <w:rPr>
          <w:rFonts w:ascii="Book Antiqua" w:hAnsi="Book Antiqua" w:cs="Arial"/>
          <w:b/>
          <w:u w:val="single"/>
        </w:rPr>
      </w:pPr>
    </w:p>
    <w:p w:rsidR="00C345E1" w:rsidRPr="00507339"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507339" w:rsidTr="00D949B7">
        <w:tc>
          <w:tcPr>
            <w:tcW w:w="6048" w:type="dxa"/>
          </w:tcPr>
          <w:p w:rsidR="00D22636" w:rsidRPr="00507339" w:rsidRDefault="00D22636" w:rsidP="004A1848">
            <w:pPr>
              <w:jc w:val="both"/>
              <w:rPr>
                <w:rFonts w:ascii="Book Antiqua" w:hAnsi="Book Antiqua" w:cs="Arial"/>
                <w:b/>
              </w:rPr>
            </w:pPr>
            <w:r w:rsidRPr="00507339">
              <w:rPr>
                <w:rFonts w:ascii="Book Antiqua" w:hAnsi="Book Antiqua" w:cs="Arial"/>
                <w:b/>
              </w:rPr>
              <w:t xml:space="preserve">Heard at </w:t>
            </w:r>
            <w:r w:rsidR="006F4103" w:rsidRPr="00507339">
              <w:rPr>
                <w:rFonts w:ascii="Book Antiqua" w:hAnsi="Book Antiqua" w:cs="Arial"/>
                <w:b/>
              </w:rPr>
              <w:t xml:space="preserve">Field House </w:t>
            </w:r>
          </w:p>
        </w:tc>
        <w:tc>
          <w:tcPr>
            <w:tcW w:w="3960" w:type="dxa"/>
          </w:tcPr>
          <w:p w:rsidR="00D22636" w:rsidRPr="00507339" w:rsidRDefault="00D949B7" w:rsidP="00093D4D">
            <w:pPr>
              <w:jc w:val="both"/>
              <w:rPr>
                <w:rFonts w:ascii="Book Antiqua" w:hAnsi="Book Antiqua" w:cs="Arial"/>
                <w:b/>
                <w:color w:val="000000"/>
              </w:rPr>
            </w:pPr>
            <w:r w:rsidRPr="00507339">
              <w:rPr>
                <w:rFonts w:ascii="Book Antiqua" w:hAnsi="Book Antiqua" w:cs="Arial"/>
                <w:b/>
                <w:color w:val="000000"/>
              </w:rPr>
              <w:t>Decision &amp; Reasons</w:t>
            </w:r>
            <w:r w:rsidR="00283659" w:rsidRPr="00507339">
              <w:rPr>
                <w:rFonts w:ascii="Book Antiqua" w:hAnsi="Book Antiqua" w:cs="Arial"/>
                <w:b/>
                <w:color w:val="000000"/>
              </w:rPr>
              <w:t xml:space="preserve"> Promulgated</w:t>
            </w:r>
          </w:p>
        </w:tc>
      </w:tr>
      <w:tr w:rsidR="00D22636" w:rsidRPr="00507339" w:rsidTr="00D949B7">
        <w:tc>
          <w:tcPr>
            <w:tcW w:w="6048" w:type="dxa"/>
          </w:tcPr>
          <w:p w:rsidR="00D22636" w:rsidRPr="00507339" w:rsidRDefault="00D22636" w:rsidP="004A1848">
            <w:pPr>
              <w:jc w:val="both"/>
              <w:rPr>
                <w:rFonts w:ascii="Book Antiqua" w:hAnsi="Book Antiqua" w:cs="Arial"/>
                <w:b/>
              </w:rPr>
            </w:pPr>
            <w:r w:rsidRPr="00507339">
              <w:rPr>
                <w:rFonts w:ascii="Book Antiqua" w:hAnsi="Book Antiqua" w:cs="Arial"/>
                <w:b/>
              </w:rPr>
              <w:t xml:space="preserve">On </w:t>
            </w:r>
            <w:r w:rsidR="006F4103" w:rsidRPr="00507339">
              <w:rPr>
                <w:rFonts w:ascii="Book Antiqua" w:hAnsi="Book Antiqua" w:cs="Arial"/>
                <w:b/>
              </w:rPr>
              <w:t xml:space="preserve">8 August 2018 </w:t>
            </w:r>
          </w:p>
        </w:tc>
        <w:tc>
          <w:tcPr>
            <w:tcW w:w="3960" w:type="dxa"/>
          </w:tcPr>
          <w:p w:rsidR="00D22636" w:rsidRPr="00507339" w:rsidRDefault="00D33C67" w:rsidP="004A1848">
            <w:pPr>
              <w:jc w:val="both"/>
              <w:rPr>
                <w:rFonts w:ascii="Book Antiqua" w:hAnsi="Book Antiqua" w:cs="Arial"/>
                <w:b/>
              </w:rPr>
            </w:pPr>
            <w:r>
              <w:rPr>
                <w:rFonts w:ascii="Book Antiqua" w:hAnsi="Book Antiqua" w:cs="Arial"/>
                <w:b/>
              </w:rPr>
              <w:t>On 4 September 2018</w:t>
            </w:r>
          </w:p>
        </w:tc>
      </w:tr>
    </w:tbl>
    <w:p w:rsidR="00A15234" w:rsidRPr="00507339" w:rsidRDefault="00A15234" w:rsidP="00A15234">
      <w:pPr>
        <w:jc w:val="center"/>
        <w:rPr>
          <w:rFonts w:ascii="Book Antiqua" w:hAnsi="Book Antiqua" w:cs="Arial"/>
        </w:rPr>
      </w:pPr>
    </w:p>
    <w:p w:rsidR="00A15234" w:rsidRPr="00507339" w:rsidRDefault="00A15234" w:rsidP="00A15234">
      <w:pPr>
        <w:jc w:val="center"/>
        <w:rPr>
          <w:rFonts w:ascii="Book Antiqua" w:hAnsi="Book Antiqua" w:cs="Arial"/>
        </w:rPr>
      </w:pPr>
    </w:p>
    <w:p w:rsidR="00A15234" w:rsidRPr="00507339" w:rsidRDefault="00207617" w:rsidP="00A15234">
      <w:pPr>
        <w:jc w:val="center"/>
        <w:rPr>
          <w:rFonts w:ascii="Book Antiqua" w:hAnsi="Book Antiqua" w:cs="Arial"/>
          <w:b/>
        </w:rPr>
      </w:pPr>
      <w:r w:rsidRPr="00507339">
        <w:rPr>
          <w:rFonts w:ascii="Book Antiqua" w:hAnsi="Book Antiqua" w:cs="Arial"/>
          <w:b/>
        </w:rPr>
        <w:t>Befo</w:t>
      </w:r>
      <w:r w:rsidR="00A15234" w:rsidRPr="00507339">
        <w:rPr>
          <w:rFonts w:ascii="Book Antiqua" w:hAnsi="Book Antiqua" w:cs="Arial"/>
          <w:b/>
        </w:rPr>
        <w:t>re</w:t>
      </w:r>
    </w:p>
    <w:p w:rsidR="00A15234" w:rsidRPr="00507339" w:rsidRDefault="00A15234" w:rsidP="00A15234">
      <w:pPr>
        <w:jc w:val="center"/>
        <w:rPr>
          <w:rFonts w:ascii="Book Antiqua" w:hAnsi="Book Antiqua" w:cs="Arial"/>
          <w:b/>
        </w:rPr>
      </w:pPr>
    </w:p>
    <w:p w:rsidR="001B186A" w:rsidRPr="00507339" w:rsidRDefault="004A2D15" w:rsidP="00A15234">
      <w:pPr>
        <w:jc w:val="center"/>
        <w:rPr>
          <w:rFonts w:ascii="Book Antiqua" w:hAnsi="Book Antiqua" w:cs="Arial"/>
          <w:b/>
          <w:color w:val="000000"/>
        </w:rPr>
      </w:pPr>
      <w:r w:rsidRPr="00507339">
        <w:rPr>
          <w:rFonts w:ascii="Book Antiqua" w:hAnsi="Book Antiqua" w:cs="Arial"/>
          <w:b/>
          <w:color w:val="000000"/>
        </w:rPr>
        <w:t>DE</w:t>
      </w:r>
      <w:r w:rsidR="00273201" w:rsidRPr="00507339">
        <w:rPr>
          <w:rFonts w:ascii="Book Antiqua" w:hAnsi="Book Antiqua" w:cs="Arial"/>
          <w:b/>
          <w:color w:val="000000"/>
        </w:rPr>
        <w:t>PUTY UPPER TRIBUNAL JUDGE SHERIDAN</w:t>
      </w:r>
    </w:p>
    <w:p w:rsidR="00D20757" w:rsidRPr="00507339" w:rsidRDefault="00D20757" w:rsidP="00A15234">
      <w:pPr>
        <w:jc w:val="center"/>
        <w:rPr>
          <w:rFonts w:ascii="Book Antiqua" w:hAnsi="Book Antiqua" w:cs="Arial"/>
          <w:b/>
        </w:rPr>
      </w:pPr>
    </w:p>
    <w:p w:rsidR="009D6C3D" w:rsidRDefault="009D6C3D" w:rsidP="00A15234">
      <w:pPr>
        <w:jc w:val="center"/>
        <w:rPr>
          <w:rFonts w:ascii="Book Antiqua" w:hAnsi="Book Antiqua" w:cs="Arial"/>
          <w:b/>
        </w:rPr>
      </w:pPr>
    </w:p>
    <w:p w:rsidR="00A845DC" w:rsidRPr="00507339" w:rsidRDefault="00A845DC" w:rsidP="00A15234">
      <w:pPr>
        <w:jc w:val="center"/>
        <w:rPr>
          <w:rFonts w:ascii="Book Antiqua" w:hAnsi="Book Antiqua" w:cs="Arial"/>
          <w:b/>
        </w:rPr>
      </w:pPr>
      <w:r w:rsidRPr="00507339">
        <w:rPr>
          <w:rFonts w:ascii="Book Antiqua" w:hAnsi="Book Antiqua" w:cs="Arial"/>
          <w:b/>
        </w:rPr>
        <w:t>Between</w:t>
      </w:r>
    </w:p>
    <w:p w:rsidR="00384D22" w:rsidRPr="00507339" w:rsidRDefault="00384D22" w:rsidP="00384D22">
      <w:pPr>
        <w:jc w:val="center"/>
        <w:rPr>
          <w:rFonts w:ascii="Book Antiqua" w:hAnsi="Book Antiqua" w:cs="Arial"/>
          <w:b/>
        </w:rPr>
      </w:pPr>
    </w:p>
    <w:p w:rsidR="00384D22" w:rsidRPr="00507339" w:rsidRDefault="00384D22" w:rsidP="00384D22">
      <w:pPr>
        <w:jc w:val="center"/>
        <w:rPr>
          <w:rFonts w:ascii="Book Antiqua" w:hAnsi="Book Antiqua" w:cs="Arial"/>
          <w:b/>
        </w:rPr>
      </w:pPr>
      <w:bookmarkStart w:id="1" w:name="Text7"/>
      <w:r w:rsidRPr="00507339">
        <w:rPr>
          <w:rFonts w:ascii="Book Antiqua" w:hAnsi="Book Antiqua" w:cs="Arial"/>
          <w:b/>
          <w:noProof/>
        </w:rPr>
        <w:t>THE SECRETARY OF STATE FOR THE HOME DEPARTMENT</w:t>
      </w:r>
      <w:bookmarkEnd w:id="1"/>
      <w:r w:rsidRPr="00507339">
        <w:rPr>
          <w:rFonts w:ascii="Book Antiqua" w:hAnsi="Book Antiqua" w:cs="Arial"/>
          <w:b/>
          <w:noProof/>
        </w:rPr>
        <w:t xml:space="preserve"> </w:t>
      </w:r>
    </w:p>
    <w:p w:rsidR="00704B61" w:rsidRPr="00507339" w:rsidRDefault="00704B61" w:rsidP="00704B61">
      <w:pPr>
        <w:jc w:val="right"/>
        <w:rPr>
          <w:rFonts w:ascii="Book Antiqua" w:hAnsi="Book Antiqua" w:cs="Arial"/>
          <w:u w:val="single"/>
        </w:rPr>
      </w:pPr>
      <w:r w:rsidRPr="00507339">
        <w:rPr>
          <w:rFonts w:ascii="Book Antiqua" w:hAnsi="Book Antiqua" w:cs="Arial"/>
          <w:u w:val="single"/>
        </w:rPr>
        <w:t>Appellant</w:t>
      </w:r>
    </w:p>
    <w:p w:rsidR="00704B61" w:rsidRDefault="00384D22" w:rsidP="00704B61">
      <w:pPr>
        <w:jc w:val="center"/>
        <w:rPr>
          <w:rFonts w:ascii="Book Antiqua" w:hAnsi="Book Antiqua" w:cs="Arial"/>
          <w:b/>
        </w:rPr>
      </w:pPr>
      <w:r>
        <w:rPr>
          <w:rFonts w:ascii="Book Antiqua" w:hAnsi="Book Antiqua" w:cs="Arial"/>
          <w:b/>
        </w:rPr>
        <w:t>a</w:t>
      </w:r>
      <w:r w:rsidR="00DD5071" w:rsidRPr="00507339">
        <w:rPr>
          <w:rFonts w:ascii="Book Antiqua" w:hAnsi="Book Antiqua" w:cs="Arial"/>
          <w:b/>
        </w:rPr>
        <w:t>nd</w:t>
      </w:r>
    </w:p>
    <w:p w:rsidR="00384D22" w:rsidRPr="00507339" w:rsidRDefault="00384D22" w:rsidP="00704B61">
      <w:pPr>
        <w:jc w:val="center"/>
        <w:rPr>
          <w:rFonts w:ascii="Book Antiqua" w:hAnsi="Book Antiqua" w:cs="Arial"/>
          <w:b/>
        </w:rPr>
      </w:pPr>
    </w:p>
    <w:p w:rsidR="00384D22" w:rsidRPr="00507339" w:rsidRDefault="00384D22" w:rsidP="00384D22">
      <w:pPr>
        <w:jc w:val="center"/>
        <w:rPr>
          <w:rFonts w:ascii="Book Antiqua" w:hAnsi="Book Antiqua" w:cs="Arial"/>
          <w:b/>
          <w:caps/>
        </w:rPr>
      </w:pPr>
      <w:r w:rsidRPr="00507339">
        <w:rPr>
          <w:rFonts w:ascii="Book Antiqua" w:hAnsi="Book Antiqua" w:cs="Arial"/>
          <w:b/>
          <w:caps/>
        </w:rPr>
        <w:t xml:space="preserve">SOHAIL ADAM  </w:t>
      </w:r>
    </w:p>
    <w:p w:rsidR="00384D22" w:rsidRPr="00507339" w:rsidRDefault="00384D22" w:rsidP="00384D22">
      <w:pPr>
        <w:jc w:val="center"/>
        <w:rPr>
          <w:rFonts w:ascii="Book Antiqua" w:hAnsi="Book Antiqua" w:cs="Arial"/>
          <w:b/>
          <w:caps/>
        </w:rPr>
      </w:pPr>
      <w:r w:rsidRPr="00507339">
        <w:rPr>
          <w:rFonts w:ascii="Book Antiqua" w:hAnsi="Book Antiqua" w:cs="Arial"/>
          <w:b/>
          <w:caps/>
        </w:rPr>
        <w:t>(ANONYMITY DIRECTION</w:t>
      </w:r>
      <w:r>
        <w:rPr>
          <w:rFonts w:ascii="Book Antiqua" w:hAnsi="Book Antiqua" w:cs="Arial"/>
          <w:b/>
          <w:caps/>
        </w:rPr>
        <w:t xml:space="preserve"> not made</w:t>
      </w:r>
      <w:r w:rsidRPr="00507339">
        <w:rPr>
          <w:rFonts w:ascii="Book Antiqua" w:hAnsi="Book Antiqua" w:cs="Arial"/>
          <w:b/>
          <w:caps/>
        </w:rPr>
        <w:t>)</w:t>
      </w:r>
    </w:p>
    <w:p w:rsidR="00DD5071" w:rsidRPr="00507339" w:rsidRDefault="00DD5071" w:rsidP="00384D22">
      <w:pPr>
        <w:jc w:val="right"/>
        <w:rPr>
          <w:rFonts w:ascii="Book Antiqua" w:hAnsi="Book Antiqua" w:cs="Arial"/>
          <w:u w:val="single"/>
        </w:rPr>
      </w:pPr>
      <w:r w:rsidRPr="00507339">
        <w:rPr>
          <w:rFonts w:ascii="Book Antiqua" w:hAnsi="Book Antiqua" w:cs="Arial"/>
          <w:u w:val="single"/>
        </w:rPr>
        <w:t>Respondent</w:t>
      </w:r>
    </w:p>
    <w:p w:rsidR="00DD5071" w:rsidRDefault="00DD5071" w:rsidP="00DD5071">
      <w:pPr>
        <w:rPr>
          <w:rFonts w:ascii="Book Antiqua" w:hAnsi="Book Antiqua" w:cs="Arial"/>
          <w:u w:val="single"/>
        </w:rPr>
      </w:pPr>
    </w:p>
    <w:p w:rsidR="009D6C3D" w:rsidRPr="00507339" w:rsidRDefault="009D6C3D" w:rsidP="00DD5071">
      <w:pPr>
        <w:rPr>
          <w:rFonts w:ascii="Book Antiqua" w:hAnsi="Book Antiqua" w:cs="Arial"/>
          <w:u w:val="single"/>
        </w:rPr>
      </w:pPr>
    </w:p>
    <w:p w:rsidR="00DD5071" w:rsidRPr="00507339" w:rsidRDefault="00DE7DB7" w:rsidP="00DD5071">
      <w:pPr>
        <w:rPr>
          <w:rFonts w:ascii="Book Antiqua" w:hAnsi="Book Antiqua" w:cs="Arial"/>
        </w:rPr>
      </w:pPr>
      <w:r w:rsidRPr="00507339">
        <w:rPr>
          <w:rFonts w:ascii="Book Antiqua" w:hAnsi="Book Antiqua" w:cs="Arial"/>
          <w:b/>
          <w:u w:val="single"/>
        </w:rPr>
        <w:t>Representation</w:t>
      </w:r>
      <w:r w:rsidRPr="00507339">
        <w:rPr>
          <w:rFonts w:ascii="Book Antiqua" w:hAnsi="Book Antiqua" w:cs="Arial"/>
          <w:b/>
        </w:rPr>
        <w:t>:</w:t>
      </w:r>
    </w:p>
    <w:p w:rsidR="00DE7DB7" w:rsidRPr="00507339" w:rsidRDefault="00DE7DB7" w:rsidP="00DE7DB7">
      <w:pPr>
        <w:tabs>
          <w:tab w:val="left" w:pos="2520"/>
        </w:tabs>
        <w:rPr>
          <w:rFonts w:ascii="Book Antiqua" w:hAnsi="Book Antiqua" w:cs="Arial"/>
        </w:rPr>
      </w:pPr>
      <w:r w:rsidRPr="00507339">
        <w:rPr>
          <w:rFonts w:ascii="Book Antiqua" w:hAnsi="Book Antiqua" w:cs="Arial"/>
        </w:rPr>
        <w:t>For the Appellant:</w:t>
      </w:r>
      <w:r w:rsidRPr="00507339">
        <w:rPr>
          <w:rFonts w:ascii="Book Antiqua" w:hAnsi="Book Antiqua" w:cs="Arial"/>
        </w:rPr>
        <w:tab/>
      </w:r>
      <w:r w:rsidR="00384D22">
        <w:rPr>
          <w:rFonts w:ascii="Book Antiqua" w:hAnsi="Book Antiqua" w:cs="Arial"/>
        </w:rPr>
        <w:t xml:space="preserve">Mr </w:t>
      </w:r>
      <w:proofErr w:type="spellStart"/>
      <w:r w:rsidR="00384D22">
        <w:rPr>
          <w:rFonts w:ascii="Book Antiqua" w:hAnsi="Book Antiqua" w:cs="Arial"/>
        </w:rPr>
        <w:t>Tarlow</w:t>
      </w:r>
      <w:proofErr w:type="spellEnd"/>
      <w:r w:rsidR="00384D22">
        <w:rPr>
          <w:rFonts w:ascii="Book Antiqua" w:hAnsi="Book Antiqua" w:cs="Arial"/>
        </w:rPr>
        <w:t>, Home Office Presenting Officer</w:t>
      </w:r>
    </w:p>
    <w:p w:rsidR="00384D22" w:rsidRDefault="00DE7DB7" w:rsidP="00DE7DB7">
      <w:pPr>
        <w:tabs>
          <w:tab w:val="left" w:pos="2520"/>
        </w:tabs>
        <w:rPr>
          <w:rFonts w:ascii="Book Antiqua" w:hAnsi="Book Antiqua" w:cs="Arial"/>
        </w:rPr>
      </w:pPr>
      <w:r w:rsidRPr="00507339">
        <w:rPr>
          <w:rFonts w:ascii="Book Antiqua" w:hAnsi="Book Antiqua" w:cs="Arial"/>
        </w:rPr>
        <w:t>For the Respondent:</w:t>
      </w:r>
      <w:r w:rsidRPr="00507339">
        <w:rPr>
          <w:rFonts w:ascii="Book Antiqua" w:hAnsi="Book Antiqua" w:cs="Arial"/>
        </w:rPr>
        <w:tab/>
      </w:r>
      <w:r w:rsidR="00384D22">
        <w:rPr>
          <w:rFonts w:ascii="Book Antiqua" w:hAnsi="Book Antiqua" w:cs="Arial"/>
        </w:rPr>
        <w:t xml:space="preserve">Mr Shrestha, Counsel instructed by </w:t>
      </w:r>
      <w:proofErr w:type="spellStart"/>
      <w:r w:rsidR="00384D22">
        <w:rPr>
          <w:rFonts w:ascii="Book Antiqua" w:hAnsi="Book Antiqua" w:cs="Arial"/>
        </w:rPr>
        <w:t>Moorehouse</w:t>
      </w:r>
      <w:proofErr w:type="spellEnd"/>
      <w:r w:rsidR="00384D22">
        <w:rPr>
          <w:rFonts w:ascii="Book Antiqua" w:hAnsi="Book Antiqua" w:cs="Arial"/>
        </w:rPr>
        <w:t xml:space="preserve"> Solicitors</w:t>
      </w:r>
    </w:p>
    <w:p w:rsidR="00DE7DB7" w:rsidRPr="00507339" w:rsidRDefault="00DE7DB7" w:rsidP="00384D22">
      <w:pPr>
        <w:tabs>
          <w:tab w:val="left" w:pos="2520"/>
        </w:tabs>
        <w:rPr>
          <w:rFonts w:ascii="Book Antiqua" w:hAnsi="Book Antiqua" w:cs="Arial"/>
        </w:rPr>
      </w:pPr>
    </w:p>
    <w:p w:rsidR="00DE7DB7" w:rsidRPr="00507339" w:rsidRDefault="00DE7DB7" w:rsidP="000A0743">
      <w:pPr>
        <w:jc w:val="center"/>
        <w:rPr>
          <w:rFonts w:ascii="Book Antiqua" w:hAnsi="Book Antiqua" w:cs="Arial"/>
        </w:rPr>
      </w:pPr>
    </w:p>
    <w:p w:rsidR="00402B9E" w:rsidRPr="00507339" w:rsidRDefault="00D949B7" w:rsidP="004D6B45">
      <w:pPr>
        <w:tabs>
          <w:tab w:val="left" w:pos="2520"/>
        </w:tabs>
        <w:jc w:val="center"/>
        <w:rPr>
          <w:rFonts w:ascii="Book Antiqua" w:hAnsi="Book Antiqua" w:cs="Arial"/>
        </w:rPr>
      </w:pPr>
      <w:r w:rsidRPr="00507339">
        <w:rPr>
          <w:rFonts w:ascii="Book Antiqua" w:hAnsi="Book Antiqua" w:cs="Arial"/>
          <w:b/>
          <w:u w:val="single"/>
        </w:rPr>
        <w:t xml:space="preserve">DECISION </w:t>
      </w:r>
      <w:r w:rsidR="00402B9E" w:rsidRPr="00507339">
        <w:rPr>
          <w:rFonts w:ascii="Book Antiqua" w:hAnsi="Book Antiqua" w:cs="Arial"/>
          <w:b/>
          <w:u w:val="single"/>
        </w:rPr>
        <w:t>AND REASONS</w:t>
      </w:r>
    </w:p>
    <w:p w:rsidR="00C7659E" w:rsidRPr="00507339" w:rsidRDefault="00C7659E" w:rsidP="003F71D7">
      <w:pPr>
        <w:numPr>
          <w:ilvl w:val="0"/>
          <w:numId w:val="1"/>
        </w:numPr>
        <w:spacing w:before="240"/>
        <w:rPr>
          <w:rFonts w:ascii="Book Antiqua" w:hAnsi="Book Antiqua" w:cs="Arial"/>
        </w:rPr>
      </w:pPr>
      <w:r w:rsidRPr="00507339">
        <w:rPr>
          <w:rFonts w:ascii="Book Antiqua" w:hAnsi="Book Antiqua" w:cs="Arial"/>
        </w:rPr>
        <w:t xml:space="preserve">The appellant in this appeal is the Secretary of State.  For convenience I will refer to the parties as they were referred to in the First-tier Tribunal and therefore Mr </w:t>
      </w:r>
      <w:proofErr w:type="spellStart"/>
      <w:r w:rsidRPr="00507339">
        <w:rPr>
          <w:rFonts w:ascii="Book Antiqua" w:hAnsi="Book Antiqua" w:cs="Arial"/>
        </w:rPr>
        <w:t>Sohail</w:t>
      </w:r>
      <w:proofErr w:type="spellEnd"/>
      <w:r w:rsidRPr="00507339">
        <w:rPr>
          <w:rFonts w:ascii="Book Antiqua" w:hAnsi="Book Antiqua" w:cs="Arial"/>
        </w:rPr>
        <w:t xml:space="preserve"> Adam will be referred to as the appellant</w:t>
      </w:r>
      <w:r w:rsidR="00975AD1" w:rsidRPr="00507339">
        <w:rPr>
          <w:rFonts w:ascii="Book Antiqua" w:hAnsi="Book Antiqua" w:cs="Arial"/>
        </w:rPr>
        <w:t>.</w:t>
      </w:r>
    </w:p>
    <w:p w:rsidR="00D31A09" w:rsidRPr="00507339" w:rsidRDefault="00975AD1" w:rsidP="00C7659E">
      <w:pPr>
        <w:numPr>
          <w:ilvl w:val="0"/>
          <w:numId w:val="1"/>
        </w:numPr>
        <w:spacing w:before="240"/>
        <w:rPr>
          <w:rFonts w:ascii="Book Antiqua" w:hAnsi="Book Antiqua" w:cs="Arial"/>
        </w:rPr>
      </w:pPr>
      <w:r w:rsidRPr="00507339">
        <w:rPr>
          <w:rFonts w:ascii="Book Antiqua" w:hAnsi="Book Antiqua" w:cs="Arial"/>
        </w:rPr>
        <w:t>The appellant is a citizen of Pakistan</w:t>
      </w:r>
      <w:r w:rsidR="00384D22">
        <w:rPr>
          <w:rFonts w:ascii="Book Antiqua" w:hAnsi="Book Antiqua" w:cs="Arial"/>
        </w:rPr>
        <w:t>,</w:t>
      </w:r>
      <w:r w:rsidRPr="00507339">
        <w:rPr>
          <w:rFonts w:ascii="Book Antiqua" w:hAnsi="Book Antiqua" w:cs="Arial"/>
        </w:rPr>
        <w:t xml:space="preserve"> born on 16 March 1985</w:t>
      </w:r>
      <w:r w:rsidR="00384D22">
        <w:rPr>
          <w:rFonts w:ascii="Book Antiqua" w:hAnsi="Book Antiqua" w:cs="Arial"/>
        </w:rPr>
        <w:t>, who applied</w:t>
      </w:r>
      <w:r w:rsidR="00A63FAD" w:rsidRPr="00507339">
        <w:rPr>
          <w:rFonts w:ascii="Book Antiqua" w:hAnsi="Book Antiqua" w:cs="Arial"/>
        </w:rPr>
        <w:t xml:space="preserve"> </w:t>
      </w:r>
      <w:r w:rsidR="00C716FC" w:rsidRPr="00507339">
        <w:rPr>
          <w:rFonts w:ascii="Book Antiqua" w:hAnsi="Book Antiqua" w:cs="Arial"/>
        </w:rPr>
        <w:t xml:space="preserve">for leave to remain in the UK </w:t>
      </w:r>
      <w:r w:rsidR="00384D22">
        <w:rPr>
          <w:rFonts w:ascii="Book Antiqua" w:hAnsi="Book Antiqua" w:cs="Arial"/>
        </w:rPr>
        <w:t xml:space="preserve">as </w:t>
      </w:r>
      <w:r w:rsidR="00C716FC" w:rsidRPr="00507339">
        <w:rPr>
          <w:rFonts w:ascii="Book Antiqua" w:hAnsi="Book Antiqua" w:cs="Arial"/>
        </w:rPr>
        <w:t>the spouse of a British citizen.</w:t>
      </w:r>
    </w:p>
    <w:p w:rsidR="0070316F" w:rsidRPr="00384D22" w:rsidRDefault="00C716FC" w:rsidP="00384D22">
      <w:pPr>
        <w:numPr>
          <w:ilvl w:val="0"/>
          <w:numId w:val="1"/>
        </w:numPr>
        <w:spacing w:before="240"/>
        <w:rPr>
          <w:rFonts w:ascii="Book Antiqua" w:hAnsi="Book Antiqua" w:cs="Arial"/>
        </w:rPr>
      </w:pPr>
      <w:r w:rsidRPr="00507339">
        <w:rPr>
          <w:rFonts w:ascii="Book Antiqua" w:hAnsi="Book Antiqua" w:cs="Arial"/>
        </w:rPr>
        <w:lastRenderedPageBreak/>
        <w:t xml:space="preserve">His application was refused </w:t>
      </w:r>
      <w:r w:rsidR="00384D22">
        <w:rPr>
          <w:rFonts w:ascii="Book Antiqua" w:hAnsi="Book Antiqua" w:cs="Arial"/>
        </w:rPr>
        <w:t xml:space="preserve">on 26 February 2016 </w:t>
      </w:r>
      <w:r w:rsidRPr="00507339">
        <w:rPr>
          <w:rFonts w:ascii="Book Antiqua" w:hAnsi="Book Antiqua" w:cs="Arial"/>
        </w:rPr>
        <w:t xml:space="preserve">on the basis that </w:t>
      </w:r>
      <w:r w:rsidR="00755D3A" w:rsidRPr="00384D22">
        <w:rPr>
          <w:rFonts w:ascii="Book Antiqua" w:hAnsi="Book Antiqua" w:cs="Arial"/>
        </w:rPr>
        <w:t xml:space="preserve">Educational Testing Service (ETS) </w:t>
      </w:r>
      <w:r w:rsidR="00384D22">
        <w:rPr>
          <w:rFonts w:ascii="Book Antiqua" w:hAnsi="Book Antiqua" w:cs="Arial"/>
        </w:rPr>
        <w:t xml:space="preserve">had informed the respondent </w:t>
      </w:r>
      <w:r w:rsidR="00755D3A" w:rsidRPr="00384D22">
        <w:rPr>
          <w:rFonts w:ascii="Book Antiqua" w:hAnsi="Book Antiqua" w:cs="Arial"/>
        </w:rPr>
        <w:t>that there was significant evidence to conclude that fraud by the use of a proxy test taker was</w:t>
      </w:r>
      <w:r w:rsidR="00384D22">
        <w:rPr>
          <w:rFonts w:ascii="Book Antiqua" w:hAnsi="Book Antiqua" w:cs="Arial"/>
        </w:rPr>
        <w:t xml:space="preserve"> committed </w:t>
      </w:r>
      <w:r w:rsidR="00755D3A" w:rsidRPr="00384D22">
        <w:rPr>
          <w:rFonts w:ascii="Book Antiqua" w:hAnsi="Book Antiqua" w:cs="Arial"/>
        </w:rPr>
        <w:t>by the appellant in respect of a</w:t>
      </w:r>
      <w:r w:rsidR="00384D22">
        <w:rPr>
          <w:rFonts w:ascii="Book Antiqua" w:hAnsi="Book Antiqua" w:cs="Arial"/>
        </w:rPr>
        <w:t>n English language</w:t>
      </w:r>
      <w:r w:rsidR="00755D3A" w:rsidRPr="00384D22">
        <w:rPr>
          <w:rFonts w:ascii="Book Antiqua" w:hAnsi="Book Antiqua" w:cs="Arial"/>
        </w:rPr>
        <w:t xml:space="preserve"> test taken on 17 July 2013 at Universal Training Centre.</w:t>
      </w:r>
      <w:r w:rsidR="00384D22">
        <w:rPr>
          <w:rFonts w:ascii="Book Antiqua" w:hAnsi="Book Antiqua" w:cs="Arial"/>
        </w:rPr>
        <w:t xml:space="preserve"> The respondent therefore took the view that the appellant did not meet the suitability requirement</w:t>
      </w:r>
      <w:bookmarkStart w:id="2" w:name="KVWin_undostart"/>
      <w:bookmarkEnd w:id="2"/>
      <w:r w:rsidR="00384D22">
        <w:rPr>
          <w:rFonts w:ascii="Book Antiqua" w:hAnsi="Book Antiqua" w:cs="Arial"/>
        </w:rPr>
        <w:t xml:space="preserve">s under Appendix FM of the Immigration Rules. </w:t>
      </w:r>
      <w:r w:rsidR="00A8646B" w:rsidRPr="00384D22">
        <w:rPr>
          <w:rFonts w:ascii="Book Antiqua" w:hAnsi="Book Antiqua" w:cs="Arial"/>
        </w:rPr>
        <w:t>It is apparent from the respondent’s Reasons for Refusal Letter</w:t>
      </w:r>
      <w:r w:rsidR="007A2871" w:rsidRPr="00384D22">
        <w:rPr>
          <w:rFonts w:ascii="Book Antiqua" w:hAnsi="Book Antiqua" w:cs="Arial"/>
        </w:rPr>
        <w:t xml:space="preserve"> dated 26 </w:t>
      </w:r>
      <w:r w:rsidR="00A8646B" w:rsidRPr="00384D22">
        <w:rPr>
          <w:rFonts w:ascii="Book Antiqua" w:hAnsi="Book Antiqua" w:cs="Arial"/>
        </w:rPr>
        <w:t>February 2016</w:t>
      </w:r>
      <w:r w:rsidR="0070316F" w:rsidRPr="00384D22">
        <w:rPr>
          <w:rFonts w:ascii="Book Antiqua" w:hAnsi="Book Antiqua" w:cs="Arial"/>
        </w:rPr>
        <w:t xml:space="preserve"> that this was the sole reason for the appellant’s application being rejected.</w:t>
      </w:r>
    </w:p>
    <w:p w:rsidR="00A8646B" w:rsidRDefault="0070316F" w:rsidP="00C7659E">
      <w:pPr>
        <w:numPr>
          <w:ilvl w:val="0"/>
          <w:numId w:val="1"/>
        </w:numPr>
        <w:spacing w:before="240"/>
        <w:rPr>
          <w:rFonts w:ascii="Book Antiqua" w:hAnsi="Book Antiqua" w:cs="Arial"/>
        </w:rPr>
      </w:pPr>
      <w:r w:rsidRPr="00507339">
        <w:rPr>
          <w:rFonts w:ascii="Book Antiqua" w:hAnsi="Book Antiqua" w:cs="Arial"/>
        </w:rPr>
        <w:t xml:space="preserve">The appellant appealed </w:t>
      </w:r>
      <w:r w:rsidR="00132E0D" w:rsidRPr="00507339">
        <w:rPr>
          <w:rFonts w:ascii="Book Antiqua" w:hAnsi="Book Antiqua" w:cs="Arial"/>
        </w:rPr>
        <w:t>to the First-tier Tribunal where his appeal was heard by First-tier Tribunal Judge Boyes.  In</w:t>
      </w:r>
      <w:r w:rsidR="00384D22">
        <w:rPr>
          <w:rFonts w:ascii="Book Antiqua" w:hAnsi="Book Antiqua" w:cs="Arial"/>
        </w:rPr>
        <w:t xml:space="preserve"> a </w:t>
      </w:r>
      <w:r w:rsidR="00132E0D" w:rsidRPr="00507339">
        <w:rPr>
          <w:rFonts w:ascii="Book Antiqua" w:hAnsi="Book Antiqua" w:cs="Arial"/>
        </w:rPr>
        <w:t xml:space="preserve">decision promulgated on 1 February 2018 Judge Boyes allowed the appeal.  </w:t>
      </w:r>
      <w:r w:rsidR="000E2C84" w:rsidRPr="00507339">
        <w:rPr>
          <w:rFonts w:ascii="Book Antiqua" w:hAnsi="Book Antiqua" w:cs="Arial"/>
        </w:rPr>
        <w:t>The respondent is now appealing against that decision</w:t>
      </w:r>
      <w:r w:rsidR="001716FA" w:rsidRPr="00507339">
        <w:rPr>
          <w:rFonts w:ascii="Book Antiqua" w:hAnsi="Book Antiqua" w:cs="Arial"/>
        </w:rPr>
        <w:t>.</w:t>
      </w:r>
      <w:r w:rsidR="00D7138D" w:rsidRPr="00507339">
        <w:rPr>
          <w:rFonts w:ascii="Book Antiqua" w:hAnsi="Book Antiqua" w:cs="Arial"/>
        </w:rPr>
        <w:t xml:space="preserve">  </w:t>
      </w:r>
    </w:p>
    <w:p w:rsidR="00384D22" w:rsidRPr="00384D22" w:rsidRDefault="00384D22" w:rsidP="00384D22">
      <w:pPr>
        <w:spacing w:before="240"/>
        <w:rPr>
          <w:rFonts w:ascii="Book Antiqua" w:hAnsi="Book Antiqua" w:cs="Arial"/>
          <w:u w:val="single"/>
        </w:rPr>
      </w:pPr>
      <w:r w:rsidRPr="00384D22">
        <w:rPr>
          <w:rFonts w:ascii="Book Antiqua" w:hAnsi="Book Antiqua" w:cs="Arial"/>
          <w:u w:val="single"/>
        </w:rPr>
        <w:t>Decision of the First-tier Tribunal</w:t>
      </w:r>
    </w:p>
    <w:p w:rsidR="00504EAB" w:rsidRPr="00507339" w:rsidRDefault="00504EAB" w:rsidP="00C7659E">
      <w:pPr>
        <w:numPr>
          <w:ilvl w:val="0"/>
          <w:numId w:val="1"/>
        </w:numPr>
        <w:spacing w:before="240"/>
        <w:rPr>
          <w:rFonts w:ascii="Book Antiqua" w:hAnsi="Book Antiqua" w:cs="Arial"/>
        </w:rPr>
      </w:pPr>
      <w:r w:rsidRPr="00507339">
        <w:rPr>
          <w:rFonts w:ascii="Book Antiqua" w:hAnsi="Book Antiqua" w:cs="Arial"/>
        </w:rPr>
        <w:t xml:space="preserve">The judge considered the evidence adduced by the respondent to show that the appellant had engaged in fraud.  This consisted of witness statements from </w:t>
      </w:r>
      <w:r w:rsidR="00384D22">
        <w:rPr>
          <w:rFonts w:ascii="Book Antiqua" w:hAnsi="Book Antiqua" w:cs="Arial"/>
        </w:rPr>
        <w:t xml:space="preserve">civil servants </w:t>
      </w:r>
      <w:r w:rsidRPr="00507339">
        <w:rPr>
          <w:rFonts w:ascii="Book Antiqua" w:hAnsi="Book Antiqua" w:cs="Arial"/>
        </w:rPr>
        <w:t>Rebecca Collings and Peter Millington, expert evidence in relation to the investigations of fraud</w:t>
      </w:r>
      <w:r w:rsidR="00384D22">
        <w:rPr>
          <w:rFonts w:ascii="Book Antiqua" w:hAnsi="Book Antiqua" w:cs="Arial"/>
        </w:rPr>
        <w:t xml:space="preserve"> at ETS test centres,</w:t>
      </w:r>
      <w:r w:rsidRPr="00507339">
        <w:rPr>
          <w:rFonts w:ascii="Book Antiqua" w:hAnsi="Book Antiqua" w:cs="Arial"/>
        </w:rPr>
        <w:t xml:space="preserve"> and a statement </w:t>
      </w:r>
      <w:r w:rsidR="00D30562" w:rsidRPr="00507339">
        <w:rPr>
          <w:rFonts w:ascii="Book Antiqua" w:hAnsi="Book Antiqua" w:cs="Arial"/>
        </w:rPr>
        <w:t>by a Home Office employee, Michael Sartorius</w:t>
      </w:r>
      <w:r w:rsidR="00384D22">
        <w:rPr>
          <w:rFonts w:ascii="Book Antiqua" w:hAnsi="Book Antiqua" w:cs="Arial"/>
        </w:rPr>
        <w:t>,</w:t>
      </w:r>
      <w:r w:rsidR="00D30562" w:rsidRPr="00507339">
        <w:rPr>
          <w:rFonts w:ascii="Book Antiqua" w:hAnsi="Book Antiqua" w:cs="Arial"/>
        </w:rPr>
        <w:t xml:space="preserve"> </w:t>
      </w:r>
      <w:r w:rsidR="00972531" w:rsidRPr="00507339">
        <w:rPr>
          <w:rFonts w:ascii="Book Antiqua" w:hAnsi="Book Antiqua" w:cs="Arial"/>
        </w:rPr>
        <w:t>appended to which were documents purporting to link the appellant to the widespread practice of deception as summarised in the witness statements of Rebecca Collings and Peter Millington</w:t>
      </w:r>
      <w:r w:rsidR="003C4CCD" w:rsidRPr="00507339">
        <w:rPr>
          <w:rFonts w:ascii="Book Antiqua" w:hAnsi="Book Antiqua" w:cs="Arial"/>
        </w:rPr>
        <w:t>.</w:t>
      </w:r>
    </w:p>
    <w:p w:rsidR="003C4CCD" w:rsidRPr="00507339" w:rsidRDefault="003C4CCD" w:rsidP="00C7659E">
      <w:pPr>
        <w:numPr>
          <w:ilvl w:val="0"/>
          <w:numId w:val="1"/>
        </w:numPr>
        <w:spacing w:before="240"/>
        <w:rPr>
          <w:rFonts w:ascii="Book Antiqua" w:hAnsi="Book Antiqua" w:cs="Arial"/>
        </w:rPr>
      </w:pPr>
      <w:r w:rsidRPr="00507339">
        <w:rPr>
          <w:rFonts w:ascii="Book Antiqua" w:hAnsi="Book Antiqua" w:cs="Arial"/>
        </w:rPr>
        <w:t xml:space="preserve">The evidence said by the respondent </w:t>
      </w:r>
      <w:r w:rsidR="007170B1" w:rsidRPr="00507339">
        <w:rPr>
          <w:rFonts w:ascii="Book Antiqua" w:hAnsi="Book Antiqua" w:cs="Arial"/>
        </w:rPr>
        <w:t>to link the appellant to the widespread fraud comprised of the following</w:t>
      </w:r>
      <w:r w:rsidR="00384D22">
        <w:rPr>
          <w:rFonts w:ascii="Book Antiqua" w:hAnsi="Book Antiqua" w:cs="Arial"/>
        </w:rPr>
        <w:t>:</w:t>
      </w:r>
      <w:r w:rsidR="007170B1" w:rsidRPr="00507339">
        <w:rPr>
          <w:rFonts w:ascii="Book Antiqua" w:hAnsi="Book Antiqua" w:cs="Arial"/>
        </w:rPr>
        <w:t xml:space="preserve">  </w:t>
      </w:r>
    </w:p>
    <w:p w:rsidR="007170B1" w:rsidRPr="00507339" w:rsidRDefault="00384D22" w:rsidP="002D6BCB">
      <w:pPr>
        <w:numPr>
          <w:ilvl w:val="0"/>
          <w:numId w:val="3"/>
        </w:numPr>
        <w:spacing w:before="240"/>
        <w:ind w:left="1134" w:hanging="567"/>
        <w:rPr>
          <w:rFonts w:ascii="Book Antiqua" w:hAnsi="Book Antiqua" w:cs="Arial"/>
        </w:rPr>
      </w:pPr>
      <w:r>
        <w:rPr>
          <w:rFonts w:ascii="Book Antiqua" w:hAnsi="Book Antiqua" w:cs="Arial"/>
        </w:rPr>
        <w:t>A</w:t>
      </w:r>
      <w:r w:rsidR="0027477D" w:rsidRPr="00507339">
        <w:rPr>
          <w:rFonts w:ascii="Book Antiqua" w:hAnsi="Book Antiqua" w:cs="Arial"/>
        </w:rPr>
        <w:t xml:space="preserve">n </w:t>
      </w:r>
      <w:r w:rsidR="002D6BCB" w:rsidRPr="00507339">
        <w:rPr>
          <w:rFonts w:ascii="Book Antiqua" w:hAnsi="Book Antiqua" w:cs="Arial"/>
        </w:rPr>
        <w:t xml:space="preserve">extract from a spreadsheet which is titled ETS SELT </w:t>
      </w:r>
      <w:r>
        <w:rPr>
          <w:rFonts w:ascii="Book Antiqua" w:hAnsi="Book Antiqua" w:cs="Arial"/>
        </w:rPr>
        <w:t xml:space="preserve">SOURCE DATA </w:t>
      </w:r>
      <w:r w:rsidR="002D6BCB" w:rsidRPr="00507339">
        <w:rPr>
          <w:rFonts w:ascii="Book Antiqua" w:hAnsi="Book Antiqua" w:cs="Arial"/>
        </w:rPr>
        <w:t>where the name and date of birth of the appellant</w:t>
      </w:r>
      <w:r w:rsidR="00E63846">
        <w:rPr>
          <w:rFonts w:ascii="Book Antiqua" w:hAnsi="Book Antiqua" w:cs="Arial"/>
        </w:rPr>
        <w:t xml:space="preserve"> is</w:t>
      </w:r>
      <w:r w:rsidR="00824ED5" w:rsidRPr="00507339">
        <w:rPr>
          <w:rFonts w:ascii="Book Antiqua" w:hAnsi="Book Antiqua" w:cs="Arial"/>
        </w:rPr>
        <w:t xml:space="preserve"> given</w:t>
      </w:r>
      <w:r w:rsidR="002F634A" w:rsidRPr="00507339">
        <w:rPr>
          <w:rFonts w:ascii="Book Antiqua" w:hAnsi="Book Antiqua" w:cs="Arial"/>
        </w:rPr>
        <w:t>,</w:t>
      </w:r>
      <w:r w:rsidR="00824ED5" w:rsidRPr="00507339">
        <w:rPr>
          <w:rFonts w:ascii="Book Antiqua" w:hAnsi="Book Antiqua" w:cs="Arial"/>
        </w:rPr>
        <w:t xml:space="preserve"> al</w:t>
      </w:r>
      <w:r>
        <w:rPr>
          <w:rFonts w:ascii="Book Antiqua" w:hAnsi="Book Antiqua" w:cs="Arial"/>
        </w:rPr>
        <w:t>ong with the test centre (</w:t>
      </w:r>
      <w:r w:rsidR="00824ED5" w:rsidRPr="00507339">
        <w:rPr>
          <w:rFonts w:ascii="Book Antiqua" w:hAnsi="Book Antiqua" w:cs="Arial"/>
        </w:rPr>
        <w:t>Universal Training Centre</w:t>
      </w:r>
      <w:r w:rsidR="000D7030" w:rsidRPr="00507339">
        <w:rPr>
          <w:rFonts w:ascii="Book Antiqua" w:hAnsi="Book Antiqua" w:cs="Arial"/>
        </w:rPr>
        <w:t>) and a test date of 17 July 2013</w:t>
      </w:r>
      <w:r w:rsidR="001719BD" w:rsidRPr="00507339">
        <w:rPr>
          <w:rFonts w:ascii="Book Antiqua" w:hAnsi="Book Antiqua" w:cs="Arial"/>
        </w:rPr>
        <w:t xml:space="preserve">.  Under a heading </w:t>
      </w:r>
      <w:r>
        <w:rPr>
          <w:rFonts w:ascii="Book Antiqua" w:hAnsi="Book Antiqua" w:cs="Arial"/>
        </w:rPr>
        <w:t>“Inv/Quest”</w:t>
      </w:r>
      <w:r w:rsidR="000C442F" w:rsidRPr="00507339">
        <w:rPr>
          <w:rFonts w:ascii="Book Antiqua" w:hAnsi="Book Antiqua" w:cstheme="minorHAnsi"/>
        </w:rPr>
        <w:t xml:space="preserve"> </w:t>
      </w:r>
      <w:r w:rsidR="0027477D" w:rsidRPr="00507339">
        <w:rPr>
          <w:rFonts w:ascii="Book Antiqua" w:hAnsi="Book Antiqua" w:cstheme="minorHAnsi"/>
        </w:rPr>
        <w:t>it is sta</w:t>
      </w:r>
      <w:r>
        <w:rPr>
          <w:rFonts w:ascii="Book Antiqua" w:hAnsi="Book Antiqua" w:cstheme="minorHAnsi"/>
        </w:rPr>
        <w:t>ted that the test was “invalid”.</w:t>
      </w:r>
      <w:r w:rsidR="0027477D" w:rsidRPr="00507339">
        <w:rPr>
          <w:rFonts w:ascii="Book Antiqua" w:hAnsi="Book Antiqua" w:cstheme="minorHAnsi"/>
        </w:rPr>
        <w:t xml:space="preserve">     </w:t>
      </w:r>
    </w:p>
    <w:p w:rsidR="002B6C65" w:rsidRPr="00E63846" w:rsidRDefault="00E63846" w:rsidP="00E63846">
      <w:pPr>
        <w:numPr>
          <w:ilvl w:val="0"/>
          <w:numId w:val="3"/>
        </w:numPr>
        <w:spacing w:before="240"/>
        <w:ind w:left="1134" w:hanging="567"/>
        <w:rPr>
          <w:rFonts w:ascii="Book Antiqua" w:hAnsi="Book Antiqua" w:cs="Arial"/>
        </w:rPr>
      </w:pPr>
      <w:r>
        <w:rPr>
          <w:rFonts w:ascii="Book Antiqua" w:hAnsi="Book Antiqua" w:cs="Arial"/>
        </w:rPr>
        <w:t>T</w:t>
      </w:r>
      <w:r w:rsidR="0027477D" w:rsidRPr="00507339">
        <w:rPr>
          <w:rFonts w:ascii="Book Antiqua" w:hAnsi="Book Antiqua" w:cs="Arial"/>
        </w:rPr>
        <w:t xml:space="preserve">wo documents headed ETS TOEIC </w:t>
      </w:r>
      <w:r>
        <w:rPr>
          <w:rFonts w:ascii="Book Antiqua" w:hAnsi="Book Antiqua" w:cs="Arial"/>
        </w:rPr>
        <w:t>TEST CENTRE LOOK UP</w:t>
      </w:r>
      <w:r w:rsidR="0027477D" w:rsidRPr="00507339">
        <w:rPr>
          <w:rFonts w:ascii="Book Antiqua" w:hAnsi="Book Antiqua" w:cs="Arial"/>
        </w:rPr>
        <w:t>, both giving the date of 17 July 2013 and the test centre as Universal Training Centre.  One of the docume</w:t>
      </w:r>
      <w:r>
        <w:rPr>
          <w:rFonts w:ascii="Book Antiqua" w:hAnsi="Book Antiqua" w:cs="Arial"/>
        </w:rPr>
        <w:t>nts gives as test time “A.M</w:t>
      </w:r>
      <w:r w:rsidR="00D7589C" w:rsidRPr="00507339">
        <w:rPr>
          <w:rFonts w:ascii="Book Antiqua" w:hAnsi="Book Antiqua" w:cs="Arial"/>
        </w:rPr>
        <w:t>.</w:t>
      </w:r>
      <w:r w:rsidR="0027477D" w:rsidRPr="00507339">
        <w:rPr>
          <w:rFonts w:ascii="Book Antiqua" w:hAnsi="Book Antiqua" w:cs="Arial"/>
        </w:rPr>
        <w:t>” and states that there were a total of three tests taken</w:t>
      </w:r>
      <w:r w:rsidR="002138EF" w:rsidRPr="00507339">
        <w:rPr>
          <w:rFonts w:ascii="Book Antiqua" w:hAnsi="Book Antiqua" w:cs="Arial"/>
        </w:rPr>
        <w:t>,</w:t>
      </w:r>
      <w:r w:rsidR="0027477D" w:rsidRPr="00507339">
        <w:rPr>
          <w:rFonts w:ascii="Book Antiqua" w:hAnsi="Book Antiqua" w:cs="Arial"/>
        </w:rPr>
        <w:t xml:space="preserve"> all of which were</w:t>
      </w:r>
      <w:r>
        <w:rPr>
          <w:rFonts w:ascii="Book Antiqua" w:hAnsi="Book Antiqua" w:cs="Arial"/>
        </w:rPr>
        <w:t xml:space="preserve"> given the status of “questionable”. None were said to be “invalid”. The other document with the same name is identical, other than </w:t>
      </w:r>
      <w:r w:rsidR="00D7589C" w:rsidRPr="00E63846">
        <w:rPr>
          <w:rFonts w:ascii="Book Antiqua" w:hAnsi="Book Antiqua" w:cs="Arial"/>
        </w:rPr>
        <w:t>the test time is given as</w:t>
      </w:r>
      <w:r>
        <w:rPr>
          <w:rFonts w:ascii="Book Antiqua" w:hAnsi="Book Antiqua" w:cs="Arial"/>
        </w:rPr>
        <w:t xml:space="preserve"> P.M</w:t>
      </w:r>
      <w:r w:rsidR="00D7589C" w:rsidRPr="00E63846">
        <w:rPr>
          <w:rFonts w:ascii="Book Antiqua" w:hAnsi="Book Antiqua" w:cs="Arial"/>
        </w:rPr>
        <w:t>.</w:t>
      </w:r>
      <w:r w:rsidR="00204890">
        <w:rPr>
          <w:rFonts w:ascii="Book Antiqua" w:hAnsi="Book Antiqua" w:cs="Arial"/>
        </w:rPr>
        <w:t xml:space="preserve"> and the 10 tests are said to have been taken. </w:t>
      </w:r>
      <w:r w:rsidR="00D7589C" w:rsidRPr="00E63846">
        <w:rPr>
          <w:rFonts w:ascii="Book Antiqua" w:hAnsi="Book Antiqua" w:cs="Arial"/>
        </w:rPr>
        <w:t xml:space="preserve"> </w:t>
      </w:r>
      <w:r>
        <w:rPr>
          <w:rFonts w:ascii="Book Antiqua" w:hAnsi="Book Antiqua" w:cs="Arial"/>
        </w:rPr>
        <w:t>The status of all 10 tests is said to be “questionable” and none are said to be “invalid”.</w:t>
      </w:r>
    </w:p>
    <w:p w:rsidR="00BB05D6" w:rsidRPr="00507339" w:rsidRDefault="00080214" w:rsidP="002B6C65">
      <w:pPr>
        <w:numPr>
          <w:ilvl w:val="0"/>
          <w:numId w:val="1"/>
        </w:numPr>
        <w:tabs>
          <w:tab w:val="clear" w:pos="567"/>
        </w:tabs>
        <w:spacing w:before="240"/>
        <w:rPr>
          <w:rFonts w:ascii="Book Antiqua" w:hAnsi="Book Antiqua" w:cs="Arial"/>
        </w:rPr>
      </w:pPr>
      <w:r w:rsidRPr="00507339">
        <w:rPr>
          <w:rFonts w:ascii="Book Antiqua" w:hAnsi="Book Antiqua" w:cs="Arial"/>
        </w:rPr>
        <w:t>At paragraph</w:t>
      </w:r>
      <w:r w:rsidR="00E63846">
        <w:rPr>
          <w:rFonts w:ascii="Book Antiqua" w:hAnsi="Book Antiqua" w:cs="Arial"/>
        </w:rPr>
        <w:t>s</w:t>
      </w:r>
      <w:r w:rsidRPr="00507339">
        <w:rPr>
          <w:rFonts w:ascii="Book Antiqua" w:hAnsi="Book Antiqua" w:cs="Arial"/>
        </w:rPr>
        <w:t xml:space="preserve"> 27</w:t>
      </w:r>
      <w:r w:rsidR="00E63846">
        <w:rPr>
          <w:rFonts w:ascii="Book Antiqua" w:hAnsi="Book Antiqua" w:cs="Arial"/>
        </w:rPr>
        <w:t xml:space="preserve"> – 29</w:t>
      </w:r>
      <w:r w:rsidR="00B67F2F" w:rsidRPr="00507339">
        <w:rPr>
          <w:rFonts w:ascii="Book Antiqua" w:hAnsi="Book Antiqua" w:cs="Arial"/>
        </w:rPr>
        <w:t xml:space="preserve"> of the decision</w:t>
      </w:r>
      <w:r w:rsidR="00BB05D6" w:rsidRPr="00507339">
        <w:rPr>
          <w:rFonts w:ascii="Book Antiqua" w:hAnsi="Book Antiqua" w:cs="Arial"/>
        </w:rPr>
        <w:t xml:space="preserve"> the judge stated</w:t>
      </w:r>
      <w:r w:rsidR="00E63846">
        <w:rPr>
          <w:rFonts w:ascii="Book Antiqua" w:hAnsi="Book Antiqua" w:cs="Arial"/>
        </w:rPr>
        <w:t>:</w:t>
      </w:r>
      <w:r w:rsidR="00BB05D6" w:rsidRPr="00507339">
        <w:rPr>
          <w:rFonts w:ascii="Book Antiqua" w:hAnsi="Book Antiqua" w:cs="Arial"/>
        </w:rPr>
        <w:t xml:space="preserve">        </w:t>
      </w:r>
    </w:p>
    <w:p w:rsidR="0027477D" w:rsidRPr="00E63846" w:rsidRDefault="00D84167" w:rsidP="00D84167">
      <w:pPr>
        <w:spacing w:before="240"/>
        <w:ind w:left="1134" w:hanging="567"/>
        <w:rPr>
          <w:rFonts w:ascii="Book Antiqua" w:hAnsi="Book Antiqua" w:cs="Arial"/>
          <w:i/>
          <w:sz w:val="22"/>
          <w:szCs w:val="22"/>
        </w:rPr>
      </w:pPr>
      <w:r w:rsidRPr="00507339">
        <w:rPr>
          <w:rFonts w:ascii="Book Antiqua" w:hAnsi="Book Antiqua" w:cs="Arial"/>
        </w:rPr>
        <w:t>27</w:t>
      </w:r>
      <w:r w:rsidRPr="00E63846">
        <w:rPr>
          <w:rFonts w:ascii="Book Antiqua" w:hAnsi="Book Antiqua" w:cs="Arial"/>
          <w:i/>
          <w:sz w:val="22"/>
          <w:szCs w:val="22"/>
        </w:rPr>
        <w:t>.</w:t>
      </w:r>
      <w:r w:rsidRPr="00E63846">
        <w:rPr>
          <w:rFonts w:ascii="Book Antiqua" w:hAnsi="Book Antiqua" w:cs="Arial"/>
          <w:i/>
          <w:sz w:val="22"/>
          <w:szCs w:val="22"/>
        </w:rPr>
        <w:tab/>
      </w:r>
      <w:r w:rsidR="00BB05D6" w:rsidRPr="00E63846">
        <w:rPr>
          <w:rFonts w:ascii="Book Antiqua" w:hAnsi="Book Antiqua" w:cs="Arial"/>
          <w:i/>
          <w:sz w:val="22"/>
          <w:szCs w:val="22"/>
        </w:rPr>
        <w:t xml:space="preserve">The </w:t>
      </w:r>
      <w:r w:rsidR="00B67F2F" w:rsidRPr="00E63846">
        <w:rPr>
          <w:rFonts w:ascii="Book Antiqua" w:hAnsi="Book Antiqua" w:cs="Arial"/>
          <w:i/>
          <w:sz w:val="22"/>
          <w:szCs w:val="22"/>
        </w:rPr>
        <w:t xml:space="preserve">respondent has provided a document entitled ETS </w:t>
      </w:r>
      <w:r w:rsidR="00EB7038" w:rsidRPr="00E63846">
        <w:rPr>
          <w:rFonts w:ascii="Book Antiqua" w:hAnsi="Book Antiqua" w:cs="Arial"/>
          <w:i/>
          <w:sz w:val="22"/>
          <w:szCs w:val="22"/>
        </w:rPr>
        <w:t xml:space="preserve">SELT </w:t>
      </w:r>
      <w:r w:rsidR="00B67F2F" w:rsidRPr="00E63846">
        <w:rPr>
          <w:rFonts w:ascii="Book Antiqua" w:hAnsi="Book Antiqua" w:cs="Arial"/>
          <w:i/>
          <w:sz w:val="22"/>
          <w:szCs w:val="22"/>
        </w:rPr>
        <w:t xml:space="preserve">source data.  It refers to the result of the test taken by the appellant on 17 July 2013 at Universal Training Centre as being invalid.  I understand that the data in this document is provided to the respondent by ETS.  The respondent has also provided two documents both entitled ETS TOEIC test centre look up tool for Universal Training Centre for 17 July 2013.  One document includes the results for the morning of that day and one for the afternoon of the same day.  For the morning of that day it </w:t>
      </w:r>
      <w:r w:rsidR="00B67F2F" w:rsidRPr="00E63846">
        <w:rPr>
          <w:rFonts w:ascii="Book Antiqua" w:hAnsi="Book Antiqua" w:cs="Arial"/>
          <w:i/>
          <w:sz w:val="22"/>
          <w:szCs w:val="22"/>
        </w:rPr>
        <w:lastRenderedPageBreak/>
        <w:t xml:space="preserve">states that three tests were taken, none were released, three </w:t>
      </w:r>
      <w:r w:rsidR="00E63846">
        <w:rPr>
          <w:rFonts w:ascii="Book Antiqua" w:hAnsi="Book Antiqua" w:cs="Arial"/>
          <w:i/>
          <w:sz w:val="22"/>
          <w:szCs w:val="22"/>
        </w:rPr>
        <w:t>(</w:t>
      </w:r>
      <w:r w:rsidR="00B67F2F" w:rsidRPr="00E63846">
        <w:rPr>
          <w:rFonts w:ascii="Book Antiqua" w:hAnsi="Book Antiqua" w:cs="Arial"/>
          <w:i/>
          <w:sz w:val="22"/>
          <w:szCs w:val="22"/>
        </w:rPr>
        <w:t>100%</w:t>
      </w:r>
      <w:r w:rsidR="00E63846">
        <w:rPr>
          <w:rFonts w:ascii="Book Antiqua" w:hAnsi="Book Antiqua" w:cs="Arial"/>
          <w:i/>
          <w:sz w:val="22"/>
          <w:szCs w:val="22"/>
        </w:rPr>
        <w:t>)</w:t>
      </w:r>
      <w:r w:rsidR="00B67F2F" w:rsidRPr="00E63846">
        <w:rPr>
          <w:rFonts w:ascii="Book Antiqua" w:hAnsi="Book Antiqua" w:cs="Arial"/>
          <w:i/>
          <w:sz w:val="22"/>
          <w:szCs w:val="22"/>
        </w:rPr>
        <w:t xml:space="preserve"> were questionable and none were invalid.  For the afternoon it states that ten tests were taken, none were released, ten </w:t>
      </w:r>
      <w:r w:rsidR="00E63846">
        <w:rPr>
          <w:rFonts w:ascii="Book Antiqua" w:hAnsi="Book Antiqua" w:cs="Arial"/>
          <w:i/>
          <w:sz w:val="22"/>
          <w:szCs w:val="22"/>
        </w:rPr>
        <w:t>(</w:t>
      </w:r>
      <w:r w:rsidR="00B67F2F" w:rsidRPr="00E63846">
        <w:rPr>
          <w:rFonts w:ascii="Book Antiqua" w:hAnsi="Book Antiqua" w:cs="Arial"/>
          <w:i/>
          <w:sz w:val="22"/>
          <w:szCs w:val="22"/>
        </w:rPr>
        <w:t>100%</w:t>
      </w:r>
      <w:r w:rsidR="00E63846">
        <w:rPr>
          <w:rFonts w:ascii="Book Antiqua" w:hAnsi="Book Antiqua" w:cs="Arial"/>
          <w:i/>
          <w:sz w:val="22"/>
          <w:szCs w:val="22"/>
        </w:rPr>
        <w:t>)</w:t>
      </w:r>
      <w:r w:rsidR="00B67F2F" w:rsidRPr="00E63846">
        <w:rPr>
          <w:rFonts w:ascii="Book Antiqua" w:hAnsi="Book Antiqua" w:cs="Arial"/>
          <w:i/>
          <w:sz w:val="22"/>
          <w:szCs w:val="22"/>
        </w:rPr>
        <w:t xml:space="preserve"> were quest</w:t>
      </w:r>
      <w:r w:rsidR="00EB7038" w:rsidRPr="00E63846">
        <w:rPr>
          <w:rFonts w:ascii="Book Antiqua" w:hAnsi="Book Antiqua" w:cs="Arial"/>
          <w:i/>
          <w:sz w:val="22"/>
          <w:szCs w:val="22"/>
        </w:rPr>
        <w:t xml:space="preserve">ionable and none were invalid.  </w:t>
      </w:r>
      <w:r w:rsidR="002B6C65" w:rsidRPr="00E63846">
        <w:rPr>
          <w:rFonts w:ascii="Book Antiqua" w:hAnsi="Book Antiqua" w:cs="Arial"/>
          <w:i/>
          <w:sz w:val="22"/>
          <w:szCs w:val="22"/>
        </w:rPr>
        <w:t xml:space="preserve">Mr Sartorius states at paragraph 10 of his witness statement that the information in the ETS TOEIC test centre look up tool is taken from the same ETS data.  If that is the case I am unable to reconcile what is stated in the ETS </w:t>
      </w:r>
      <w:r w:rsidR="00EB7038" w:rsidRPr="00E63846">
        <w:rPr>
          <w:rFonts w:ascii="Book Antiqua" w:hAnsi="Book Antiqua" w:cs="Arial"/>
          <w:i/>
          <w:sz w:val="22"/>
          <w:szCs w:val="22"/>
        </w:rPr>
        <w:t xml:space="preserve">SELT </w:t>
      </w:r>
      <w:r w:rsidR="002B6C65" w:rsidRPr="00E63846">
        <w:rPr>
          <w:rFonts w:ascii="Book Antiqua" w:hAnsi="Book Antiqua" w:cs="Arial"/>
          <w:i/>
          <w:sz w:val="22"/>
          <w:szCs w:val="22"/>
        </w:rPr>
        <w:t>source data with what is recorded in the ETS TOEIC test centre look up tool.  It is unclear how the appellant’s test results could be invalid if the only results recorded for 17 July 2013 were questionable rather than invalid.  This inconsistency raises serious concerns regarding the reliability of the data relied upon</w:t>
      </w:r>
      <w:r w:rsidR="007C59F7" w:rsidRPr="00E63846">
        <w:rPr>
          <w:rFonts w:ascii="Book Antiqua" w:hAnsi="Book Antiqua" w:cs="Arial"/>
          <w:i/>
          <w:sz w:val="22"/>
          <w:szCs w:val="22"/>
        </w:rPr>
        <w:t xml:space="preserve"> </w:t>
      </w:r>
      <w:r w:rsidR="002B6C65" w:rsidRPr="00E63846">
        <w:rPr>
          <w:rFonts w:ascii="Book Antiqua" w:hAnsi="Book Antiqua" w:cstheme="minorHAnsi"/>
          <w:i/>
          <w:sz w:val="22"/>
          <w:szCs w:val="22"/>
        </w:rPr>
        <w:t>the respondent as both documents cannot be correct</w:t>
      </w:r>
      <w:r w:rsidR="007C59F7" w:rsidRPr="00E63846">
        <w:rPr>
          <w:rFonts w:ascii="Book Antiqua" w:hAnsi="Book Antiqua" w:cstheme="minorHAnsi"/>
          <w:i/>
          <w:sz w:val="22"/>
          <w:szCs w:val="22"/>
        </w:rPr>
        <w:t xml:space="preserve">.         </w:t>
      </w:r>
    </w:p>
    <w:p w:rsidR="00732584" w:rsidRPr="00E63846" w:rsidRDefault="00732584" w:rsidP="00732584">
      <w:pPr>
        <w:spacing w:before="240"/>
        <w:ind w:left="1134" w:hanging="567"/>
        <w:rPr>
          <w:rFonts w:ascii="Book Antiqua" w:hAnsi="Book Antiqua" w:cstheme="minorHAnsi"/>
          <w:i/>
          <w:sz w:val="22"/>
          <w:szCs w:val="22"/>
        </w:rPr>
      </w:pPr>
      <w:r w:rsidRPr="00E63846">
        <w:rPr>
          <w:rFonts w:ascii="Book Antiqua" w:hAnsi="Book Antiqua" w:cstheme="minorHAnsi"/>
          <w:i/>
          <w:sz w:val="22"/>
          <w:szCs w:val="22"/>
        </w:rPr>
        <w:t xml:space="preserve">28. </w:t>
      </w:r>
      <w:r w:rsidRPr="00E63846">
        <w:rPr>
          <w:rFonts w:ascii="Book Antiqua" w:hAnsi="Book Antiqua" w:cstheme="minorHAnsi"/>
          <w:i/>
          <w:sz w:val="22"/>
          <w:szCs w:val="22"/>
        </w:rPr>
        <w:tab/>
        <w:t xml:space="preserve">I have not been provided with the voice recording of the appellant’s test.   </w:t>
      </w:r>
    </w:p>
    <w:p w:rsidR="00732584" w:rsidRPr="00E63846" w:rsidRDefault="00732584" w:rsidP="00732584">
      <w:pPr>
        <w:spacing w:before="240"/>
        <w:ind w:left="1134" w:hanging="567"/>
        <w:rPr>
          <w:rFonts w:ascii="Book Antiqua" w:hAnsi="Book Antiqua" w:cs="Arial"/>
          <w:i/>
          <w:sz w:val="22"/>
          <w:szCs w:val="22"/>
        </w:rPr>
      </w:pPr>
      <w:r w:rsidRPr="00E63846">
        <w:rPr>
          <w:rFonts w:ascii="Book Antiqua" w:hAnsi="Book Antiqua" w:cstheme="minorHAnsi"/>
          <w:i/>
          <w:sz w:val="22"/>
          <w:szCs w:val="22"/>
        </w:rPr>
        <w:t xml:space="preserve">29. </w:t>
      </w:r>
      <w:r w:rsidRPr="00E63846">
        <w:rPr>
          <w:rFonts w:ascii="Book Antiqua" w:hAnsi="Book Antiqua" w:cstheme="minorHAnsi"/>
          <w:i/>
          <w:sz w:val="22"/>
          <w:szCs w:val="22"/>
        </w:rPr>
        <w:tab/>
        <w:t xml:space="preserve">Taking into account the above factors including the Secretary of State’s generic evidence combined with her evidence particular to this appellant which is unclear as to whether ETS classified the test as questionable or invalid, the respondent has not discharged the evidential burden of proving that the appellant’s TOEIC certificate was procured by dishonesty.  </w:t>
      </w:r>
    </w:p>
    <w:p w:rsidR="00E63846" w:rsidRDefault="00FE0F35" w:rsidP="00273201">
      <w:pPr>
        <w:numPr>
          <w:ilvl w:val="0"/>
          <w:numId w:val="1"/>
        </w:numPr>
        <w:tabs>
          <w:tab w:val="clear" w:pos="567"/>
        </w:tabs>
        <w:spacing w:before="240"/>
        <w:rPr>
          <w:rFonts w:ascii="Book Antiqua" w:hAnsi="Book Antiqua" w:cs="Arial"/>
        </w:rPr>
      </w:pPr>
      <w:r w:rsidRPr="00507339">
        <w:rPr>
          <w:rFonts w:ascii="Book Antiqua" w:hAnsi="Book Antiqua" w:cs="Arial"/>
        </w:rPr>
        <w:t xml:space="preserve">The </w:t>
      </w:r>
      <w:r w:rsidR="00E63846">
        <w:rPr>
          <w:rFonts w:ascii="Book Antiqua" w:hAnsi="Book Antiqua" w:cs="Arial"/>
        </w:rPr>
        <w:t xml:space="preserve">judge allowed the appeal on the basis </w:t>
      </w:r>
      <w:r w:rsidRPr="00507339">
        <w:rPr>
          <w:rFonts w:ascii="Book Antiqua" w:hAnsi="Book Antiqua" w:cs="Arial"/>
        </w:rPr>
        <w:t xml:space="preserve">that the respondent had failed to meet the initial evidential burden of showing the TOEIC certificate was procured by dishonesty. </w:t>
      </w:r>
      <w:r w:rsidR="00E63846">
        <w:rPr>
          <w:rFonts w:ascii="Book Antiqua" w:hAnsi="Book Antiqua" w:cs="Arial"/>
        </w:rPr>
        <w:t>The judge also found that even if the initial burden had not been met he would have allowed the appeal as he found that the appellant’s innocent explanation was persuasive and that the respondent was unable to discharge the legal burden of proving dishonesty.</w:t>
      </w:r>
    </w:p>
    <w:p w:rsidR="00E63846" w:rsidRPr="00E63846" w:rsidRDefault="00E63846" w:rsidP="00E63846">
      <w:pPr>
        <w:spacing w:before="240"/>
        <w:rPr>
          <w:rFonts w:ascii="Book Antiqua" w:hAnsi="Book Antiqua" w:cs="Arial"/>
          <w:u w:val="single"/>
        </w:rPr>
      </w:pPr>
      <w:r w:rsidRPr="00E63846">
        <w:rPr>
          <w:rFonts w:ascii="Book Antiqua" w:hAnsi="Book Antiqua" w:cs="Arial"/>
          <w:u w:val="single"/>
        </w:rPr>
        <w:t>Grounds of appeal and submissions</w:t>
      </w:r>
    </w:p>
    <w:p w:rsidR="0006187A" w:rsidRPr="00507339" w:rsidRDefault="00AE106B" w:rsidP="00273201">
      <w:pPr>
        <w:numPr>
          <w:ilvl w:val="0"/>
          <w:numId w:val="1"/>
        </w:numPr>
        <w:tabs>
          <w:tab w:val="clear" w:pos="567"/>
        </w:tabs>
        <w:spacing w:before="240"/>
        <w:rPr>
          <w:rFonts w:ascii="Book Antiqua" w:hAnsi="Book Antiqua" w:cs="Arial"/>
        </w:rPr>
      </w:pPr>
      <w:r w:rsidRPr="00507339">
        <w:rPr>
          <w:rFonts w:ascii="Book Antiqua" w:hAnsi="Book Antiqua" w:cs="Arial"/>
        </w:rPr>
        <w:t>The grounds of appeal argue that the judge failed to assess correctly the burden of proof in line with established case law concerning allegations of fraud where an appellant has been accused of using deception in an ETS test.  The grounds state that the case law makes it clear that the</w:t>
      </w:r>
      <w:r w:rsidR="00E63846">
        <w:rPr>
          <w:rFonts w:ascii="Book Antiqua" w:hAnsi="Book Antiqua" w:cs="Arial"/>
        </w:rPr>
        <w:t xml:space="preserve"> evidence submitted by the respondent in this appeal was sufficient to discharge</w:t>
      </w:r>
      <w:r w:rsidRPr="00507339">
        <w:rPr>
          <w:rFonts w:ascii="Book Antiqua" w:hAnsi="Book Antiqua" w:cs="Arial"/>
        </w:rPr>
        <w:t xml:space="preserve"> the evidential burden and it is contended that the judge erred by failing to appreciate this.</w:t>
      </w:r>
    </w:p>
    <w:p w:rsidR="00AE106B" w:rsidRPr="00507339" w:rsidRDefault="00297559" w:rsidP="00273201">
      <w:pPr>
        <w:numPr>
          <w:ilvl w:val="0"/>
          <w:numId w:val="1"/>
        </w:numPr>
        <w:tabs>
          <w:tab w:val="clear" w:pos="567"/>
        </w:tabs>
        <w:spacing w:before="240"/>
        <w:rPr>
          <w:rFonts w:ascii="Book Antiqua" w:hAnsi="Book Antiqua" w:cs="Arial"/>
        </w:rPr>
      </w:pPr>
      <w:r w:rsidRPr="00507339">
        <w:rPr>
          <w:rFonts w:ascii="Book Antiqua" w:hAnsi="Book Antiqua" w:cs="Arial"/>
        </w:rPr>
        <w:t xml:space="preserve">The grounds also maintain that the judge’s reasoning as to the appellant’s </w:t>
      </w:r>
      <w:r w:rsidR="00B16649" w:rsidRPr="00507339">
        <w:rPr>
          <w:rFonts w:ascii="Book Antiqua" w:hAnsi="Book Antiqua" w:cs="Arial"/>
        </w:rPr>
        <w:t xml:space="preserve">innocent explanation was inadequate and in particular it is contended that the judge erred by placing weight on the appellant’s ability to speak English.  </w:t>
      </w:r>
    </w:p>
    <w:p w:rsidR="00A83828" w:rsidRPr="00204890" w:rsidRDefault="00B16649" w:rsidP="00204890">
      <w:pPr>
        <w:numPr>
          <w:ilvl w:val="0"/>
          <w:numId w:val="1"/>
        </w:numPr>
        <w:tabs>
          <w:tab w:val="clear" w:pos="567"/>
        </w:tabs>
        <w:spacing w:before="240"/>
        <w:rPr>
          <w:rFonts w:ascii="Book Antiqua" w:hAnsi="Book Antiqua" w:cs="Arial"/>
        </w:rPr>
      </w:pPr>
      <w:r w:rsidRPr="00507339">
        <w:rPr>
          <w:rFonts w:ascii="Book Antiqua" w:hAnsi="Book Antiqua" w:cs="Arial"/>
        </w:rPr>
        <w:t>Before me</w:t>
      </w:r>
      <w:r w:rsidR="00E63846">
        <w:rPr>
          <w:rFonts w:ascii="Book Antiqua" w:hAnsi="Book Antiqua" w:cs="Arial"/>
        </w:rPr>
        <w:t>,</w:t>
      </w:r>
      <w:r w:rsidRPr="00507339">
        <w:rPr>
          <w:rFonts w:ascii="Book Antiqua" w:hAnsi="Book Antiqua" w:cs="Arial"/>
        </w:rPr>
        <w:t xml:space="preserve"> Mr </w:t>
      </w:r>
      <w:proofErr w:type="spellStart"/>
      <w:r w:rsidRPr="00507339">
        <w:rPr>
          <w:rFonts w:ascii="Book Antiqua" w:hAnsi="Book Antiqua" w:cs="Arial"/>
        </w:rPr>
        <w:t>Tarlow</w:t>
      </w:r>
      <w:proofErr w:type="spellEnd"/>
      <w:r w:rsidRPr="00507339">
        <w:rPr>
          <w:rFonts w:ascii="Book Antiqua" w:hAnsi="Book Antiqua" w:cs="Arial"/>
        </w:rPr>
        <w:t xml:space="preserve"> relied on the grounds and reiterated the arguments in them.  He acknowledged the discrepancy between</w:t>
      </w:r>
      <w:r w:rsidR="00327749" w:rsidRPr="00507339">
        <w:rPr>
          <w:rFonts w:ascii="Book Antiqua" w:hAnsi="Book Antiqua" w:cs="Arial"/>
        </w:rPr>
        <w:t xml:space="preserve"> t</w:t>
      </w:r>
      <w:r w:rsidR="00204890">
        <w:rPr>
          <w:rFonts w:ascii="Book Antiqua" w:hAnsi="Book Antiqua" w:cs="Arial"/>
        </w:rPr>
        <w:t>he document</w:t>
      </w:r>
      <w:r w:rsidR="00D9694E" w:rsidRPr="00507339">
        <w:rPr>
          <w:rFonts w:ascii="Book Antiqua" w:hAnsi="Book Antiqua" w:cs="Arial"/>
        </w:rPr>
        <w:t xml:space="preserve"> headed </w:t>
      </w:r>
      <w:r w:rsidR="00327749" w:rsidRPr="00507339">
        <w:rPr>
          <w:rFonts w:ascii="Book Antiqua" w:hAnsi="Book Antiqua" w:cs="Arial"/>
        </w:rPr>
        <w:t xml:space="preserve">ETS </w:t>
      </w:r>
      <w:r w:rsidR="00EB7038" w:rsidRPr="00507339">
        <w:rPr>
          <w:rFonts w:ascii="Book Antiqua" w:hAnsi="Book Antiqua" w:cs="Arial"/>
        </w:rPr>
        <w:t xml:space="preserve">SELT </w:t>
      </w:r>
      <w:r w:rsidR="00E63846">
        <w:rPr>
          <w:rFonts w:ascii="Book Antiqua" w:hAnsi="Book Antiqua" w:cs="Arial"/>
        </w:rPr>
        <w:t xml:space="preserve">SOURCE DATE </w:t>
      </w:r>
      <w:r w:rsidR="00327749" w:rsidRPr="00507339">
        <w:rPr>
          <w:rFonts w:ascii="Book Antiqua" w:hAnsi="Book Antiqua" w:cs="Arial"/>
        </w:rPr>
        <w:t xml:space="preserve">and the documents headed ETS TOEIC </w:t>
      </w:r>
      <w:r w:rsidR="00A83828">
        <w:rPr>
          <w:rFonts w:ascii="Book Antiqua" w:hAnsi="Book Antiqua" w:cs="Arial"/>
          <w:caps/>
        </w:rPr>
        <w:t>test centre look</w:t>
      </w:r>
      <w:r w:rsidR="00327749" w:rsidRPr="00E63846">
        <w:rPr>
          <w:rFonts w:ascii="Book Antiqua" w:hAnsi="Book Antiqua" w:cs="Arial"/>
          <w:caps/>
        </w:rPr>
        <w:t>up tool</w:t>
      </w:r>
      <w:r w:rsidR="00B35454" w:rsidRPr="00507339">
        <w:rPr>
          <w:rFonts w:ascii="Book Antiqua" w:hAnsi="Book Antiqua" w:cs="Arial"/>
        </w:rPr>
        <w:t>,</w:t>
      </w:r>
      <w:r w:rsidR="00327749" w:rsidRPr="00507339">
        <w:rPr>
          <w:rFonts w:ascii="Book Antiqua" w:hAnsi="Book Antiqua" w:cs="Arial"/>
        </w:rPr>
        <w:t xml:space="preserve"> but maintained that notwithstanding this the combination of generic e</w:t>
      </w:r>
      <w:r w:rsidR="00204890">
        <w:rPr>
          <w:rFonts w:ascii="Book Antiqua" w:hAnsi="Book Antiqua" w:cs="Arial"/>
        </w:rPr>
        <w:t>vidence and these documents was</w:t>
      </w:r>
      <w:r w:rsidR="00327749" w:rsidRPr="00204890">
        <w:rPr>
          <w:rFonts w:ascii="Book Antiqua" w:hAnsi="Book Antiqua" w:cs="Arial"/>
        </w:rPr>
        <w:t xml:space="preserve"> sufficient to discharge the initial evidential burden on the respondent.  He maintained that the judge’s alternative case was not adequately </w:t>
      </w:r>
      <w:r w:rsidR="009D5D24" w:rsidRPr="00204890">
        <w:rPr>
          <w:rFonts w:ascii="Book Antiqua" w:hAnsi="Book Antiqua" w:cs="Arial"/>
        </w:rPr>
        <w:t>reasoned.</w:t>
      </w:r>
    </w:p>
    <w:p w:rsidR="00A83828" w:rsidRPr="00204890" w:rsidRDefault="00A83828" w:rsidP="00A83828">
      <w:pPr>
        <w:spacing w:before="240"/>
        <w:rPr>
          <w:rFonts w:ascii="Book Antiqua" w:hAnsi="Book Antiqua" w:cs="Arial"/>
          <w:u w:val="single"/>
        </w:rPr>
      </w:pPr>
      <w:r w:rsidRPr="00204890">
        <w:rPr>
          <w:rFonts w:ascii="Book Antiqua" w:hAnsi="Book Antiqua" w:cs="Arial"/>
          <w:u w:val="single"/>
        </w:rPr>
        <w:t xml:space="preserve">Analysis </w:t>
      </w:r>
    </w:p>
    <w:p w:rsidR="00A83828" w:rsidRDefault="00A83828" w:rsidP="00A83828">
      <w:pPr>
        <w:numPr>
          <w:ilvl w:val="0"/>
          <w:numId w:val="1"/>
        </w:numPr>
        <w:tabs>
          <w:tab w:val="clear" w:pos="567"/>
        </w:tabs>
        <w:spacing w:before="240"/>
        <w:rPr>
          <w:rFonts w:ascii="Book Antiqua" w:hAnsi="Book Antiqua" w:cs="Arial"/>
        </w:rPr>
      </w:pPr>
      <w:r w:rsidRPr="00A83828">
        <w:rPr>
          <w:rFonts w:ascii="Book Antiqua" w:hAnsi="Book Antiqua"/>
        </w:rPr>
        <w:t>The burden and standard of proof, where it is alleged that an appellant’s ETS test is invalid, was discussed in</w:t>
      </w:r>
      <w:r w:rsidRPr="00A83828">
        <w:rPr>
          <w:rFonts w:ascii="Book Antiqua" w:hAnsi="Book Antiqua"/>
          <w:u w:val="single"/>
        </w:rPr>
        <w:t xml:space="preserve"> SM and </w:t>
      </w:r>
      <w:proofErr w:type="spellStart"/>
      <w:r w:rsidRPr="00A83828">
        <w:rPr>
          <w:rFonts w:ascii="Book Antiqua" w:hAnsi="Book Antiqua"/>
          <w:u w:val="single"/>
        </w:rPr>
        <w:t>Qadir</w:t>
      </w:r>
      <w:proofErr w:type="spellEnd"/>
      <w:r w:rsidRPr="00A83828">
        <w:rPr>
          <w:rFonts w:ascii="Book Antiqua" w:hAnsi="Book Antiqua"/>
          <w:u w:val="single"/>
        </w:rPr>
        <w:t xml:space="preserve"> </w:t>
      </w:r>
      <w:r w:rsidRPr="00A83828">
        <w:rPr>
          <w:rFonts w:ascii="Book Antiqua" w:hAnsi="Book Antiqua"/>
        </w:rPr>
        <w:t>and is as follows:</w:t>
      </w:r>
    </w:p>
    <w:p w:rsidR="00A83828" w:rsidRPr="00A83828" w:rsidRDefault="00A83828" w:rsidP="00A83828">
      <w:pPr>
        <w:numPr>
          <w:ilvl w:val="1"/>
          <w:numId w:val="1"/>
        </w:numPr>
        <w:spacing w:before="240"/>
        <w:rPr>
          <w:rFonts w:ascii="Book Antiqua" w:hAnsi="Book Antiqua" w:cs="Arial"/>
        </w:rPr>
      </w:pPr>
      <w:r w:rsidRPr="00A83828">
        <w:rPr>
          <w:rFonts w:ascii="Book Antiqua" w:hAnsi="Book Antiqua"/>
        </w:rPr>
        <w:lastRenderedPageBreak/>
        <w:t xml:space="preserve">The legal burden of proving that the appellant used deception lies on the respondent albeit that there is a three stage process. </w:t>
      </w:r>
    </w:p>
    <w:p w:rsidR="00A83828" w:rsidRPr="00324979" w:rsidRDefault="00A83828" w:rsidP="00A83828">
      <w:pPr>
        <w:ind w:left="180"/>
        <w:rPr>
          <w:rFonts w:ascii="Book Antiqua" w:hAnsi="Book Antiqua"/>
        </w:rPr>
      </w:pPr>
    </w:p>
    <w:p w:rsidR="00A83828" w:rsidRDefault="00A83828" w:rsidP="00A83828">
      <w:pPr>
        <w:numPr>
          <w:ilvl w:val="1"/>
          <w:numId w:val="4"/>
        </w:numPr>
        <w:tabs>
          <w:tab w:val="clear" w:pos="1080"/>
          <w:tab w:val="num" w:pos="1440"/>
        </w:tabs>
        <w:ind w:left="1440"/>
        <w:rPr>
          <w:rFonts w:ascii="Book Antiqua" w:hAnsi="Book Antiqua"/>
        </w:rPr>
      </w:pPr>
      <w:r>
        <w:rPr>
          <w:rFonts w:ascii="Book Antiqua" w:hAnsi="Book Antiqua"/>
        </w:rPr>
        <w:t>Firstly, t</w:t>
      </w:r>
      <w:r w:rsidRPr="00324979">
        <w:rPr>
          <w:rFonts w:ascii="Book Antiqua" w:hAnsi="Book Antiqua"/>
        </w:rPr>
        <w:t xml:space="preserve">he </w:t>
      </w:r>
      <w:r>
        <w:rPr>
          <w:rFonts w:ascii="Book Antiqua" w:hAnsi="Book Antiqua"/>
        </w:rPr>
        <w:t>respondent</w:t>
      </w:r>
      <w:r w:rsidRPr="00324979">
        <w:rPr>
          <w:rFonts w:ascii="Book Antiqua" w:hAnsi="Book Antiqua"/>
        </w:rPr>
        <w:t xml:space="preserve"> must adduce sufficient evidence to raise the issue of fraud. </w:t>
      </w:r>
    </w:p>
    <w:p w:rsidR="00A83828" w:rsidRDefault="00A83828" w:rsidP="00A83828">
      <w:pPr>
        <w:ind w:left="1080"/>
        <w:rPr>
          <w:rFonts w:ascii="Book Antiqua" w:hAnsi="Book Antiqua"/>
        </w:rPr>
      </w:pPr>
    </w:p>
    <w:p w:rsidR="00A83828" w:rsidRDefault="00A83828" w:rsidP="00A83828">
      <w:pPr>
        <w:numPr>
          <w:ilvl w:val="1"/>
          <w:numId w:val="4"/>
        </w:numPr>
        <w:tabs>
          <w:tab w:val="clear" w:pos="1080"/>
          <w:tab w:val="num" w:pos="1440"/>
        </w:tabs>
        <w:ind w:left="1440"/>
        <w:rPr>
          <w:rFonts w:ascii="Book Antiqua" w:hAnsi="Book Antiqua"/>
        </w:rPr>
      </w:pPr>
      <w:r>
        <w:rPr>
          <w:rFonts w:ascii="Book Antiqua" w:hAnsi="Book Antiqua"/>
        </w:rPr>
        <w:t>Secondly, th</w:t>
      </w:r>
      <w:r w:rsidRPr="00324979">
        <w:rPr>
          <w:rFonts w:ascii="Book Antiqua" w:hAnsi="Book Antiqua"/>
        </w:rPr>
        <w:t>e</w:t>
      </w:r>
      <w:r>
        <w:rPr>
          <w:rFonts w:ascii="Book Antiqua" w:hAnsi="Book Antiqua"/>
        </w:rPr>
        <w:t xml:space="preserve"> appellant then has </w:t>
      </w:r>
      <w:r w:rsidRPr="00324979">
        <w:rPr>
          <w:rFonts w:ascii="Book Antiqua" w:hAnsi="Book Antiqua"/>
        </w:rPr>
        <w:t xml:space="preserve">a burden of raising an innocent explanation which satisfies the minimum level of plausibility. </w:t>
      </w:r>
    </w:p>
    <w:p w:rsidR="00A83828" w:rsidRDefault="00A83828" w:rsidP="00A83828">
      <w:pPr>
        <w:ind w:left="1080"/>
        <w:rPr>
          <w:rFonts w:ascii="Book Antiqua" w:hAnsi="Book Antiqua"/>
        </w:rPr>
      </w:pPr>
    </w:p>
    <w:p w:rsidR="00A83828" w:rsidRDefault="00A83828" w:rsidP="00A83828">
      <w:pPr>
        <w:numPr>
          <w:ilvl w:val="1"/>
          <w:numId w:val="4"/>
        </w:numPr>
        <w:tabs>
          <w:tab w:val="clear" w:pos="1080"/>
          <w:tab w:val="num" w:pos="1440"/>
        </w:tabs>
        <w:ind w:left="1440"/>
        <w:rPr>
          <w:rFonts w:ascii="Book Antiqua" w:hAnsi="Book Antiqua"/>
        </w:rPr>
      </w:pPr>
      <w:r>
        <w:rPr>
          <w:rFonts w:ascii="Book Antiqua" w:hAnsi="Book Antiqua"/>
        </w:rPr>
        <w:t>Thirdly, i</w:t>
      </w:r>
      <w:r w:rsidRPr="00324979">
        <w:rPr>
          <w:rFonts w:ascii="Book Antiqua" w:hAnsi="Book Antiqua"/>
        </w:rPr>
        <w:t xml:space="preserve">f that burden is discharged, the Secretary of State must establish on a balance of probabilities that this innocent explanation is to be rejected. </w:t>
      </w:r>
    </w:p>
    <w:p w:rsidR="00A83828" w:rsidRDefault="00A83828" w:rsidP="00A83828">
      <w:pPr>
        <w:pStyle w:val="ListParagraph"/>
        <w:rPr>
          <w:rFonts w:ascii="Book Antiqua" w:hAnsi="Book Antiqua"/>
        </w:rPr>
      </w:pPr>
    </w:p>
    <w:p w:rsidR="00A83828" w:rsidRPr="00A83828" w:rsidRDefault="00A83828" w:rsidP="00A83828">
      <w:pPr>
        <w:pStyle w:val="ListParagraph"/>
        <w:numPr>
          <w:ilvl w:val="1"/>
          <w:numId w:val="1"/>
        </w:numPr>
        <w:rPr>
          <w:rFonts w:ascii="Book Antiqua" w:hAnsi="Book Antiqua"/>
        </w:rPr>
      </w:pPr>
      <w:r w:rsidRPr="00A83828">
        <w:rPr>
          <w:rFonts w:ascii="Book Antiqua" w:hAnsi="Book Antiqua"/>
        </w:rPr>
        <w:t>There is one civil standard of proof (which is the standard to be applied). The seriousness of the consequences does not require a different standard of proof but flexibility in its application will involve consideration of the strength and quality of the evidence. The more serious the consequence, the stronger must be the evidence adduced for the necessary standard to be reached.</w:t>
      </w:r>
    </w:p>
    <w:p w:rsidR="00000A45" w:rsidRPr="00A83828" w:rsidRDefault="00A83828" w:rsidP="00A83828">
      <w:pPr>
        <w:numPr>
          <w:ilvl w:val="0"/>
          <w:numId w:val="1"/>
        </w:numPr>
        <w:tabs>
          <w:tab w:val="clear" w:pos="567"/>
        </w:tabs>
        <w:spacing w:before="240"/>
        <w:rPr>
          <w:rFonts w:ascii="Book Antiqua" w:hAnsi="Book Antiqua" w:cs="Arial"/>
        </w:rPr>
      </w:pPr>
      <w:r>
        <w:rPr>
          <w:rFonts w:ascii="Book Antiqua" w:hAnsi="Book Antiqua" w:cs="Arial"/>
        </w:rPr>
        <w:t xml:space="preserve">There are two elements that must be satisfied in order for the respondent to show that the initial evidential burden to raise the issue of fraud is met. </w:t>
      </w:r>
      <w:r w:rsidR="0088170D" w:rsidRPr="00A83828">
        <w:rPr>
          <w:rFonts w:ascii="Book Antiqua" w:hAnsi="Book Antiqua" w:cs="Arial"/>
        </w:rPr>
        <w:t>The first is what is typically referred to as the “generic evidence”</w:t>
      </w:r>
      <w:r w:rsidR="00B9524F" w:rsidRPr="00A83828">
        <w:rPr>
          <w:rFonts w:ascii="Book Antiqua" w:hAnsi="Book Antiqua" w:cs="Arial"/>
        </w:rPr>
        <w:t>,</w:t>
      </w:r>
      <w:r>
        <w:rPr>
          <w:rFonts w:ascii="Book Antiqua" w:hAnsi="Book Antiqua" w:cs="Arial"/>
        </w:rPr>
        <w:t xml:space="preserve"> and</w:t>
      </w:r>
      <w:r w:rsidR="0088170D" w:rsidRPr="00A83828">
        <w:rPr>
          <w:rFonts w:ascii="Book Antiqua" w:hAnsi="Book Antiqua" w:cs="Arial"/>
        </w:rPr>
        <w:t xml:space="preserve"> comprises of the statements of Rebecca </w:t>
      </w:r>
      <w:r w:rsidR="00D77820" w:rsidRPr="00A83828">
        <w:rPr>
          <w:rFonts w:ascii="Book Antiqua" w:hAnsi="Book Antiqua" w:cs="Arial"/>
        </w:rPr>
        <w:t>Collings and Peter Millington along with expert evidence</w:t>
      </w:r>
      <w:r>
        <w:rPr>
          <w:rFonts w:ascii="Book Antiqua" w:hAnsi="Book Antiqua" w:cs="Arial"/>
        </w:rPr>
        <w:t xml:space="preserve"> regarding the methodology used to detect fraud. This evidence, taken together, </w:t>
      </w:r>
      <w:r w:rsidR="00D77820" w:rsidRPr="00A83828">
        <w:rPr>
          <w:rFonts w:ascii="Book Antiqua" w:hAnsi="Book Antiqua" w:cs="Arial"/>
        </w:rPr>
        <w:t>shows that there has been widespread deception</w:t>
      </w:r>
      <w:r>
        <w:rPr>
          <w:rFonts w:ascii="Book Antiqua" w:hAnsi="Book Antiqua" w:cs="Arial"/>
        </w:rPr>
        <w:t xml:space="preserve"> at test centres and that there is a reasonably robust, but not error-free, methodology to detect where deception has occurred</w:t>
      </w:r>
      <w:r w:rsidR="00D77820" w:rsidRPr="00A83828">
        <w:rPr>
          <w:rFonts w:ascii="Book Antiqua" w:hAnsi="Book Antiqua" w:cs="Arial"/>
        </w:rPr>
        <w:t>.  The second element necessary to establish the initial evidential burden is that there must be a link between the widesp</w:t>
      </w:r>
      <w:r>
        <w:rPr>
          <w:rFonts w:ascii="Book Antiqua" w:hAnsi="Book Antiqua" w:cs="Arial"/>
        </w:rPr>
        <w:t>read deception and the individual who is being accused of committing fraud</w:t>
      </w:r>
      <w:r w:rsidR="00D77820" w:rsidRPr="00A83828">
        <w:rPr>
          <w:rFonts w:ascii="Book Antiqua" w:hAnsi="Book Antiqua" w:cs="Arial"/>
        </w:rPr>
        <w:t xml:space="preserve">.  This was made clear by the Court of Appeal in </w:t>
      </w:r>
      <w:r w:rsidR="00000A45" w:rsidRPr="00A83828">
        <w:rPr>
          <w:rFonts w:ascii="Book Antiqua" w:hAnsi="Book Antiqua" w:cs="Arial"/>
          <w:i/>
        </w:rPr>
        <w:t>Shehzad</w:t>
      </w:r>
      <w:r w:rsidR="00000A45" w:rsidRPr="00A83828">
        <w:rPr>
          <w:rFonts w:ascii="Book Antiqua" w:hAnsi="Book Antiqua" w:cs="Arial"/>
        </w:rPr>
        <w:t xml:space="preserve"> [2016] EWCA </w:t>
      </w:r>
      <w:proofErr w:type="spellStart"/>
      <w:r w:rsidR="00000A45" w:rsidRPr="00A83828">
        <w:rPr>
          <w:rFonts w:ascii="Book Antiqua" w:hAnsi="Book Antiqua" w:cs="Arial"/>
        </w:rPr>
        <w:t>Civ</w:t>
      </w:r>
      <w:proofErr w:type="spellEnd"/>
      <w:r w:rsidR="00000A45" w:rsidRPr="00A83828">
        <w:rPr>
          <w:rFonts w:ascii="Book Antiqua" w:hAnsi="Book Antiqua" w:cs="Arial"/>
        </w:rPr>
        <w:t xml:space="preserve"> 615 where it was stated</w:t>
      </w:r>
      <w:r>
        <w:rPr>
          <w:rFonts w:ascii="Book Antiqua" w:hAnsi="Book Antiqua" w:cs="Arial"/>
        </w:rPr>
        <w:t>:</w:t>
      </w:r>
      <w:r w:rsidR="00000A45" w:rsidRPr="00A83828">
        <w:rPr>
          <w:rFonts w:ascii="Book Antiqua" w:hAnsi="Book Antiqua" w:cs="Arial"/>
        </w:rPr>
        <w:t xml:space="preserve"> </w:t>
      </w:r>
    </w:p>
    <w:p w:rsidR="0088170D" w:rsidRPr="00507339" w:rsidRDefault="00000A45" w:rsidP="00000A45">
      <w:pPr>
        <w:spacing w:before="240"/>
        <w:ind w:left="1134"/>
        <w:rPr>
          <w:rFonts w:ascii="Book Antiqua" w:hAnsi="Book Antiqua" w:cs="Arial"/>
        </w:rPr>
      </w:pPr>
      <w:r w:rsidRPr="00507339">
        <w:rPr>
          <w:rFonts w:ascii="Book Antiqua" w:hAnsi="Book Antiqua" w:cs="Arial"/>
          <w:sz w:val="22"/>
        </w:rPr>
        <w:t>“In circumstances where the generic evidence is not accompanied by evidence showing that the individual under consideration’s test was characterised as invalid I consider that the Secretary of State faces a difficulty in respect of the evidential burden at the initial stage</w:t>
      </w:r>
      <w:r w:rsidR="009219D0" w:rsidRPr="00507339">
        <w:rPr>
          <w:rFonts w:ascii="Book Antiqua" w:hAnsi="Book Antiqua" w:cs="Arial"/>
          <w:sz w:val="22"/>
        </w:rPr>
        <w:t>”</w:t>
      </w:r>
      <w:r w:rsidR="009219D0" w:rsidRPr="00507339">
        <w:rPr>
          <w:rFonts w:ascii="Book Antiqua" w:hAnsi="Book Antiqua" w:cs="Arial"/>
        </w:rPr>
        <w:t xml:space="preserve">.  </w:t>
      </w:r>
      <w:r w:rsidRPr="00507339">
        <w:rPr>
          <w:rFonts w:ascii="Book Antiqua" w:hAnsi="Book Antiqua" w:cs="Arial"/>
        </w:rPr>
        <w:t xml:space="preserve"> </w:t>
      </w:r>
    </w:p>
    <w:p w:rsidR="009F394E" w:rsidRPr="00507339" w:rsidRDefault="009219D0" w:rsidP="00273201">
      <w:pPr>
        <w:numPr>
          <w:ilvl w:val="0"/>
          <w:numId w:val="1"/>
        </w:numPr>
        <w:tabs>
          <w:tab w:val="clear" w:pos="567"/>
        </w:tabs>
        <w:spacing w:before="240"/>
        <w:rPr>
          <w:rFonts w:ascii="Book Antiqua" w:hAnsi="Book Antiqua" w:cs="Arial"/>
        </w:rPr>
      </w:pPr>
      <w:r w:rsidRPr="00507339">
        <w:rPr>
          <w:rFonts w:ascii="Book Antiqua" w:hAnsi="Book Antiqua" w:cs="Arial"/>
        </w:rPr>
        <w:t xml:space="preserve">In this case the respondent sought to link the appellant to the widespread deceptive practice by reference to three documents.  The first of these is a document headed ETS </w:t>
      </w:r>
      <w:r w:rsidR="00EB7038" w:rsidRPr="00507339">
        <w:rPr>
          <w:rFonts w:ascii="Book Antiqua" w:hAnsi="Book Antiqua" w:cs="Arial"/>
        </w:rPr>
        <w:t xml:space="preserve">SELT </w:t>
      </w:r>
      <w:r w:rsidR="00A83828">
        <w:rPr>
          <w:rFonts w:ascii="Book Antiqua" w:hAnsi="Book Antiqua" w:cs="Arial"/>
        </w:rPr>
        <w:t xml:space="preserve">SOURCE DATA which states </w:t>
      </w:r>
      <w:r w:rsidRPr="00507339">
        <w:rPr>
          <w:rFonts w:ascii="Book Antiqua" w:hAnsi="Book Antiqua" w:cs="Arial"/>
        </w:rPr>
        <w:t xml:space="preserve">that the appellant’s test has been classified as </w:t>
      </w:r>
      <w:r w:rsidR="00A83828">
        <w:rPr>
          <w:rFonts w:ascii="Book Antiqua" w:hAnsi="Book Antiqua" w:cs="Arial"/>
        </w:rPr>
        <w:t>“</w:t>
      </w:r>
      <w:r w:rsidRPr="00507339">
        <w:rPr>
          <w:rFonts w:ascii="Book Antiqua" w:hAnsi="Book Antiqua" w:cs="Arial"/>
        </w:rPr>
        <w:t>invalid</w:t>
      </w:r>
      <w:r w:rsidR="00A83828">
        <w:rPr>
          <w:rFonts w:ascii="Book Antiqua" w:hAnsi="Book Antiqua" w:cs="Arial"/>
        </w:rPr>
        <w:t>”</w:t>
      </w:r>
      <w:r w:rsidR="003E5355" w:rsidRPr="00507339">
        <w:rPr>
          <w:rFonts w:ascii="Book Antiqua" w:hAnsi="Book Antiqua" w:cs="Arial"/>
        </w:rPr>
        <w:t>.  T</w:t>
      </w:r>
      <w:r w:rsidR="00A83828">
        <w:rPr>
          <w:rFonts w:ascii="Book Antiqua" w:hAnsi="Book Antiqua" w:cs="Arial"/>
        </w:rPr>
        <w:t>he other two documents relied upon</w:t>
      </w:r>
      <w:r w:rsidR="003E5355" w:rsidRPr="00507339">
        <w:rPr>
          <w:rFonts w:ascii="Book Antiqua" w:hAnsi="Book Antiqua" w:cs="Arial"/>
        </w:rPr>
        <w:t xml:space="preserve"> by the respondent to connect the appellant to the use of deception are the documents headed ETS TOEIC</w:t>
      </w:r>
      <w:r w:rsidR="00A83828" w:rsidRPr="00A83828">
        <w:rPr>
          <w:rFonts w:ascii="Book Antiqua" w:hAnsi="Book Antiqua" w:cs="Arial"/>
          <w:caps/>
        </w:rPr>
        <w:t xml:space="preserve"> </w:t>
      </w:r>
      <w:r w:rsidR="00A83828">
        <w:rPr>
          <w:rFonts w:ascii="Book Antiqua" w:hAnsi="Book Antiqua" w:cs="Arial"/>
          <w:caps/>
        </w:rPr>
        <w:t>test centre look</w:t>
      </w:r>
      <w:r w:rsidR="00A83828" w:rsidRPr="00E63846">
        <w:rPr>
          <w:rFonts w:ascii="Book Antiqua" w:hAnsi="Book Antiqua" w:cs="Arial"/>
          <w:caps/>
        </w:rPr>
        <w:t>up tool</w:t>
      </w:r>
      <w:r w:rsidR="003E5355" w:rsidRPr="00507339">
        <w:rPr>
          <w:rFonts w:ascii="Book Antiqua" w:hAnsi="Book Antiqua" w:cs="Arial"/>
        </w:rPr>
        <w:t>.  These documents show that a total of thirteen tests were taken at the Universal Trai</w:t>
      </w:r>
      <w:r w:rsidR="00A83828">
        <w:rPr>
          <w:rFonts w:ascii="Book Antiqua" w:hAnsi="Book Antiqua" w:cs="Arial"/>
        </w:rPr>
        <w:t xml:space="preserve">ning Centre on 17 July 2013, </w:t>
      </w:r>
      <w:r w:rsidR="003E5355" w:rsidRPr="00507339">
        <w:rPr>
          <w:rFonts w:ascii="Book Antiqua" w:hAnsi="Book Antiqua" w:cs="Arial"/>
        </w:rPr>
        <w:t xml:space="preserve">all of which </w:t>
      </w:r>
      <w:r w:rsidR="003B7A36" w:rsidRPr="00507339">
        <w:rPr>
          <w:rFonts w:ascii="Book Antiqua" w:hAnsi="Book Antiqua" w:cs="Arial"/>
        </w:rPr>
        <w:t xml:space="preserve">were classified as </w:t>
      </w:r>
      <w:r w:rsidR="00A83828">
        <w:rPr>
          <w:rFonts w:ascii="Book Antiqua" w:hAnsi="Book Antiqua" w:cs="Arial"/>
        </w:rPr>
        <w:t>“</w:t>
      </w:r>
      <w:r w:rsidR="003B7A36" w:rsidRPr="00507339">
        <w:rPr>
          <w:rFonts w:ascii="Book Antiqua" w:hAnsi="Book Antiqua" w:cs="Arial"/>
        </w:rPr>
        <w:t>questionable</w:t>
      </w:r>
      <w:r w:rsidR="00A83828">
        <w:rPr>
          <w:rFonts w:ascii="Book Antiqua" w:hAnsi="Book Antiqua" w:cs="Arial"/>
        </w:rPr>
        <w:t>”</w:t>
      </w:r>
      <w:r w:rsidR="003B7A36" w:rsidRPr="00507339">
        <w:rPr>
          <w:rFonts w:ascii="Book Antiqua" w:hAnsi="Book Antiqua" w:cs="Arial"/>
        </w:rPr>
        <w:t xml:space="preserve">, none of which were classified as </w:t>
      </w:r>
      <w:r w:rsidR="00A83828">
        <w:rPr>
          <w:rFonts w:ascii="Book Antiqua" w:hAnsi="Book Antiqua" w:cs="Arial"/>
        </w:rPr>
        <w:t>“</w:t>
      </w:r>
      <w:r w:rsidR="003B7A36" w:rsidRPr="00507339">
        <w:rPr>
          <w:rFonts w:ascii="Book Antiqua" w:hAnsi="Book Antiqua" w:cs="Arial"/>
        </w:rPr>
        <w:t>invalid</w:t>
      </w:r>
      <w:r w:rsidR="00A83828">
        <w:rPr>
          <w:rFonts w:ascii="Book Antiqua" w:hAnsi="Book Antiqua" w:cs="Arial"/>
        </w:rPr>
        <w:t>”</w:t>
      </w:r>
      <w:r w:rsidR="003B7A36" w:rsidRPr="00507339">
        <w:rPr>
          <w:rFonts w:ascii="Book Antiqua" w:hAnsi="Book Antiqua" w:cs="Arial"/>
        </w:rPr>
        <w:t xml:space="preserve">.  There is a clear discrepancy between the document which describes the appellant’s test as being </w:t>
      </w:r>
      <w:r w:rsidR="00994FFC">
        <w:rPr>
          <w:rFonts w:ascii="Book Antiqua" w:hAnsi="Book Antiqua" w:cs="Arial"/>
        </w:rPr>
        <w:t>“</w:t>
      </w:r>
      <w:r w:rsidR="003B7A36" w:rsidRPr="00507339">
        <w:rPr>
          <w:rFonts w:ascii="Book Antiqua" w:hAnsi="Book Antiqua" w:cs="Arial"/>
        </w:rPr>
        <w:t>invalid</w:t>
      </w:r>
      <w:r w:rsidR="00994FFC">
        <w:rPr>
          <w:rFonts w:ascii="Book Antiqua" w:hAnsi="Book Antiqua" w:cs="Arial"/>
        </w:rPr>
        <w:t>” and the documents which indicate</w:t>
      </w:r>
      <w:r w:rsidR="003B7A36" w:rsidRPr="00507339">
        <w:rPr>
          <w:rFonts w:ascii="Book Antiqua" w:hAnsi="Book Antiqua" w:cs="Arial"/>
        </w:rPr>
        <w:t xml:space="preserve"> tha</w:t>
      </w:r>
      <w:r w:rsidR="0040186A" w:rsidRPr="00507339">
        <w:rPr>
          <w:rFonts w:ascii="Book Antiqua" w:hAnsi="Book Antiqua" w:cs="Arial"/>
        </w:rPr>
        <w:t xml:space="preserve">t </w:t>
      </w:r>
      <w:r w:rsidR="00994FFC">
        <w:rPr>
          <w:rFonts w:ascii="Book Antiqua" w:hAnsi="Book Antiqua" w:cs="Arial"/>
        </w:rPr>
        <w:t>on the day the appellant claims to have taken the test no tests were declar</w:t>
      </w:r>
      <w:r w:rsidR="00E117E4">
        <w:rPr>
          <w:rFonts w:ascii="Book Antiqua" w:hAnsi="Book Antiqua" w:cs="Arial"/>
        </w:rPr>
        <w:t>ed “invalid” (as</w:t>
      </w:r>
      <w:r w:rsidR="00994FFC">
        <w:rPr>
          <w:rFonts w:ascii="Book Antiqua" w:hAnsi="Book Antiqua" w:cs="Arial"/>
        </w:rPr>
        <w:t xml:space="preserve"> they were all deemed “questionable”). </w:t>
      </w:r>
    </w:p>
    <w:p w:rsidR="00AE3F24" w:rsidRPr="00507339" w:rsidRDefault="009F394E" w:rsidP="00273201">
      <w:pPr>
        <w:numPr>
          <w:ilvl w:val="0"/>
          <w:numId w:val="1"/>
        </w:numPr>
        <w:tabs>
          <w:tab w:val="clear" w:pos="567"/>
        </w:tabs>
        <w:spacing w:before="240"/>
        <w:rPr>
          <w:rFonts w:ascii="Book Antiqua" w:hAnsi="Book Antiqua" w:cs="Arial"/>
        </w:rPr>
      </w:pPr>
      <w:r w:rsidRPr="00507339">
        <w:rPr>
          <w:rFonts w:ascii="Book Antiqua" w:hAnsi="Book Antiqua" w:cs="Arial"/>
        </w:rPr>
        <w:lastRenderedPageBreak/>
        <w:t xml:space="preserve">I asked Mr </w:t>
      </w:r>
      <w:proofErr w:type="spellStart"/>
      <w:r w:rsidRPr="00507339">
        <w:rPr>
          <w:rFonts w:ascii="Book Antiqua" w:hAnsi="Book Antiqua" w:cs="Arial"/>
        </w:rPr>
        <w:t>Tarlow</w:t>
      </w:r>
      <w:proofErr w:type="spellEnd"/>
      <w:r w:rsidRPr="00507339">
        <w:rPr>
          <w:rFonts w:ascii="Book Antiqua" w:hAnsi="Book Antiqua" w:cs="Arial"/>
        </w:rPr>
        <w:t xml:space="preserve"> if he was able to explain the discrepancy and he was not.  </w:t>
      </w:r>
      <w:r w:rsidR="00994FFC">
        <w:rPr>
          <w:rFonts w:ascii="Book Antiqua" w:hAnsi="Book Antiqua" w:cs="Arial"/>
        </w:rPr>
        <w:t xml:space="preserve">I also asked </w:t>
      </w:r>
      <w:r w:rsidRPr="00507339">
        <w:rPr>
          <w:rFonts w:ascii="Book Antiqua" w:hAnsi="Book Antiqua" w:cs="Arial"/>
        </w:rPr>
        <w:t xml:space="preserve">Mr </w:t>
      </w:r>
      <w:proofErr w:type="spellStart"/>
      <w:r w:rsidRPr="00507339">
        <w:rPr>
          <w:rFonts w:ascii="Book Antiqua" w:hAnsi="Book Antiqua" w:cs="Arial"/>
        </w:rPr>
        <w:t>Tarlow</w:t>
      </w:r>
      <w:proofErr w:type="spellEnd"/>
      <w:r w:rsidRPr="00507339">
        <w:rPr>
          <w:rFonts w:ascii="Book Antiqua" w:hAnsi="Book Antiqua" w:cs="Arial"/>
        </w:rPr>
        <w:t xml:space="preserve"> </w:t>
      </w:r>
      <w:r w:rsidR="00994FFC">
        <w:rPr>
          <w:rFonts w:ascii="Book Antiqua" w:hAnsi="Book Antiqua" w:cs="Arial"/>
        </w:rPr>
        <w:t xml:space="preserve">if the </w:t>
      </w:r>
      <w:r w:rsidRPr="00507339">
        <w:rPr>
          <w:rFonts w:ascii="Book Antiqua" w:hAnsi="Book Antiqua" w:cs="Arial"/>
        </w:rPr>
        <w:t xml:space="preserve">respondent had </w:t>
      </w:r>
      <w:r w:rsidR="00994FFC">
        <w:rPr>
          <w:rFonts w:ascii="Book Antiqua" w:hAnsi="Book Antiqua" w:cs="Arial"/>
        </w:rPr>
        <w:t xml:space="preserve">asked </w:t>
      </w:r>
      <w:r w:rsidRPr="00507339">
        <w:rPr>
          <w:rFonts w:ascii="Book Antiqua" w:hAnsi="Book Antiqua" w:cs="Arial"/>
        </w:rPr>
        <w:t xml:space="preserve">Mr </w:t>
      </w:r>
      <w:r w:rsidR="00AE3F24" w:rsidRPr="00507339">
        <w:rPr>
          <w:rFonts w:ascii="Book Antiqua" w:hAnsi="Book Antiqua" w:cs="Arial"/>
        </w:rPr>
        <w:t xml:space="preserve">Sartorius or another person or persons at the Home Office or </w:t>
      </w:r>
      <w:r w:rsidR="00994FFC">
        <w:rPr>
          <w:rFonts w:ascii="Book Antiqua" w:hAnsi="Book Antiqua" w:cs="Arial"/>
        </w:rPr>
        <w:t xml:space="preserve">ETS to explain the </w:t>
      </w:r>
      <w:r w:rsidR="00AE3F24" w:rsidRPr="00507339">
        <w:rPr>
          <w:rFonts w:ascii="Book Antiqua" w:hAnsi="Book Antiqua" w:cs="Arial"/>
        </w:rPr>
        <w:t xml:space="preserve">discrepancy but </w:t>
      </w:r>
      <w:r w:rsidR="00994FFC">
        <w:rPr>
          <w:rFonts w:ascii="Book Antiqua" w:hAnsi="Book Antiqua" w:cs="Arial"/>
        </w:rPr>
        <w:t>he was not aware of any such enquiries having been made.</w:t>
      </w:r>
    </w:p>
    <w:p w:rsidR="00DA748A" w:rsidRPr="00507339" w:rsidRDefault="00994FFC" w:rsidP="00273201">
      <w:pPr>
        <w:numPr>
          <w:ilvl w:val="0"/>
          <w:numId w:val="1"/>
        </w:numPr>
        <w:tabs>
          <w:tab w:val="clear" w:pos="567"/>
        </w:tabs>
        <w:spacing w:before="240"/>
        <w:rPr>
          <w:rFonts w:ascii="Book Antiqua" w:hAnsi="Book Antiqua" w:cs="Arial"/>
        </w:rPr>
      </w:pPr>
      <w:r>
        <w:rPr>
          <w:rFonts w:ascii="Book Antiqua" w:hAnsi="Book Antiqua" w:cs="Arial"/>
        </w:rPr>
        <w:t>T</w:t>
      </w:r>
      <w:r w:rsidR="00AE3F24" w:rsidRPr="00507339">
        <w:rPr>
          <w:rFonts w:ascii="Book Antiqua" w:hAnsi="Book Antiqua" w:cs="Arial"/>
        </w:rPr>
        <w:t xml:space="preserve">here is a clear contradiction within the evidence put forward by the respondent to link the appellant to the widespread </w:t>
      </w:r>
      <w:r>
        <w:rPr>
          <w:rFonts w:ascii="Book Antiqua" w:hAnsi="Book Antiqua" w:cs="Arial"/>
        </w:rPr>
        <w:t xml:space="preserve">ETS </w:t>
      </w:r>
      <w:r w:rsidR="00AE3F24" w:rsidRPr="00507339">
        <w:rPr>
          <w:rFonts w:ascii="Book Antiqua" w:hAnsi="Book Antiqua" w:cs="Arial"/>
        </w:rPr>
        <w:t>deception and no explanation for the discrepancy has been given</w:t>
      </w:r>
      <w:r>
        <w:rPr>
          <w:rFonts w:ascii="Book Antiqua" w:hAnsi="Book Antiqua" w:cs="Arial"/>
        </w:rPr>
        <w:t xml:space="preserve">. I therefore do not consider the evidence appended to </w:t>
      </w:r>
      <w:r w:rsidRPr="00507339">
        <w:rPr>
          <w:rFonts w:ascii="Book Antiqua" w:hAnsi="Book Antiqua" w:cs="Arial"/>
        </w:rPr>
        <w:t>Mr Sartorius</w:t>
      </w:r>
      <w:r>
        <w:rPr>
          <w:rFonts w:ascii="Book Antiqua" w:hAnsi="Book Antiqua" w:cs="Arial"/>
        </w:rPr>
        <w:t xml:space="preserve">’ statement to be reliable. As there is no reliable evidence linking the appellant to the fraudulent activity </w:t>
      </w:r>
      <w:r w:rsidR="00E117E4">
        <w:rPr>
          <w:rFonts w:ascii="Book Antiqua" w:hAnsi="Book Antiqua" w:cs="Arial"/>
        </w:rPr>
        <w:t>at test centres, it</w:t>
      </w:r>
      <w:r w:rsidR="00204890">
        <w:rPr>
          <w:rFonts w:ascii="Book Antiqua" w:hAnsi="Book Antiqua" w:cs="Arial"/>
        </w:rPr>
        <w:t xml:space="preserve"> was open to the judge </w:t>
      </w:r>
      <w:r>
        <w:rPr>
          <w:rFonts w:ascii="Book Antiqua" w:hAnsi="Book Antiqua" w:cs="Arial"/>
        </w:rPr>
        <w:t xml:space="preserve">to find that </w:t>
      </w:r>
      <w:r w:rsidR="00204890">
        <w:rPr>
          <w:rFonts w:ascii="Book Antiqua" w:hAnsi="Book Antiqua" w:cs="Arial"/>
        </w:rPr>
        <w:t>insufficient evidence had been adduced by the respondent to raise the issue of fraud</w:t>
      </w:r>
      <w:r w:rsidR="00E117E4">
        <w:rPr>
          <w:rFonts w:ascii="Book Antiqua" w:hAnsi="Book Antiqua" w:cs="Arial"/>
        </w:rPr>
        <w:t xml:space="preserve"> in relation to the appellant</w:t>
      </w:r>
      <w:r w:rsidR="00204890">
        <w:rPr>
          <w:rFonts w:ascii="Book Antiqua" w:hAnsi="Book Antiqua" w:cs="Arial"/>
        </w:rPr>
        <w:t>.</w:t>
      </w:r>
    </w:p>
    <w:p w:rsidR="00D949B7" w:rsidRDefault="00204890" w:rsidP="00273201">
      <w:pPr>
        <w:numPr>
          <w:ilvl w:val="0"/>
          <w:numId w:val="1"/>
        </w:numPr>
        <w:tabs>
          <w:tab w:val="clear" w:pos="567"/>
        </w:tabs>
        <w:spacing w:before="240"/>
        <w:rPr>
          <w:rFonts w:ascii="Book Antiqua" w:hAnsi="Book Antiqua" w:cs="Arial"/>
        </w:rPr>
      </w:pPr>
      <w:r w:rsidRPr="00204890">
        <w:rPr>
          <w:rFonts w:ascii="Book Antiqua" w:hAnsi="Book Antiqua" w:cs="Arial"/>
        </w:rPr>
        <w:t>It follows that t</w:t>
      </w:r>
      <w:r w:rsidR="00741F9A" w:rsidRPr="00204890">
        <w:rPr>
          <w:rFonts w:ascii="Book Antiqua" w:hAnsi="Book Antiqua" w:cs="Arial"/>
        </w:rPr>
        <w:t xml:space="preserve">he judge was entitled to find that the suitability requirements under Appendix FM were satisfied and </w:t>
      </w:r>
      <w:r w:rsidRPr="00204890">
        <w:rPr>
          <w:rFonts w:ascii="Book Antiqua" w:hAnsi="Book Antiqua" w:cs="Arial"/>
        </w:rPr>
        <w:t xml:space="preserve">that </w:t>
      </w:r>
      <w:r w:rsidR="00741F9A" w:rsidRPr="00204890">
        <w:rPr>
          <w:rFonts w:ascii="Book Antiqua" w:hAnsi="Book Antiqua" w:cs="Arial"/>
        </w:rPr>
        <w:t xml:space="preserve">there was no basis under the Immigration Rules to refuse the appellant’s </w:t>
      </w:r>
      <w:r w:rsidR="008604BE" w:rsidRPr="00204890">
        <w:rPr>
          <w:rFonts w:ascii="Book Antiqua" w:hAnsi="Book Antiqua" w:cs="Arial"/>
        </w:rPr>
        <w:t>application.  Accordingly</w:t>
      </w:r>
      <w:r w:rsidRPr="00204890">
        <w:rPr>
          <w:rFonts w:ascii="Book Antiqua" w:hAnsi="Book Antiqua" w:cs="Arial"/>
        </w:rPr>
        <w:t>,</w:t>
      </w:r>
      <w:r w:rsidR="008604BE" w:rsidRPr="00204890">
        <w:rPr>
          <w:rFonts w:ascii="Book Antiqua" w:hAnsi="Book Antiqua" w:cs="Arial"/>
        </w:rPr>
        <w:t xml:space="preserve"> I find that the decision of the First-tier Tribunal does not conta</w:t>
      </w:r>
      <w:r>
        <w:rPr>
          <w:rFonts w:ascii="Book Antiqua" w:hAnsi="Book Antiqua" w:cs="Arial"/>
        </w:rPr>
        <w:t>in a material error of law and should stand.</w:t>
      </w:r>
    </w:p>
    <w:p w:rsidR="00204890" w:rsidRPr="00204890" w:rsidRDefault="00204890" w:rsidP="00204890">
      <w:pPr>
        <w:spacing w:before="240"/>
        <w:rPr>
          <w:rFonts w:ascii="Book Antiqua" w:hAnsi="Book Antiqua" w:cs="Arial"/>
          <w:b/>
        </w:rPr>
      </w:pPr>
      <w:r w:rsidRPr="00204890">
        <w:rPr>
          <w:rFonts w:ascii="Book Antiqua" w:hAnsi="Book Antiqua" w:cs="Arial"/>
          <w:b/>
        </w:rPr>
        <w:t>Decision</w:t>
      </w:r>
    </w:p>
    <w:p w:rsidR="00D949B7" w:rsidRDefault="00D949B7" w:rsidP="00273201">
      <w:pPr>
        <w:rPr>
          <w:rFonts w:ascii="Book Antiqua" w:hAnsi="Book Antiqua" w:cs="Arial"/>
        </w:rPr>
      </w:pPr>
    </w:p>
    <w:p w:rsidR="00204890" w:rsidRPr="00204890" w:rsidRDefault="00204890" w:rsidP="00204890">
      <w:pPr>
        <w:pStyle w:val="ListParagraph"/>
        <w:numPr>
          <w:ilvl w:val="0"/>
          <w:numId w:val="5"/>
        </w:numPr>
        <w:rPr>
          <w:rFonts w:ascii="Book Antiqua" w:hAnsi="Book Antiqua" w:cs="Arial"/>
        </w:rPr>
      </w:pPr>
      <w:r>
        <w:rPr>
          <w:rFonts w:ascii="Book Antiqua" w:hAnsi="Book Antiqua" w:cs="Arial"/>
        </w:rPr>
        <w:t>The decision of the First-tier Tribunal does not contain a material error of law and shall stand.</w:t>
      </w:r>
    </w:p>
    <w:p w:rsidR="00204890" w:rsidRPr="00204890" w:rsidRDefault="00204890" w:rsidP="00204890">
      <w:pPr>
        <w:pStyle w:val="ListParagraph"/>
        <w:rPr>
          <w:rFonts w:ascii="Book Antiqua" w:hAnsi="Book Antiqua" w:cs="Arial"/>
        </w:rPr>
      </w:pPr>
    </w:p>
    <w:p w:rsidR="00204890" w:rsidRDefault="00204890" w:rsidP="00204890">
      <w:pPr>
        <w:pStyle w:val="ListParagraph"/>
        <w:numPr>
          <w:ilvl w:val="0"/>
          <w:numId w:val="5"/>
        </w:numPr>
        <w:rPr>
          <w:rFonts w:ascii="Book Antiqua" w:hAnsi="Book Antiqua" w:cs="Arial"/>
        </w:rPr>
      </w:pPr>
      <w:r>
        <w:rPr>
          <w:rFonts w:ascii="Book Antiqua" w:hAnsi="Book Antiqua" w:cs="Arial"/>
        </w:rPr>
        <w:t>The appeal against the decision of the First-tier Tribunal is dismissed.</w:t>
      </w:r>
    </w:p>
    <w:p w:rsidR="00204890" w:rsidRPr="00204890" w:rsidRDefault="00204890" w:rsidP="00204890">
      <w:pPr>
        <w:pStyle w:val="ListParagraph"/>
        <w:rPr>
          <w:rFonts w:ascii="Book Antiqua" w:hAnsi="Book Antiqua" w:cs="Arial"/>
        </w:rPr>
      </w:pPr>
    </w:p>
    <w:p w:rsidR="009F5220" w:rsidRPr="00507339" w:rsidRDefault="009F5220" w:rsidP="00273201">
      <w:pPr>
        <w:rPr>
          <w:rFonts w:ascii="Book Antiqua" w:hAnsi="Book Antiqua" w:cs="Arial"/>
        </w:rPr>
      </w:pPr>
    </w:p>
    <w:tbl>
      <w:tblPr>
        <w:tblW w:w="0" w:type="auto"/>
        <w:tblLook w:val="01E0" w:firstRow="1" w:lastRow="1" w:firstColumn="1" w:lastColumn="1" w:noHBand="0" w:noVBand="0"/>
      </w:tblPr>
      <w:tblGrid>
        <w:gridCol w:w="4821"/>
        <w:gridCol w:w="4817"/>
      </w:tblGrid>
      <w:tr w:rsidR="00204890" w:rsidRPr="00B53DCC" w:rsidTr="00204890">
        <w:trPr>
          <w:trHeight w:val="277"/>
        </w:trPr>
        <w:tc>
          <w:tcPr>
            <w:tcW w:w="4916" w:type="dxa"/>
          </w:tcPr>
          <w:p w:rsidR="00204890" w:rsidRDefault="00204890" w:rsidP="00204890">
            <w:pPr>
              <w:tabs>
                <w:tab w:val="left" w:pos="2520"/>
              </w:tabs>
              <w:rPr>
                <w:rFonts w:ascii="Book Antiqua" w:hAnsi="Book Antiqua" w:cs="Arial"/>
              </w:rPr>
            </w:pPr>
          </w:p>
          <w:p w:rsidR="00204890" w:rsidRPr="00B53DCC" w:rsidRDefault="00204890" w:rsidP="00204890">
            <w:pPr>
              <w:tabs>
                <w:tab w:val="left" w:pos="2520"/>
              </w:tabs>
              <w:rPr>
                <w:rFonts w:ascii="Book Antiqua" w:hAnsi="Book Antiqua" w:cs="Arial"/>
              </w:rPr>
            </w:pPr>
            <w:r w:rsidRPr="00B53DCC">
              <w:rPr>
                <w:rFonts w:ascii="Book Antiqua" w:hAnsi="Book Antiqua" w:cs="Arial"/>
              </w:rPr>
              <w:t>Signed</w:t>
            </w:r>
          </w:p>
          <w:p w:rsidR="00204890" w:rsidRPr="00B53DCC" w:rsidRDefault="00204890" w:rsidP="00204890">
            <w:pPr>
              <w:tabs>
                <w:tab w:val="left" w:pos="2520"/>
              </w:tabs>
              <w:rPr>
                <w:rFonts w:ascii="Book Antiqua" w:hAnsi="Book Antiqua" w:cs="Arial"/>
              </w:rPr>
            </w:pP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204890" w:rsidRPr="00B53DCC" w:rsidRDefault="00204890" w:rsidP="00204890">
            <w:pPr>
              <w:tabs>
                <w:tab w:val="left" w:pos="2520"/>
              </w:tabs>
              <w:rPr>
                <w:rFonts w:ascii="Book Antiqua" w:hAnsi="Book Antiqua" w:cs="Arial"/>
              </w:rPr>
            </w:pPr>
          </w:p>
        </w:tc>
        <w:tc>
          <w:tcPr>
            <w:tcW w:w="4916" w:type="dxa"/>
          </w:tcPr>
          <w:p w:rsidR="00204890" w:rsidRPr="00B53DCC" w:rsidRDefault="00204890" w:rsidP="00204890">
            <w:pPr>
              <w:tabs>
                <w:tab w:val="left" w:pos="2520"/>
              </w:tabs>
              <w:rPr>
                <w:rFonts w:ascii="Book Antiqua" w:hAnsi="Book Antiqua" w:cs="Arial"/>
              </w:rPr>
            </w:pPr>
          </w:p>
        </w:tc>
      </w:tr>
      <w:tr w:rsidR="00204890" w:rsidRPr="00B53DCC" w:rsidTr="00204890">
        <w:trPr>
          <w:trHeight w:val="1383"/>
        </w:trPr>
        <w:tc>
          <w:tcPr>
            <w:tcW w:w="4916" w:type="dxa"/>
          </w:tcPr>
          <w:p w:rsidR="00204890" w:rsidRDefault="00204890" w:rsidP="00204890">
            <w:pPr>
              <w:tabs>
                <w:tab w:val="left" w:pos="2520"/>
              </w:tabs>
              <w:rPr>
                <w:rFonts w:ascii="Book Antiqua" w:hAnsi="Book Antiqua" w:cs="Arial"/>
              </w:rPr>
            </w:pPr>
          </w:p>
          <w:p w:rsidR="00204890" w:rsidRDefault="00204890" w:rsidP="00204890">
            <w:pPr>
              <w:tabs>
                <w:tab w:val="left" w:pos="2520"/>
              </w:tabs>
              <w:rPr>
                <w:rFonts w:ascii="Book Antiqua" w:hAnsi="Book Antiqua" w:cs="Arial"/>
              </w:rPr>
            </w:pPr>
            <w:r w:rsidRPr="00B53DCC">
              <w:rPr>
                <w:rFonts w:ascii="Book Antiqua" w:hAnsi="Book Antiqua" w:cs="Arial"/>
              </w:rPr>
              <w:t>Deputy Upper Tribunal Judge Sheridan</w:t>
            </w:r>
          </w:p>
          <w:p w:rsidR="00324C3F" w:rsidRDefault="00324C3F" w:rsidP="00204890">
            <w:pPr>
              <w:tabs>
                <w:tab w:val="left" w:pos="2520"/>
              </w:tabs>
              <w:rPr>
                <w:rFonts w:ascii="Book Antiqua" w:hAnsi="Book Antiqua" w:cs="Arial"/>
              </w:rPr>
            </w:pPr>
          </w:p>
          <w:p w:rsidR="00324C3F" w:rsidRDefault="00324C3F" w:rsidP="00204890">
            <w:pPr>
              <w:tabs>
                <w:tab w:val="left" w:pos="2520"/>
              </w:tabs>
              <w:rPr>
                <w:rFonts w:ascii="Book Antiqua" w:hAnsi="Book Antiqua" w:cs="Arial"/>
              </w:rPr>
            </w:pPr>
          </w:p>
          <w:p w:rsidR="00324C3F" w:rsidRDefault="00324C3F" w:rsidP="00204890">
            <w:pPr>
              <w:tabs>
                <w:tab w:val="left" w:pos="2520"/>
              </w:tabs>
              <w:rPr>
                <w:rFonts w:ascii="Book Antiqua" w:hAnsi="Book Antiqua" w:cs="Arial"/>
              </w:rPr>
            </w:pPr>
          </w:p>
          <w:p w:rsidR="00324C3F" w:rsidRDefault="00324C3F" w:rsidP="00204890">
            <w:pPr>
              <w:tabs>
                <w:tab w:val="left" w:pos="2520"/>
              </w:tabs>
              <w:rPr>
                <w:rFonts w:ascii="Book Antiqua" w:hAnsi="Book Antiqua" w:cs="Arial"/>
              </w:rPr>
            </w:pPr>
          </w:p>
          <w:p w:rsidR="00324C3F" w:rsidRPr="00B53DCC" w:rsidRDefault="00324C3F" w:rsidP="00204890">
            <w:pPr>
              <w:tabs>
                <w:tab w:val="left" w:pos="2520"/>
              </w:tabs>
              <w:rPr>
                <w:rFonts w:ascii="Book Antiqua" w:hAnsi="Book Antiqua" w:cs="Arial"/>
              </w:rPr>
            </w:pPr>
          </w:p>
        </w:tc>
        <w:tc>
          <w:tcPr>
            <w:tcW w:w="4916" w:type="dxa"/>
          </w:tcPr>
          <w:p w:rsidR="00204890" w:rsidRPr="00B53DCC" w:rsidRDefault="00204890" w:rsidP="00204890">
            <w:pPr>
              <w:tabs>
                <w:tab w:val="left" w:pos="2520"/>
              </w:tabs>
              <w:rPr>
                <w:rFonts w:ascii="Book Antiqua" w:hAnsi="Book Antiqua" w:cs="Arial"/>
              </w:rPr>
            </w:pPr>
          </w:p>
          <w:p w:rsidR="00204890" w:rsidRDefault="00204890" w:rsidP="00204890">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25 August </w:t>
            </w:r>
            <w:r w:rsidRPr="00B53DCC">
              <w:rPr>
                <w:rFonts w:ascii="Book Antiqua" w:hAnsi="Book Antiqua" w:cs="Arial"/>
              </w:rPr>
              <w:t>201</w:t>
            </w:r>
            <w:r>
              <w:rPr>
                <w:rFonts w:ascii="Book Antiqua" w:hAnsi="Book Antiqua" w:cs="Arial"/>
              </w:rPr>
              <w:t>8</w:t>
            </w:r>
          </w:p>
          <w:p w:rsidR="00D33C67" w:rsidRDefault="00D33C67" w:rsidP="00204890">
            <w:pPr>
              <w:tabs>
                <w:tab w:val="left" w:pos="2520"/>
              </w:tabs>
              <w:rPr>
                <w:rFonts w:ascii="Book Antiqua" w:hAnsi="Book Antiqua" w:cs="Arial"/>
              </w:rPr>
            </w:pPr>
          </w:p>
          <w:p w:rsidR="00D33C67" w:rsidRDefault="00D33C67" w:rsidP="00204890">
            <w:pPr>
              <w:tabs>
                <w:tab w:val="left" w:pos="2520"/>
              </w:tabs>
              <w:rPr>
                <w:rFonts w:ascii="Book Antiqua" w:hAnsi="Book Antiqua" w:cs="Arial"/>
              </w:rPr>
            </w:pPr>
          </w:p>
          <w:p w:rsidR="00D33C67" w:rsidRDefault="00D33C67" w:rsidP="00204890">
            <w:pPr>
              <w:tabs>
                <w:tab w:val="left" w:pos="2520"/>
              </w:tabs>
              <w:rPr>
                <w:rFonts w:ascii="Book Antiqua" w:hAnsi="Book Antiqua" w:cs="Arial"/>
              </w:rPr>
            </w:pPr>
          </w:p>
          <w:p w:rsidR="00D33C67" w:rsidRPr="00B53DCC" w:rsidRDefault="00D33C67" w:rsidP="00324C3F">
            <w:pPr>
              <w:tabs>
                <w:tab w:val="left" w:pos="2520"/>
              </w:tabs>
              <w:rPr>
                <w:rFonts w:ascii="Book Antiqua" w:hAnsi="Book Antiqua" w:cs="Arial"/>
              </w:rPr>
            </w:pPr>
          </w:p>
        </w:tc>
      </w:tr>
    </w:tbl>
    <w:p w:rsidR="00B95326" w:rsidRPr="009B7433" w:rsidRDefault="00B95326" w:rsidP="00324C3F">
      <w:pPr>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890" w:rsidRDefault="00204890">
      <w:r>
        <w:separator/>
      </w:r>
    </w:p>
  </w:endnote>
  <w:endnote w:type="continuationSeparator" w:id="0">
    <w:p w:rsidR="00204890" w:rsidRDefault="0020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90" w:rsidRPr="009B7433" w:rsidRDefault="00204890"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C76A6E">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90" w:rsidRPr="009B7433" w:rsidRDefault="004B1055" w:rsidP="004B70D7">
    <w:pPr>
      <w:jc w:val="center"/>
      <w:rPr>
        <w:rFonts w:ascii="Book Antiqua" w:hAnsi="Book Antiqua" w:cs="Arial"/>
        <w:b/>
      </w:rPr>
    </w:pPr>
    <w:r w:rsidRPr="004B1055">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890" w:rsidRDefault="00204890">
      <w:r>
        <w:separator/>
      </w:r>
    </w:p>
  </w:footnote>
  <w:footnote w:type="continuationSeparator" w:id="0">
    <w:p w:rsidR="00204890" w:rsidRDefault="00204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90" w:rsidRPr="009B7433" w:rsidRDefault="004B1055" w:rsidP="00593795">
    <w:pPr>
      <w:pStyle w:val="Header"/>
      <w:jc w:val="right"/>
      <w:rPr>
        <w:rFonts w:ascii="Book Antiqua" w:hAnsi="Book Antiqua" w:cs="Arial"/>
        <w:sz w:val="16"/>
        <w:szCs w:val="16"/>
      </w:rPr>
    </w:pPr>
    <w:r w:rsidRPr="004B1055">
      <w:rPr>
        <w:rFonts w:ascii="Book Antiqua" w:hAnsi="Book Antiqua" w:cs="Arial"/>
        <w:sz w:val="16"/>
        <w:szCs w:val="16"/>
      </w:rPr>
      <w:t>Appeal Number: HU/05780/2016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90" w:rsidRPr="009B7433" w:rsidRDefault="00204890">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3DF1"/>
    <w:multiLevelType w:val="hybridMultilevel"/>
    <w:tmpl w:val="2E2CDB8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257669C9"/>
    <w:multiLevelType w:val="hybridMultilevel"/>
    <w:tmpl w:val="A62C82C2"/>
    <w:lvl w:ilvl="0" w:tplc="0809000F">
      <w:start w:val="1"/>
      <w:numFmt w:val="decimal"/>
      <w:lvlText w:val="%1."/>
      <w:lvlJc w:val="left"/>
      <w:pPr>
        <w:tabs>
          <w:tab w:val="num" w:pos="540"/>
        </w:tabs>
        <w:ind w:left="540" w:hanging="360"/>
      </w:pPr>
    </w:lvl>
    <w:lvl w:ilvl="1" w:tplc="08090017">
      <w:start w:val="1"/>
      <w:numFmt w:val="lowerLetter"/>
      <w:lvlText w:val="%2)"/>
      <w:lvlJc w:val="left"/>
      <w:pPr>
        <w:tabs>
          <w:tab w:val="num" w:pos="1080"/>
        </w:tabs>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611F7F"/>
    <w:multiLevelType w:val="hybridMultilevel"/>
    <w:tmpl w:val="DFFA15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A96A1C8-3CE3-4703-B760-8B5D98546D5C}"/>
    <w:docVar w:name="dgnword-eventsink" w:val="209279328"/>
  </w:docVars>
  <w:rsids>
    <w:rsidRoot w:val="00E30E6D"/>
    <w:rsid w:val="00000621"/>
    <w:rsid w:val="00000A45"/>
    <w:rsid w:val="000036C2"/>
    <w:rsid w:val="00016C1A"/>
    <w:rsid w:val="00033588"/>
    <w:rsid w:val="00033D3D"/>
    <w:rsid w:val="0004776F"/>
    <w:rsid w:val="00052895"/>
    <w:rsid w:val="0006187A"/>
    <w:rsid w:val="00062F02"/>
    <w:rsid w:val="00071A7E"/>
    <w:rsid w:val="000746C0"/>
    <w:rsid w:val="00074D1D"/>
    <w:rsid w:val="00080214"/>
    <w:rsid w:val="00083D62"/>
    <w:rsid w:val="00092580"/>
    <w:rsid w:val="00093D4D"/>
    <w:rsid w:val="000A0743"/>
    <w:rsid w:val="000C442F"/>
    <w:rsid w:val="000D5D94"/>
    <w:rsid w:val="000D6142"/>
    <w:rsid w:val="000D7030"/>
    <w:rsid w:val="000D71DD"/>
    <w:rsid w:val="000E2C84"/>
    <w:rsid w:val="000F1A0E"/>
    <w:rsid w:val="001165A7"/>
    <w:rsid w:val="001276DE"/>
    <w:rsid w:val="00132E0D"/>
    <w:rsid w:val="0016508E"/>
    <w:rsid w:val="00167D3A"/>
    <w:rsid w:val="001716FA"/>
    <w:rsid w:val="001719BD"/>
    <w:rsid w:val="00173F50"/>
    <w:rsid w:val="00185986"/>
    <w:rsid w:val="001A3082"/>
    <w:rsid w:val="001B186A"/>
    <w:rsid w:val="001B2F75"/>
    <w:rsid w:val="001C6F5F"/>
    <w:rsid w:val="001D6167"/>
    <w:rsid w:val="001F2716"/>
    <w:rsid w:val="001F3AC0"/>
    <w:rsid w:val="00204890"/>
    <w:rsid w:val="00207617"/>
    <w:rsid w:val="002138EF"/>
    <w:rsid w:val="0023134B"/>
    <w:rsid w:val="00250589"/>
    <w:rsid w:val="00273201"/>
    <w:rsid w:val="0027477D"/>
    <w:rsid w:val="002765FA"/>
    <w:rsid w:val="00283659"/>
    <w:rsid w:val="00297559"/>
    <w:rsid w:val="002B6C65"/>
    <w:rsid w:val="002C55B2"/>
    <w:rsid w:val="002C6BD4"/>
    <w:rsid w:val="002D68BF"/>
    <w:rsid w:val="002D6BCB"/>
    <w:rsid w:val="002E4541"/>
    <w:rsid w:val="002F634A"/>
    <w:rsid w:val="002F6B98"/>
    <w:rsid w:val="00324C3F"/>
    <w:rsid w:val="00327749"/>
    <w:rsid w:val="00336CBF"/>
    <w:rsid w:val="00343FE3"/>
    <w:rsid w:val="003546C8"/>
    <w:rsid w:val="0037777D"/>
    <w:rsid w:val="003825D4"/>
    <w:rsid w:val="00384D22"/>
    <w:rsid w:val="00390568"/>
    <w:rsid w:val="003A7CF2"/>
    <w:rsid w:val="003B33A1"/>
    <w:rsid w:val="003B7A36"/>
    <w:rsid w:val="003C4CCD"/>
    <w:rsid w:val="003C5CE5"/>
    <w:rsid w:val="003D25F1"/>
    <w:rsid w:val="003D60DD"/>
    <w:rsid w:val="003D6FAD"/>
    <w:rsid w:val="003E267B"/>
    <w:rsid w:val="003E5355"/>
    <w:rsid w:val="003E7CD1"/>
    <w:rsid w:val="003F71D7"/>
    <w:rsid w:val="0040186A"/>
    <w:rsid w:val="00402B9E"/>
    <w:rsid w:val="004249CB"/>
    <w:rsid w:val="00434369"/>
    <w:rsid w:val="0044127D"/>
    <w:rsid w:val="004448DB"/>
    <w:rsid w:val="00446C9A"/>
    <w:rsid w:val="00446F1E"/>
    <w:rsid w:val="00452F2B"/>
    <w:rsid w:val="00477193"/>
    <w:rsid w:val="004A1848"/>
    <w:rsid w:val="004A2D15"/>
    <w:rsid w:val="004A534C"/>
    <w:rsid w:val="004A6F4A"/>
    <w:rsid w:val="004B1055"/>
    <w:rsid w:val="004B2043"/>
    <w:rsid w:val="004B70D7"/>
    <w:rsid w:val="004D6B45"/>
    <w:rsid w:val="004E4717"/>
    <w:rsid w:val="004F2676"/>
    <w:rsid w:val="004F36B5"/>
    <w:rsid w:val="00504EAB"/>
    <w:rsid w:val="00507339"/>
    <w:rsid w:val="00507FEC"/>
    <w:rsid w:val="00510F0E"/>
    <w:rsid w:val="005479E1"/>
    <w:rsid w:val="00553028"/>
    <w:rsid w:val="00553E0A"/>
    <w:rsid w:val="005570FD"/>
    <w:rsid w:val="005575EA"/>
    <w:rsid w:val="00563626"/>
    <w:rsid w:val="0057790C"/>
    <w:rsid w:val="00593795"/>
    <w:rsid w:val="005A75FF"/>
    <w:rsid w:val="005D10AB"/>
    <w:rsid w:val="005D1154"/>
    <w:rsid w:val="005F398C"/>
    <w:rsid w:val="00600136"/>
    <w:rsid w:val="00601D8F"/>
    <w:rsid w:val="00604EF7"/>
    <w:rsid w:val="00605582"/>
    <w:rsid w:val="00611F34"/>
    <w:rsid w:val="00614DE1"/>
    <w:rsid w:val="00621FE8"/>
    <w:rsid w:val="006230F2"/>
    <w:rsid w:val="006434B6"/>
    <w:rsid w:val="00653E97"/>
    <w:rsid w:val="006667DB"/>
    <w:rsid w:val="00684A74"/>
    <w:rsid w:val="0068620A"/>
    <w:rsid w:val="00690B8A"/>
    <w:rsid w:val="006C2FB8"/>
    <w:rsid w:val="006F2CF1"/>
    <w:rsid w:val="006F4103"/>
    <w:rsid w:val="0070316F"/>
    <w:rsid w:val="007038ED"/>
    <w:rsid w:val="00703BC3"/>
    <w:rsid w:val="00704B61"/>
    <w:rsid w:val="00715A64"/>
    <w:rsid w:val="007170B1"/>
    <w:rsid w:val="007217D8"/>
    <w:rsid w:val="00732584"/>
    <w:rsid w:val="00733DB9"/>
    <w:rsid w:val="00740C1F"/>
    <w:rsid w:val="00741F9A"/>
    <w:rsid w:val="00752D8F"/>
    <w:rsid w:val="007552A9"/>
    <w:rsid w:val="00755D3A"/>
    <w:rsid w:val="0075658A"/>
    <w:rsid w:val="00761858"/>
    <w:rsid w:val="00767D59"/>
    <w:rsid w:val="00772BE4"/>
    <w:rsid w:val="00776E97"/>
    <w:rsid w:val="00780F86"/>
    <w:rsid w:val="007845C5"/>
    <w:rsid w:val="007912AD"/>
    <w:rsid w:val="007A2871"/>
    <w:rsid w:val="007A7461"/>
    <w:rsid w:val="007B0824"/>
    <w:rsid w:val="007B1E11"/>
    <w:rsid w:val="007B4659"/>
    <w:rsid w:val="007B5D3C"/>
    <w:rsid w:val="007C59F7"/>
    <w:rsid w:val="007E1C3D"/>
    <w:rsid w:val="00804989"/>
    <w:rsid w:val="00815011"/>
    <w:rsid w:val="00821B72"/>
    <w:rsid w:val="0082229E"/>
    <w:rsid w:val="00823EF2"/>
    <w:rsid w:val="00824ED5"/>
    <w:rsid w:val="008303B8"/>
    <w:rsid w:val="00833DCE"/>
    <w:rsid w:val="00833E86"/>
    <w:rsid w:val="008604BE"/>
    <w:rsid w:val="00871D34"/>
    <w:rsid w:val="0088170D"/>
    <w:rsid w:val="008A25EC"/>
    <w:rsid w:val="008A6059"/>
    <w:rsid w:val="008B17FF"/>
    <w:rsid w:val="008B270C"/>
    <w:rsid w:val="008B5078"/>
    <w:rsid w:val="008C3D3D"/>
    <w:rsid w:val="008D4131"/>
    <w:rsid w:val="008F1932"/>
    <w:rsid w:val="0090151B"/>
    <w:rsid w:val="009042A9"/>
    <w:rsid w:val="00921062"/>
    <w:rsid w:val="009219D0"/>
    <w:rsid w:val="00936004"/>
    <w:rsid w:val="00964AF8"/>
    <w:rsid w:val="0096554A"/>
    <w:rsid w:val="009722BC"/>
    <w:rsid w:val="00972531"/>
    <w:rsid w:val="009727A3"/>
    <w:rsid w:val="00975AD1"/>
    <w:rsid w:val="00987774"/>
    <w:rsid w:val="00994FFC"/>
    <w:rsid w:val="009A11E8"/>
    <w:rsid w:val="009A76AC"/>
    <w:rsid w:val="009B7433"/>
    <w:rsid w:val="009C428C"/>
    <w:rsid w:val="009C57C8"/>
    <w:rsid w:val="009D348A"/>
    <w:rsid w:val="009D5D24"/>
    <w:rsid w:val="009D6C3D"/>
    <w:rsid w:val="009F394E"/>
    <w:rsid w:val="009F5220"/>
    <w:rsid w:val="00A07919"/>
    <w:rsid w:val="00A15234"/>
    <w:rsid w:val="00A172F5"/>
    <w:rsid w:val="00A201AB"/>
    <w:rsid w:val="00A31C8B"/>
    <w:rsid w:val="00A509FA"/>
    <w:rsid w:val="00A63FAD"/>
    <w:rsid w:val="00A83828"/>
    <w:rsid w:val="00A845DC"/>
    <w:rsid w:val="00A8646B"/>
    <w:rsid w:val="00AD5167"/>
    <w:rsid w:val="00AE106B"/>
    <w:rsid w:val="00AE3F24"/>
    <w:rsid w:val="00B10F80"/>
    <w:rsid w:val="00B13A46"/>
    <w:rsid w:val="00B16649"/>
    <w:rsid w:val="00B26AA2"/>
    <w:rsid w:val="00B3524D"/>
    <w:rsid w:val="00B35454"/>
    <w:rsid w:val="00B40F69"/>
    <w:rsid w:val="00B423C7"/>
    <w:rsid w:val="00B46616"/>
    <w:rsid w:val="00B528BB"/>
    <w:rsid w:val="00B67F2F"/>
    <w:rsid w:val="00B7040A"/>
    <w:rsid w:val="00B83391"/>
    <w:rsid w:val="00B9524F"/>
    <w:rsid w:val="00B95326"/>
    <w:rsid w:val="00BB05D6"/>
    <w:rsid w:val="00BB237B"/>
    <w:rsid w:val="00BD4196"/>
    <w:rsid w:val="00BF22CA"/>
    <w:rsid w:val="00BF23BB"/>
    <w:rsid w:val="00C26032"/>
    <w:rsid w:val="00C345E1"/>
    <w:rsid w:val="00C43BFD"/>
    <w:rsid w:val="00C6048A"/>
    <w:rsid w:val="00C716FC"/>
    <w:rsid w:val="00C7659E"/>
    <w:rsid w:val="00C76A6E"/>
    <w:rsid w:val="00C957A6"/>
    <w:rsid w:val="00CB6E35"/>
    <w:rsid w:val="00CE09B1"/>
    <w:rsid w:val="00CE1A46"/>
    <w:rsid w:val="00D01781"/>
    <w:rsid w:val="00D05EA6"/>
    <w:rsid w:val="00D20757"/>
    <w:rsid w:val="00D22636"/>
    <w:rsid w:val="00D30562"/>
    <w:rsid w:val="00D31A09"/>
    <w:rsid w:val="00D33C67"/>
    <w:rsid w:val="00D40FD9"/>
    <w:rsid w:val="00D43C6B"/>
    <w:rsid w:val="00D53769"/>
    <w:rsid w:val="00D6602D"/>
    <w:rsid w:val="00D7138D"/>
    <w:rsid w:val="00D7589C"/>
    <w:rsid w:val="00D77820"/>
    <w:rsid w:val="00D84167"/>
    <w:rsid w:val="00D85C13"/>
    <w:rsid w:val="00D9111A"/>
    <w:rsid w:val="00D91BE3"/>
    <w:rsid w:val="00D949B7"/>
    <w:rsid w:val="00D94AFC"/>
    <w:rsid w:val="00D9694E"/>
    <w:rsid w:val="00DA748A"/>
    <w:rsid w:val="00DB70AE"/>
    <w:rsid w:val="00DD5071"/>
    <w:rsid w:val="00DD5C39"/>
    <w:rsid w:val="00DE7DB7"/>
    <w:rsid w:val="00DF6E2A"/>
    <w:rsid w:val="00E00A0A"/>
    <w:rsid w:val="00E05AD9"/>
    <w:rsid w:val="00E066DE"/>
    <w:rsid w:val="00E07F57"/>
    <w:rsid w:val="00E117E4"/>
    <w:rsid w:val="00E30683"/>
    <w:rsid w:val="00E30E6D"/>
    <w:rsid w:val="00E36F28"/>
    <w:rsid w:val="00E42107"/>
    <w:rsid w:val="00E453D8"/>
    <w:rsid w:val="00E50BCE"/>
    <w:rsid w:val="00E574BF"/>
    <w:rsid w:val="00E61292"/>
    <w:rsid w:val="00E61942"/>
    <w:rsid w:val="00E63846"/>
    <w:rsid w:val="00E77C4D"/>
    <w:rsid w:val="00E81D01"/>
    <w:rsid w:val="00EB485A"/>
    <w:rsid w:val="00EB7038"/>
    <w:rsid w:val="00EE099D"/>
    <w:rsid w:val="00EE45D8"/>
    <w:rsid w:val="00F22EDA"/>
    <w:rsid w:val="00F32362"/>
    <w:rsid w:val="00F40176"/>
    <w:rsid w:val="00F470D6"/>
    <w:rsid w:val="00F5589A"/>
    <w:rsid w:val="00F62DBB"/>
    <w:rsid w:val="00FC40FA"/>
    <w:rsid w:val="00FE0F35"/>
    <w:rsid w:val="00FF1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11B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30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8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1902</Words>
  <Characters>9546</Characters>
  <Application>Microsoft Office Word</Application>
  <DocSecurity>0</DocSecurity>
  <Lines>79</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2018-09-18T14:15:00Z</dcterms:created>
  <dcterms:modified xsi:type="dcterms:W3CDTF">2018-09-18T14:15:00Z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