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E75E" w14:textId="77777777" w:rsidR="00933B65" w:rsidRPr="00F97703" w:rsidRDefault="00933B65" w:rsidP="00933B65">
      <w:pPr>
        <w:rPr>
          <w:rFonts w:ascii="Book Antiqua" w:hAnsi="Book Antiqua" w:cs="Arial"/>
          <w:color w:val="000000"/>
          <w:sz w:val="16"/>
          <w:szCs w:val="16"/>
        </w:rPr>
      </w:pPr>
    </w:p>
    <w:p w14:paraId="5C34E75F" w14:textId="77777777" w:rsidR="00933B65" w:rsidRDefault="00DD0BF7" w:rsidP="00933B65">
      <w:pPr>
        <w:jc w:val="center"/>
        <w:rPr>
          <w:rFonts w:ascii="Book Antiqua" w:hAnsi="Book Antiqua" w:cs="Arial"/>
          <w:color w:val="000000"/>
        </w:rPr>
      </w:pPr>
      <w:r>
        <w:rPr>
          <w:noProof/>
          <w:lang w:val="en-US" w:eastAsia="en-US"/>
        </w:rPr>
        <w:drawing>
          <wp:inline distT="0" distB="0" distL="0" distR="0" wp14:anchorId="5C34E7B9" wp14:editId="22212339">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5C34E760"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5C34E761" w14:textId="3AC8A0E2" w:rsidR="00933B65" w:rsidRDefault="00933B65" w:rsidP="00933B65">
      <w:pPr>
        <w:tabs>
          <w:tab w:val="right" w:pos="9720"/>
        </w:tabs>
        <w:ind w:right="-82"/>
        <w:rPr>
          <w:rFonts w:ascii="Book Antiqua" w:hAnsi="Book Antiqua" w:cs="Arial"/>
          <w:caps/>
          <w:color w:val="000000"/>
        </w:rPr>
      </w:pPr>
      <w:r w:rsidRPr="00F97703">
        <w:rPr>
          <w:rFonts w:ascii="Book Antiqua" w:hAnsi="Book Antiqua" w:cs="Arial"/>
          <w:b/>
          <w:color w:val="000000"/>
        </w:rPr>
        <w:t>(</w:t>
      </w:r>
      <w:r w:rsidR="00D40458">
        <w:rPr>
          <w:rFonts w:ascii="Book Antiqua" w:hAnsi="Book Antiqua" w:cs="Arial"/>
          <w:b/>
          <w:color w:val="000000"/>
        </w:rPr>
        <w:t xml:space="preserve">Immigration and Asylum </w:t>
      </w:r>
      <w:proofErr w:type="gramStart"/>
      <w:r w:rsidR="00D40458">
        <w:rPr>
          <w:rFonts w:ascii="Book Antiqua" w:hAnsi="Book Antiqua" w:cs="Arial"/>
          <w:b/>
          <w:color w:val="000000"/>
        </w:rPr>
        <w:t xml:space="preserve">Chamber)   </w:t>
      </w:r>
      <w:proofErr w:type="gramEnd"/>
      <w:r w:rsidR="00D40458">
        <w:rPr>
          <w:rFonts w:ascii="Book Antiqua" w:hAnsi="Book Antiqua" w:cs="Arial"/>
          <w:b/>
          <w:color w:val="000000"/>
        </w:rPr>
        <w:t xml:space="preserve">                         </w:t>
      </w:r>
      <w:r w:rsidRPr="00D40458">
        <w:rPr>
          <w:rFonts w:ascii="Book Antiqua" w:hAnsi="Book Antiqua" w:cs="Arial"/>
          <w:b/>
          <w:color w:val="000000"/>
        </w:rPr>
        <w:t xml:space="preserve">Appeal Number: </w:t>
      </w:r>
      <w:r w:rsidR="008A64E1" w:rsidRPr="00D40458">
        <w:rPr>
          <w:rFonts w:ascii="Book Antiqua" w:hAnsi="Book Antiqua" w:cs="Arial"/>
          <w:b/>
          <w:caps/>
          <w:color w:val="000000"/>
        </w:rPr>
        <w:t>HU/0</w:t>
      </w:r>
      <w:r w:rsidR="00ED6663" w:rsidRPr="00D40458">
        <w:rPr>
          <w:rFonts w:ascii="Book Antiqua" w:hAnsi="Book Antiqua" w:cs="Arial"/>
          <w:b/>
          <w:caps/>
          <w:color w:val="000000"/>
        </w:rPr>
        <w:t>620</w:t>
      </w:r>
      <w:r w:rsidR="008A64E1" w:rsidRPr="00D40458">
        <w:rPr>
          <w:rFonts w:ascii="Book Antiqua" w:hAnsi="Book Antiqua" w:cs="Arial"/>
          <w:b/>
          <w:caps/>
          <w:color w:val="000000"/>
        </w:rPr>
        <w:t>3/2016</w:t>
      </w:r>
    </w:p>
    <w:p w14:paraId="5C34E762" w14:textId="77777777" w:rsidR="00933B65" w:rsidRPr="00F97703" w:rsidRDefault="00933B65" w:rsidP="00933B65">
      <w:pPr>
        <w:jc w:val="center"/>
        <w:rPr>
          <w:rFonts w:ascii="Book Antiqua" w:hAnsi="Book Antiqua" w:cs="Arial"/>
          <w:color w:val="000000"/>
        </w:rPr>
      </w:pPr>
    </w:p>
    <w:p w14:paraId="5C34E763" w14:textId="77777777"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5C34E764" w14:textId="77777777" w:rsidR="00933B65" w:rsidRPr="00F97703" w:rsidRDefault="00933B65" w:rsidP="00933B65">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66"/>
        <w:gridCol w:w="4072"/>
      </w:tblGrid>
      <w:tr w:rsidR="00933B65" w:rsidRPr="00F97703" w14:paraId="5C34E768" w14:textId="77777777" w:rsidTr="00D40458">
        <w:tc>
          <w:tcPr>
            <w:tcW w:w="5566" w:type="dxa"/>
          </w:tcPr>
          <w:p w14:paraId="5C34E766" w14:textId="36A5F31C" w:rsidR="00933B65" w:rsidRPr="00F97703" w:rsidRDefault="00933B65" w:rsidP="00614E94">
            <w:pPr>
              <w:jc w:val="both"/>
              <w:rPr>
                <w:rFonts w:ascii="Book Antiqua" w:hAnsi="Book Antiqua" w:cs="Arial"/>
                <w:b/>
              </w:rPr>
            </w:pPr>
            <w:r w:rsidRPr="00F97703">
              <w:rPr>
                <w:rFonts w:ascii="Book Antiqua" w:hAnsi="Book Antiqua" w:cs="Arial"/>
                <w:b/>
              </w:rPr>
              <w:t xml:space="preserve">Heard at </w:t>
            </w:r>
            <w:r w:rsidR="008A64E1">
              <w:rPr>
                <w:rFonts w:ascii="Book Antiqua" w:hAnsi="Book Antiqua" w:cs="Arial"/>
                <w:b/>
              </w:rPr>
              <w:t>Bradford</w:t>
            </w:r>
          </w:p>
        </w:tc>
        <w:tc>
          <w:tcPr>
            <w:tcW w:w="4072" w:type="dxa"/>
          </w:tcPr>
          <w:p w14:paraId="5C34E767" w14:textId="77777777" w:rsidR="00933B65" w:rsidRPr="00F97703" w:rsidRDefault="00933B65" w:rsidP="00614E94">
            <w:pPr>
              <w:jc w:val="both"/>
              <w:rPr>
                <w:rFonts w:ascii="Book Antiqua" w:hAnsi="Book Antiqua" w:cs="Arial"/>
                <w:b/>
                <w:color w:val="000000"/>
              </w:rPr>
            </w:pPr>
            <w:r w:rsidRPr="00F97703">
              <w:rPr>
                <w:rFonts w:ascii="Book Antiqua" w:hAnsi="Book Antiqua" w:cs="Arial"/>
                <w:b/>
                <w:color w:val="000000"/>
              </w:rPr>
              <w:t>De</w:t>
            </w:r>
            <w:r w:rsidR="00BF1A16">
              <w:rPr>
                <w:rFonts w:ascii="Book Antiqua" w:hAnsi="Book Antiqua" w:cs="Arial"/>
                <w:b/>
                <w:color w:val="000000"/>
              </w:rPr>
              <w:t>cis</w:t>
            </w:r>
            <w:r w:rsidRPr="00F97703">
              <w:rPr>
                <w:rFonts w:ascii="Book Antiqua" w:hAnsi="Book Antiqua" w:cs="Arial"/>
                <w:b/>
                <w:color w:val="000000"/>
              </w:rPr>
              <w:t xml:space="preserve">ion </w:t>
            </w:r>
            <w:r w:rsidR="00BF1A16">
              <w:rPr>
                <w:rFonts w:ascii="Book Antiqua" w:hAnsi="Book Antiqua" w:cs="Arial"/>
                <w:b/>
                <w:color w:val="000000"/>
              </w:rPr>
              <w:t xml:space="preserve">&amp; Reasons </w:t>
            </w:r>
            <w:r w:rsidRPr="00F97703">
              <w:rPr>
                <w:rFonts w:ascii="Book Antiqua" w:hAnsi="Book Antiqua" w:cs="Arial"/>
                <w:b/>
                <w:color w:val="000000"/>
              </w:rPr>
              <w:t>Promulgated</w:t>
            </w:r>
          </w:p>
        </w:tc>
      </w:tr>
      <w:tr w:rsidR="00933B65" w:rsidRPr="00F97703" w14:paraId="5C34E76B" w14:textId="77777777" w:rsidTr="00D40458">
        <w:tc>
          <w:tcPr>
            <w:tcW w:w="5566" w:type="dxa"/>
          </w:tcPr>
          <w:p w14:paraId="5C34E769" w14:textId="3293BC44" w:rsidR="00933B65" w:rsidRPr="00F97703" w:rsidRDefault="00933B65" w:rsidP="00C0539C">
            <w:pPr>
              <w:tabs>
                <w:tab w:val="left" w:pos="1035"/>
              </w:tabs>
              <w:jc w:val="both"/>
              <w:rPr>
                <w:rFonts w:ascii="Book Antiqua" w:hAnsi="Book Antiqua" w:cs="Arial"/>
                <w:b/>
              </w:rPr>
            </w:pPr>
            <w:r w:rsidRPr="00F97703">
              <w:rPr>
                <w:rFonts w:ascii="Book Antiqua" w:hAnsi="Book Antiqua" w:cs="Arial"/>
                <w:b/>
              </w:rPr>
              <w:t xml:space="preserve">On </w:t>
            </w:r>
            <w:r w:rsidR="00C0539C">
              <w:rPr>
                <w:rFonts w:ascii="Book Antiqua" w:hAnsi="Book Antiqua" w:cs="Arial"/>
                <w:b/>
              </w:rPr>
              <w:t xml:space="preserve">15 </w:t>
            </w:r>
            <w:r w:rsidR="008A64E1">
              <w:rPr>
                <w:rFonts w:ascii="Book Antiqua" w:hAnsi="Book Antiqua" w:cs="Arial"/>
                <w:b/>
              </w:rPr>
              <w:t>May</w:t>
            </w:r>
            <w:r w:rsidR="00BF1A16">
              <w:rPr>
                <w:rFonts w:ascii="Book Antiqua" w:hAnsi="Book Antiqua" w:cs="Arial"/>
                <w:b/>
              </w:rPr>
              <w:t xml:space="preserve"> 201</w:t>
            </w:r>
            <w:r w:rsidR="008A64E1">
              <w:rPr>
                <w:rFonts w:ascii="Book Antiqua" w:hAnsi="Book Antiqua" w:cs="Arial"/>
                <w:b/>
              </w:rPr>
              <w:t>8</w:t>
            </w:r>
          </w:p>
        </w:tc>
        <w:tc>
          <w:tcPr>
            <w:tcW w:w="4072" w:type="dxa"/>
          </w:tcPr>
          <w:p w14:paraId="5C34E76A" w14:textId="5011E003" w:rsidR="00933B65" w:rsidRPr="00F97703" w:rsidRDefault="00AE28C5" w:rsidP="00614E94">
            <w:pPr>
              <w:jc w:val="both"/>
              <w:rPr>
                <w:rFonts w:ascii="Book Antiqua" w:hAnsi="Book Antiqua" w:cs="Arial"/>
                <w:b/>
              </w:rPr>
            </w:pPr>
            <w:r>
              <w:rPr>
                <w:rFonts w:ascii="Book Antiqua" w:hAnsi="Book Antiqua" w:cs="Arial"/>
                <w:b/>
              </w:rPr>
              <w:t>On 22 May 2018</w:t>
            </w:r>
          </w:p>
        </w:tc>
      </w:tr>
      <w:tr w:rsidR="00933B65" w:rsidRPr="00F97703" w14:paraId="5C34E76E" w14:textId="77777777" w:rsidTr="00D40458">
        <w:tc>
          <w:tcPr>
            <w:tcW w:w="5566" w:type="dxa"/>
          </w:tcPr>
          <w:p w14:paraId="5C34E76C" w14:textId="77777777" w:rsidR="00933B65" w:rsidRPr="00F97703" w:rsidRDefault="00933B65" w:rsidP="00614E94">
            <w:pPr>
              <w:jc w:val="both"/>
              <w:rPr>
                <w:rFonts w:ascii="Book Antiqua" w:hAnsi="Book Antiqua" w:cs="Arial"/>
                <w:b/>
              </w:rPr>
            </w:pPr>
          </w:p>
        </w:tc>
        <w:tc>
          <w:tcPr>
            <w:tcW w:w="4072" w:type="dxa"/>
          </w:tcPr>
          <w:p w14:paraId="5C34E76D" w14:textId="66ED1A6E" w:rsidR="00933B65" w:rsidRPr="00F97703" w:rsidRDefault="00933B65" w:rsidP="00614E94">
            <w:pPr>
              <w:jc w:val="both"/>
              <w:rPr>
                <w:rFonts w:ascii="Book Antiqua" w:hAnsi="Book Antiqua" w:cs="Arial"/>
                <w:b/>
              </w:rPr>
            </w:pPr>
          </w:p>
        </w:tc>
      </w:tr>
    </w:tbl>
    <w:p w14:paraId="5C34E76F" w14:textId="77777777" w:rsidR="00933B65" w:rsidRPr="00F97703" w:rsidRDefault="00933B65" w:rsidP="00933B65">
      <w:pPr>
        <w:jc w:val="center"/>
        <w:rPr>
          <w:rFonts w:ascii="Book Antiqua" w:hAnsi="Book Antiqua" w:cs="Arial"/>
        </w:rPr>
      </w:pPr>
    </w:p>
    <w:p w14:paraId="5C34E770" w14:textId="77777777"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5C34E771" w14:textId="77777777" w:rsidR="00933B65" w:rsidRPr="00F97703" w:rsidRDefault="00933B65" w:rsidP="00933B65">
      <w:pPr>
        <w:jc w:val="center"/>
        <w:rPr>
          <w:rFonts w:ascii="Book Antiqua" w:hAnsi="Book Antiqua" w:cs="Arial"/>
          <w:b/>
        </w:rPr>
      </w:pPr>
    </w:p>
    <w:p w14:paraId="5C34E772" w14:textId="14A1FE8A" w:rsidR="00933B65" w:rsidRPr="00F97703" w:rsidRDefault="00BF1A16" w:rsidP="00933B65">
      <w:pPr>
        <w:jc w:val="center"/>
        <w:rPr>
          <w:rFonts w:ascii="Book Antiqua" w:hAnsi="Book Antiqua" w:cs="Arial"/>
          <w:b/>
          <w:color w:val="000000"/>
        </w:rPr>
      </w:pPr>
      <w:r>
        <w:rPr>
          <w:rFonts w:ascii="Book Antiqua" w:hAnsi="Book Antiqua" w:cs="Arial"/>
          <w:b/>
          <w:color w:val="000000"/>
        </w:rPr>
        <w:t>DEPUTY UPPER TRIBUNAL JUDGE SAFFER</w:t>
      </w:r>
    </w:p>
    <w:p w14:paraId="5C34E773" w14:textId="77777777" w:rsidR="00933B65" w:rsidRPr="00F97703" w:rsidRDefault="00933B65" w:rsidP="00933B65">
      <w:pPr>
        <w:jc w:val="center"/>
        <w:rPr>
          <w:rFonts w:ascii="Book Antiqua" w:hAnsi="Book Antiqua" w:cs="Arial"/>
          <w:b/>
        </w:rPr>
      </w:pPr>
    </w:p>
    <w:p w14:paraId="5C34E774"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5C34E775" w14:textId="77777777" w:rsidR="00933B65" w:rsidRDefault="00933B65" w:rsidP="00933B65">
      <w:pPr>
        <w:jc w:val="center"/>
        <w:rPr>
          <w:rFonts w:ascii="Book Antiqua" w:hAnsi="Book Antiqua" w:cs="Arial"/>
          <w:b/>
        </w:rPr>
      </w:pPr>
    </w:p>
    <w:p w14:paraId="635B3306" w14:textId="77777777" w:rsidR="00ED6663" w:rsidRDefault="00ED6663" w:rsidP="00ED6663">
      <w:pPr>
        <w:jc w:val="center"/>
        <w:rPr>
          <w:rFonts w:ascii="Book Antiqua" w:hAnsi="Book Antiqua" w:cs="Arial"/>
          <w:b/>
        </w:rPr>
      </w:pPr>
      <w:r>
        <w:rPr>
          <w:rFonts w:ascii="Book Antiqua" w:hAnsi="Book Antiqua" w:cs="Arial"/>
          <w:b/>
        </w:rPr>
        <w:t>ENTRY CLEARANCE OFFICER</w:t>
      </w:r>
    </w:p>
    <w:p w14:paraId="5C34E777" w14:textId="7A51415F"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14:paraId="5C34E778"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5C34E779" w14:textId="77777777" w:rsidR="00933B65" w:rsidRPr="00F97703" w:rsidRDefault="00933B65" w:rsidP="00933B65">
      <w:pPr>
        <w:jc w:val="center"/>
        <w:rPr>
          <w:rFonts w:ascii="Book Antiqua" w:hAnsi="Book Antiqua" w:cs="Arial"/>
          <w:b/>
        </w:rPr>
      </w:pPr>
    </w:p>
    <w:p w14:paraId="49119435" w14:textId="77777777" w:rsidR="00ED6663" w:rsidRDefault="00ED6663" w:rsidP="00ED6663">
      <w:pPr>
        <w:jc w:val="center"/>
        <w:rPr>
          <w:rFonts w:ascii="Book Antiqua" w:hAnsi="Book Antiqua" w:cs="Arial"/>
          <w:b/>
        </w:rPr>
      </w:pPr>
      <w:r>
        <w:rPr>
          <w:rFonts w:ascii="Book Antiqua" w:hAnsi="Book Antiqua" w:cs="Arial"/>
          <w:b/>
        </w:rPr>
        <w:t xml:space="preserve"> MARIA KOUSAR</w:t>
      </w:r>
    </w:p>
    <w:p w14:paraId="5C34E77B" w14:textId="426F99F5" w:rsidR="005E08F0" w:rsidRPr="00D40458" w:rsidRDefault="00ED6663" w:rsidP="00ED6663">
      <w:pPr>
        <w:jc w:val="center"/>
        <w:rPr>
          <w:rFonts w:ascii="Book Antiqua" w:hAnsi="Book Antiqua" w:cs="Arial"/>
        </w:rPr>
      </w:pPr>
      <w:r w:rsidRPr="00D40458">
        <w:rPr>
          <w:rFonts w:ascii="Book Antiqua" w:hAnsi="Book Antiqua" w:cs="Arial"/>
        </w:rPr>
        <w:t xml:space="preserve"> </w:t>
      </w:r>
      <w:r w:rsidR="007402C4" w:rsidRPr="00D40458">
        <w:rPr>
          <w:rFonts w:ascii="Book Antiqua" w:hAnsi="Book Antiqua" w:cs="Arial"/>
        </w:rPr>
        <w:t>(</w:t>
      </w:r>
      <w:r w:rsidR="00262DD1" w:rsidRPr="00D40458">
        <w:rPr>
          <w:rFonts w:ascii="Book Antiqua" w:hAnsi="Book Antiqua" w:cs="Arial"/>
        </w:rPr>
        <w:t xml:space="preserve">NO </w:t>
      </w:r>
      <w:r w:rsidR="005E08F0" w:rsidRPr="00D40458">
        <w:rPr>
          <w:rFonts w:ascii="Book Antiqua" w:hAnsi="Book Antiqua" w:cs="Arial"/>
        </w:rPr>
        <w:t>ANONYMITY ORDER MADE)</w:t>
      </w:r>
    </w:p>
    <w:p w14:paraId="5C34E77C"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5C34E77D" w14:textId="77777777" w:rsidR="00933B65" w:rsidRPr="00F97703" w:rsidRDefault="00933B65" w:rsidP="00933B65">
      <w:pPr>
        <w:rPr>
          <w:rFonts w:ascii="Book Antiqua" w:hAnsi="Book Antiqua" w:cs="Arial"/>
          <w:u w:val="single"/>
        </w:rPr>
      </w:pPr>
    </w:p>
    <w:p w14:paraId="5C34E77E" w14:textId="4498AA3E" w:rsidR="00933B65" w:rsidRDefault="00933B65" w:rsidP="00933B65">
      <w:pPr>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14:paraId="2FC7DB0D" w14:textId="77777777" w:rsidR="00D40458" w:rsidRPr="00F97703" w:rsidRDefault="00D40458" w:rsidP="00933B65">
      <w:pPr>
        <w:rPr>
          <w:rFonts w:ascii="Book Antiqua" w:hAnsi="Book Antiqua" w:cs="Arial"/>
        </w:rPr>
      </w:pPr>
    </w:p>
    <w:p w14:paraId="5C34E77F" w14:textId="41D49776" w:rsidR="00933B65" w:rsidRDefault="00933B65" w:rsidP="005E08F0">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ED6663">
        <w:rPr>
          <w:rFonts w:ascii="Book Antiqua" w:hAnsi="Book Antiqua" w:cs="Arial"/>
        </w:rPr>
        <w:t xml:space="preserve">Mr </w:t>
      </w:r>
      <w:proofErr w:type="spellStart"/>
      <w:r w:rsidR="00ED6663">
        <w:rPr>
          <w:rFonts w:ascii="Book Antiqua" w:hAnsi="Book Antiqua" w:cs="Arial"/>
        </w:rPr>
        <w:t>Diwnycz</w:t>
      </w:r>
      <w:proofErr w:type="spellEnd"/>
      <w:r w:rsidR="00ED6663">
        <w:rPr>
          <w:rFonts w:ascii="Book Antiqua" w:hAnsi="Book Antiqua" w:cs="Arial"/>
        </w:rPr>
        <w:t xml:space="preserve"> a Home Office Presenting Officer </w:t>
      </w:r>
    </w:p>
    <w:p w14:paraId="5C34E781" w14:textId="78E4B077" w:rsidR="00933B65" w:rsidRDefault="00933B65" w:rsidP="008A64E1">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ED6663">
        <w:rPr>
          <w:rFonts w:ascii="Book Antiqua" w:hAnsi="Book Antiqua" w:cs="Arial"/>
        </w:rPr>
        <w:t xml:space="preserve">Mr </w:t>
      </w:r>
      <w:proofErr w:type="spellStart"/>
      <w:r w:rsidR="00ED6663">
        <w:rPr>
          <w:rFonts w:ascii="Book Antiqua" w:hAnsi="Book Antiqua" w:cs="Arial"/>
        </w:rPr>
        <w:t>O’Ryan</w:t>
      </w:r>
      <w:proofErr w:type="spellEnd"/>
      <w:r w:rsidR="00ED6663">
        <w:rPr>
          <w:rFonts w:ascii="Book Antiqua" w:hAnsi="Book Antiqua" w:cs="Arial"/>
        </w:rPr>
        <w:t xml:space="preserve"> of Counsel</w:t>
      </w:r>
      <w:r w:rsidR="008A64E1">
        <w:rPr>
          <w:rFonts w:ascii="Book Antiqua" w:hAnsi="Book Antiqua" w:cs="Arial"/>
        </w:rPr>
        <w:t xml:space="preserve"> </w:t>
      </w:r>
    </w:p>
    <w:p w14:paraId="38967F56" w14:textId="77777777" w:rsidR="008A64E1" w:rsidRDefault="008A64E1" w:rsidP="008A64E1">
      <w:pPr>
        <w:tabs>
          <w:tab w:val="left" w:pos="2520"/>
        </w:tabs>
        <w:rPr>
          <w:rFonts w:ascii="Book Antiqua" w:hAnsi="Book Antiqua" w:cs="Arial"/>
        </w:rPr>
      </w:pPr>
    </w:p>
    <w:p w14:paraId="5C34E782" w14:textId="77777777" w:rsidR="00011257" w:rsidRDefault="00270D89" w:rsidP="00D7045C">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14:paraId="37CBD83A" w14:textId="0B7F8BE0" w:rsidR="00ED6663" w:rsidRPr="00232E17" w:rsidRDefault="00ED6663" w:rsidP="00ED6663">
      <w:pPr>
        <w:tabs>
          <w:tab w:val="left" w:pos="567"/>
        </w:tabs>
        <w:jc w:val="both"/>
        <w:rPr>
          <w:rFonts w:ascii="Book Antiqua" w:hAnsi="Book Antiqua" w:cs="Arial"/>
          <w:color w:val="000000"/>
        </w:rPr>
      </w:pPr>
    </w:p>
    <w:p w14:paraId="743C63A8" w14:textId="0CD6AAAC" w:rsidR="00ED6663" w:rsidRPr="00C0539C" w:rsidRDefault="00ED6663" w:rsidP="00ED6663">
      <w:pPr>
        <w:numPr>
          <w:ilvl w:val="0"/>
          <w:numId w:val="1"/>
        </w:numPr>
        <w:tabs>
          <w:tab w:val="left" w:pos="567"/>
        </w:tabs>
        <w:jc w:val="both"/>
        <w:rPr>
          <w:rFonts w:ascii="Book Antiqua" w:hAnsi="Book Antiqua" w:cs="Arial"/>
        </w:rPr>
      </w:pPr>
      <w:proofErr w:type="gramStart"/>
      <w:r>
        <w:rPr>
          <w:rFonts w:ascii="Book Antiqua" w:hAnsi="Book Antiqua" w:cs="Arial"/>
          <w:color w:val="000000"/>
        </w:rPr>
        <w:t>For the purpose of</w:t>
      </w:r>
      <w:proofErr w:type="gramEnd"/>
      <w:r>
        <w:rPr>
          <w:rFonts w:ascii="Book Antiqua" w:hAnsi="Book Antiqua" w:cs="Arial"/>
          <w:color w:val="000000"/>
        </w:rPr>
        <w:t xml:space="preserve"> continuity with the determination in the First-tier Tribunal I will hereinafter refer to the </w:t>
      </w:r>
      <w:r w:rsidR="003E0990">
        <w:rPr>
          <w:rFonts w:ascii="Book Antiqua" w:hAnsi="Book Antiqua" w:cs="Arial"/>
          <w:color w:val="000000"/>
        </w:rPr>
        <w:t>Entry Clearance Officer</w:t>
      </w:r>
      <w:r>
        <w:rPr>
          <w:rFonts w:ascii="Book Antiqua" w:hAnsi="Book Antiqua" w:cs="Arial"/>
          <w:color w:val="000000"/>
        </w:rPr>
        <w:t xml:space="preserve"> as the Respondent and Mrs </w:t>
      </w:r>
      <w:proofErr w:type="spellStart"/>
      <w:r>
        <w:rPr>
          <w:rFonts w:ascii="Book Antiqua" w:hAnsi="Book Antiqua" w:cs="Arial"/>
          <w:color w:val="000000"/>
        </w:rPr>
        <w:t>Kousar</w:t>
      </w:r>
      <w:proofErr w:type="spellEnd"/>
      <w:r>
        <w:rPr>
          <w:rFonts w:ascii="Book Antiqua" w:hAnsi="Book Antiqua" w:cs="Arial"/>
          <w:color w:val="000000"/>
        </w:rPr>
        <w:t xml:space="preserve"> as the Appellant.</w:t>
      </w:r>
    </w:p>
    <w:p w14:paraId="4028FD4F" w14:textId="222EC059" w:rsidR="006053DD" w:rsidRDefault="006053DD" w:rsidP="00DA6438">
      <w:pPr>
        <w:tabs>
          <w:tab w:val="left" w:pos="567"/>
        </w:tabs>
        <w:jc w:val="both"/>
        <w:rPr>
          <w:rFonts w:ascii="Book Antiqua" w:hAnsi="Book Antiqua" w:cs="Arial"/>
        </w:rPr>
      </w:pPr>
    </w:p>
    <w:p w14:paraId="7695EE12" w14:textId="5D3D9477" w:rsidR="00DA6438" w:rsidRPr="00DA6438" w:rsidRDefault="00DA6438" w:rsidP="00DA6438">
      <w:pPr>
        <w:tabs>
          <w:tab w:val="left" w:pos="567"/>
        </w:tabs>
        <w:jc w:val="both"/>
        <w:rPr>
          <w:rFonts w:ascii="Book Antiqua" w:hAnsi="Book Antiqua" w:cs="Arial"/>
          <w:u w:val="single"/>
        </w:rPr>
      </w:pPr>
      <w:r w:rsidRPr="00DA6438">
        <w:rPr>
          <w:rFonts w:ascii="Book Antiqua" w:hAnsi="Book Antiqua" w:cs="Arial"/>
          <w:u w:val="single"/>
        </w:rPr>
        <w:t>Background</w:t>
      </w:r>
    </w:p>
    <w:p w14:paraId="1E75837B" w14:textId="77777777" w:rsidR="00DA6438" w:rsidRPr="006053DD" w:rsidRDefault="00DA6438" w:rsidP="00DA6438">
      <w:pPr>
        <w:tabs>
          <w:tab w:val="left" w:pos="567"/>
        </w:tabs>
        <w:jc w:val="both"/>
        <w:rPr>
          <w:rFonts w:ascii="Book Antiqua" w:hAnsi="Book Antiqua" w:cs="Arial"/>
        </w:rPr>
      </w:pPr>
    </w:p>
    <w:p w14:paraId="5C34E789" w14:textId="37FDC815" w:rsidR="00E90F7B" w:rsidRDefault="00202264" w:rsidP="00E90F7B">
      <w:pPr>
        <w:numPr>
          <w:ilvl w:val="0"/>
          <w:numId w:val="1"/>
        </w:numPr>
        <w:tabs>
          <w:tab w:val="clear" w:pos="927"/>
          <w:tab w:val="left" w:pos="567"/>
        </w:tabs>
        <w:jc w:val="both"/>
        <w:rPr>
          <w:rFonts w:ascii="Book Antiqua" w:hAnsi="Book Antiqua" w:cs="Arial"/>
        </w:rPr>
      </w:pPr>
      <w:r>
        <w:rPr>
          <w:rFonts w:ascii="Book Antiqua" w:hAnsi="Book Antiqua" w:cs="Arial"/>
          <w:color w:val="000000"/>
        </w:rPr>
        <w:t>The R</w:t>
      </w:r>
      <w:r w:rsidR="00AA1D4B">
        <w:rPr>
          <w:rFonts w:ascii="Book Antiqua" w:hAnsi="Book Antiqua" w:cs="Arial"/>
          <w:color w:val="000000"/>
        </w:rPr>
        <w:t xml:space="preserve">espondent </w:t>
      </w:r>
      <w:r w:rsidR="00AC15AB">
        <w:rPr>
          <w:rFonts w:ascii="Book Antiqua" w:hAnsi="Book Antiqua" w:cs="Arial"/>
          <w:color w:val="000000"/>
        </w:rPr>
        <w:t>refus</w:t>
      </w:r>
      <w:r w:rsidR="00D03E6B">
        <w:rPr>
          <w:rFonts w:ascii="Book Antiqua" w:hAnsi="Book Antiqua" w:cs="Arial"/>
          <w:color w:val="000000"/>
        </w:rPr>
        <w:t>ed</w:t>
      </w:r>
      <w:r w:rsidR="00AA1D4B">
        <w:rPr>
          <w:rFonts w:ascii="Book Antiqua" w:hAnsi="Book Antiqua" w:cs="Arial"/>
          <w:color w:val="000000"/>
        </w:rPr>
        <w:t xml:space="preserve"> </w:t>
      </w:r>
      <w:r>
        <w:rPr>
          <w:rFonts w:ascii="Book Antiqua" w:hAnsi="Book Antiqua" w:cs="Arial"/>
          <w:color w:val="000000"/>
        </w:rPr>
        <w:t>the A</w:t>
      </w:r>
      <w:r w:rsidR="006053DD">
        <w:rPr>
          <w:rFonts w:ascii="Book Antiqua" w:hAnsi="Book Antiqua" w:cs="Arial"/>
          <w:color w:val="000000"/>
        </w:rPr>
        <w:t>ppellant</w:t>
      </w:r>
      <w:r w:rsidR="00161EDA">
        <w:rPr>
          <w:rFonts w:ascii="Book Antiqua" w:hAnsi="Book Antiqua" w:cs="Arial"/>
          <w:color w:val="000000"/>
        </w:rPr>
        <w:t>’</w:t>
      </w:r>
      <w:r w:rsidR="004F6DB6">
        <w:rPr>
          <w:rFonts w:ascii="Book Antiqua" w:hAnsi="Book Antiqua" w:cs="Arial"/>
          <w:color w:val="000000"/>
        </w:rPr>
        <w:t xml:space="preserve">s </w:t>
      </w:r>
      <w:r w:rsidR="00FC784B">
        <w:rPr>
          <w:rFonts w:ascii="Book Antiqua" w:hAnsi="Book Antiqua" w:cs="Arial"/>
          <w:color w:val="000000"/>
        </w:rPr>
        <w:t xml:space="preserve">application for </w:t>
      </w:r>
      <w:r w:rsidR="00D03E6B">
        <w:rPr>
          <w:rFonts w:ascii="Book Antiqua" w:hAnsi="Book Antiqua" w:cs="Arial"/>
          <w:color w:val="000000"/>
        </w:rPr>
        <w:t xml:space="preserve">leave to </w:t>
      </w:r>
      <w:r w:rsidR="008A64E1">
        <w:rPr>
          <w:rFonts w:ascii="Book Antiqua" w:hAnsi="Book Antiqua" w:cs="Arial"/>
          <w:color w:val="000000"/>
        </w:rPr>
        <w:t>enter</w:t>
      </w:r>
      <w:r w:rsidR="00D03E6B">
        <w:rPr>
          <w:rFonts w:ascii="Book Antiqua" w:hAnsi="Book Antiqua" w:cs="Arial"/>
          <w:color w:val="000000"/>
        </w:rPr>
        <w:t xml:space="preserve"> </w:t>
      </w:r>
      <w:r w:rsidR="006053DD">
        <w:rPr>
          <w:rFonts w:ascii="Book Antiqua" w:hAnsi="Book Antiqua" w:cs="Arial"/>
          <w:color w:val="000000"/>
        </w:rPr>
        <w:t xml:space="preserve">as </w:t>
      </w:r>
      <w:r w:rsidR="00161EDA">
        <w:rPr>
          <w:rFonts w:ascii="Book Antiqua" w:hAnsi="Book Antiqua" w:cs="Arial"/>
          <w:color w:val="000000"/>
        </w:rPr>
        <w:t>a spouse</w:t>
      </w:r>
      <w:r w:rsidR="006053DD">
        <w:rPr>
          <w:rFonts w:ascii="Book Antiqua" w:hAnsi="Book Antiqua" w:cs="Arial"/>
          <w:color w:val="000000"/>
        </w:rPr>
        <w:t xml:space="preserve"> </w:t>
      </w:r>
      <w:r w:rsidR="00AA1D4B">
        <w:rPr>
          <w:rFonts w:ascii="Book Antiqua" w:hAnsi="Book Antiqua" w:cs="Arial"/>
          <w:color w:val="000000"/>
        </w:rPr>
        <w:t xml:space="preserve">on </w:t>
      </w:r>
      <w:r w:rsidR="00161EDA">
        <w:rPr>
          <w:rFonts w:ascii="Book Antiqua" w:hAnsi="Book Antiqua" w:cs="Arial"/>
          <w:color w:val="000000"/>
        </w:rPr>
        <w:t>22</w:t>
      </w:r>
      <w:r w:rsidR="006053DD">
        <w:rPr>
          <w:rFonts w:ascii="Book Antiqua" w:hAnsi="Book Antiqua" w:cs="Arial"/>
          <w:color w:val="000000"/>
        </w:rPr>
        <w:t xml:space="preserve"> Jan</w:t>
      </w:r>
      <w:r w:rsidR="00A50210">
        <w:rPr>
          <w:rFonts w:ascii="Book Antiqua" w:hAnsi="Book Antiqua" w:cs="Arial"/>
          <w:color w:val="000000"/>
        </w:rPr>
        <w:t>uary</w:t>
      </w:r>
      <w:r w:rsidR="004F6DB6">
        <w:rPr>
          <w:rFonts w:ascii="Book Antiqua" w:hAnsi="Book Antiqua" w:cs="Arial"/>
          <w:color w:val="000000"/>
        </w:rPr>
        <w:t xml:space="preserve"> 201</w:t>
      </w:r>
      <w:r w:rsidR="006053DD">
        <w:rPr>
          <w:rFonts w:ascii="Book Antiqua" w:hAnsi="Book Antiqua" w:cs="Arial"/>
          <w:color w:val="000000"/>
        </w:rPr>
        <w:t>6</w:t>
      </w:r>
      <w:r w:rsidR="00AA1D4B">
        <w:rPr>
          <w:rFonts w:ascii="Book Antiqua" w:hAnsi="Book Antiqua" w:cs="Arial"/>
          <w:color w:val="000000"/>
        </w:rPr>
        <w:t xml:space="preserve">. </w:t>
      </w:r>
      <w:r w:rsidR="00161EDA">
        <w:rPr>
          <w:rFonts w:ascii="Book Antiqua" w:hAnsi="Book Antiqua" w:cs="Arial"/>
          <w:color w:val="000000"/>
        </w:rPr>
        <w:t>The</w:t>
      </w:r>
      <w:r w:rsidR="00875DFA">
        <w:rPr>
          <w:rFonts w:ascii="Book Antiqua" w:hAnsi="Book Antiqua" w:cs="Arial"/>
          <w:color w:val="000000"/>
        </w:rPr>
        <w:t xml:space="preserve"> appeal</w:t>
      </w:r>
      <w:r w:rsidR="00222564">
        <w:rPr>
          <w:rFonts w:ascii="Book Antiqua" w:hAnsi="Book Antiqua" w:cs="Arial"/>
          <w:color w:val="000000"/>
        </w:rPr>
        <w:t xml:space="preserve"> against </w:t>
      </w:r>
      <w:r w:rsidR="00D03E6B">
        <w:rPr>
          <w:rFonts w:ascii="Book Antiqua" w:hAnsi="Book Antiqua" w:cs="Arial"/>
          <w:color w:val="000000"/>
        </w:rPr>
        <w:t>this</w:t>
      </w:r>
      <w:r w:rsidR="00283223">
        <w:rPr>
          <w:rFonts w:ascii="Book Antiqua" w:hAnsi="Book Antiqua" w:cs="Arial"/>
          <w:color w:val="000000"/>
        </w:rPr>
        <w:t xml:space="preserve"> </w:t>
      </w:r>
      <w:r w:rsidR="00493DD0">
        <w:rPr>
          <w:rFonts w:ascii="Book Antiqua" w:hAnsi="Book Antiqua" w:cs="Arial"/>
          <w:color w:val="000000"/>
        </w:rPr>
        <w:t>w</w:t>
      </w:r>
      <w:r w:rsidR="00875DFA">
        <w:rPr>
          <w:rFonts w:ascii="Book Antiqua" w:hAnsi="Book Antiqua" w:cs="Arial"/>
          <w:color w:val="000000"/>
        </w:rPr>
        <w:t>as</w:t>
      </w:r>
      <w:r w:rsidR="00493DD0">
        <w:rPr>
          <w:rFonts w:ascii="Book Antiqua" w:hAnsi="Book Antiqua" w:cs="Arial"/>
          <w:color w:val="000000"/>
        </w:rPr>
        <w:t xml:space="preserve"> </w:t>
      </w:r>
      <w:r w:rsidR="009E49AA">
        <w:rPr>
          <w:rFonts w:ascii="Book Antiqua" w:hAnsi="Book Antiqua" w:cs="Arial"/>
          <w:color w:val="000000"/>
        </w:rPr>
        <w:t>allow</w:t>
      </w:r>
      <w:r w:rsidR="00493DD0">
        <w:rPr>
          <w:rFonts w:ascii="Book Antiqua" w:hAnsi="Book Antiqua" w:cs="Arial"/>
          <w:color w:val="000000"/>
        </w:rPr>
        <w:t xml:space="preserve">ed </w:t>
      </w:r>
      <w:r w:rsidR="00875DFA">
        <w:rPr>
          <w:rFonts w:ascii="Book Antiqua" w:hAnsi="Book Antiqua" w:cs="Arial"/>
          <w:color w:val="000000"/>
        </w:rPr>
        <w:t xml:space="preserve">by </w:t>
      </w:r>
      <w:r w:rsidR="00811CA1">
        <w:rPr>
          <w:rFonts w:ascii="Book Antiqua" w:hAnsi="Book Antiqua" w:cs="Arial"/>
        </w:rPr>
        <w:t>First-tier</w:t>
      </w:r>
      <w:r w:rsidR="00493DD0">
        <w:rPr>
          <w:rFonts w:ascii="Book Antiqua" w:hAnsi="Book Antiqua" w:cs="Arial"/>
        </w:rPr>
        <w:t xml:space="preserve"> Tribunal Judge </w:t>
      </w:r>
      <w:r w:rsidR="00161EDA">
        <w:rPr>
          <w:rFonts w:ascii="Book Antiqua" w:hAnsi="Book Antiqua" w:cs="Arial"/>
        </w:rPr>
        <w:t>Drake</w:t>
      </w:r>
      <w:r w:rsidR="006053DD">
        <w:rPr>
          <w:rFonts w:ascii="Book Antiqua" w:hAnsi="Book Antiqua" w:cs="Arial"/>
        </w:rPr>
        <w:t xml:space="preserve"> </w:t>
      </w:r>
      <w:r w:rsidR="00283223">
        <w:rPr>
          <w:rFonts w:ascii="Book Antiqua" w:hAnsi="Book Antiqua" w:cs="Arial"/>
        </w:rPr>
        <w:t xml:space="preserve">(“the Judge”) </w:t>
      </w:r>
      <w:r w:rsidR="00493DD0">
        <w:rPr>
          <w:rFonts w:ascii="Book Antiqua" w:hAnsi="Book Antiqua" w:cs="Arial"/>
        </w:rPr>
        <w:t xml:space="preserve">following a hearing on </w:t>
      </w:r>
      <w:r w:rsidR="00161EDA">
        <w:rPr>
          <w:rFonts w:ascii="Book Antiqua" w:hAnsi="Book Antiqua" w:cs="Arial"/>
        </w:rPr>
        <w:t>11</w:t>
      </w:r>
      <w:r w:rsidR="00A50210">
        <w:rPr>
          <w:rFonts w:ascii="Book Antiqua" w:hAnsi="Book Antiqua" w:cs="Arial"/>
        </w:rPr>
        <w:t xml:space="preserve"> </w:t>
      </w:r>
      <w:r w:rsidR="006053DD">
        <w:rPr>
          <w:rFonts w:ascii="Book Antiqua" w:hAnsi="Book Antiqua" w:cs="Arial"/>
        </w:rPr>
        <w:t>August 2017</w:t>
      </w:r>
      <w:r w:rsidR="00283223">
        <w:rPr>
          <w:rFonts w:ascii="Book Antiqua" w:hAnsi="Book Antiqua" w:cs="Arial"/>
        </w:rPr>
        <w:t xml:space="preserve">. </w:t>
      </w:r>
    </w:p>
    <w:p w14:paraId="76539126" w14:textId="77777777" w:rsidR="00161EDA" w:rsidRPr="00DA6438" w:rsidRDefault="00161EDA" w:rsidP="00161EDA">
      <w:pPr>
        <w:tabs>
          <w:tab w:val="left" w:pos="567"/>
        </w:tabs>
        <w:ind w:left="927"/>
        <w:jc w:val="both"/>
        <w:rPr>
          <w:rFonts w:ascii="Book Antiqua" w:hAnsi="Book Antiqua" w:cs="Arial"/>
        </w:rPr>
      </w:pPr>
    </w:p>
    <w:p w14:paraId="2FCF9ACE" w14:textId="4B38FC95" w:rsidR="009E49AA" w:rsidRDefault="00E90F7B" w:rsidP="00AC15AB">
      <w:pPr>
        <w:numPr>
          <w:ilvl w:val="0"/>
          <w:numId w:val="1"/>
        </w:numPr>
        <w:tabs>
          <w:tab w:val="clear" w:pos="927"/>
          <w:tab w:val="left" w:pos="567"/>
        </w:tabs>
        <w:jc w:val="both"/>
        <w:rPr>
          <w:rFonts w:ascii="Book Antiqua" w:hAnsi="Book Antiqua" w:cs="Arial"/>
        </w:rPr>
      </w:pPr>
      <w:r>
        <w:rPr>
          <w:rFonts w:ascii="Book Antiqua" w:hAnsi="Book Antiqua" w:cs="Arial"/>
        </w:rPr>
        <w:t>In summary the Jud</w:t>
      </w:r>
      <w:r w:rsidR="00A50210">
        <w:rPr>
          <w:rFonts w:ascii="Book Antiqua" w:hAnsi="Book Antiqua" w:cs="Arial"/>
        </w:rPr>
        <w:t>ge found</w:t>
      </w:r>
      <w:r w:rsidR="00751051">
        <w:rPr>
          <w:rFonts w:ascii="Book Antiqua" w:hAnsi="Book Antiqua" w:cs="Arial"/>
        </w:rPr>
        <w:t xml:space="preserve"> </w:t>
      </w:r>
      <w:r w:rsidR="00A50210">
        <w:rPr>
          <w:rFonts w:ascii="Book Antiqua" w:hAnsi="Book Antiqua" w:cs="Arial"/>
        </w:rPr>
        <w:t>that</w:t>
      </w:r>
      <w:r w:rsidR="009E49AA">
        <w:rPr>
          <w:rFonts w:ascii="Book Antiqua" w:hAnsi="Book Antiqua" w:cs="Arial"/>
        </w:rPr>
        <w:t>;</w:t>
      </w:r>
      <w:r w:rsidR="00A50210">
        <w:rPr>
          <w:rFonts w:ascii="Book Antiqua" w:hAnsi="Book Antiqua" w:cs="Arial"/>
        </w:rPr>
        <w:t xml:space="preserve"> </w:t>
      </w:r>
    </w:p>
    <w:p w14:paraId="68605ED3" w14:textId="0298DFD3" w:rsidR="009E49AA" w:rsidRDefault="00161EDA" w:rsidP="009E49AA">
      <w:pPr>
        <w:pStyle w:val="ListParagraph"/>
        <w:numPr>
          <w:ilvl w:val="1"/>
          <w:numId w:val="1"/>
        </w:numPr>
        <w:tabs>
          <w:tab w:val="left" w:pos="567"/>
        </w:tabs>
        <w:jc w:val="both"/>
        <w:rPr>
          <w:rFonts w:ascii="Book Antiqua" w:hAnsi="Book Antiqua" w:cs="Arial"/>
        </w:rPr>
      </w:pPr>
      <w:r w:rsidRPr="009E49AA">
        <w:rPr>
          <w:rFonts w:ascii="Book Antiqua" w:hAnsi="Book Antiqua" w:cs="Arial"/>
        </w:rPr>
        <w:t>there was a genuine and sub</w:t>
      </w:r>
      <w:r w:rsidR="009E49AA">
        <w:rPr>
          <w:rFonts w:ascii="Book Antiqua" w:hAnsi="Book Antiqua" w:cs="Arial"/>
        </w:rPr>
        <w:t xml:space="preserve">sisting relationship with her Sponsor [18], </w:t>
      </w:r>
    </w:p>
    <w:p w14:paraId="12F0AA17" w14:textId="2101DC99" w:rsidR="009E49AA" w:rsidRDefault="00161EDA" w:rsidP="009E49AA">
      <w:pPr>
        <w:pStyle w:val="ListParagraph"/>
        <w:numPr>
          <w:ilvl w:val="1"/>
          <w:numId w:val="1"/>
        </w:numPr>
        <w:tabs>
          <w:tab w:val="left" w:pos="567"/>
        </w:tabs>
        <w:jc w:val="both"/>
        <w:rPr>
          <w:rFonts w:ascii="Book Antiqua" w:hAnsi="Book Antiqua" w:cs="Arial"/>
        </w:rPr>
      </w:pPr>
      <w:r w:rsidRPr="009E49AA">
        <w:rPr>
          <w:rFonts w:ascii="Book Antiqua" w:hAnsi="Book Antiqua" w:cs="Arial"/>
        </w:rPr>
        <w:t xml:space="preserve">her </w:t>
      </w:r>
      <w:r w:rsidR="009E49AA">
        <w:rPr>
          <w:rFonts w:ascii="Book Antiqua" w:hAnsi="Book Antiqua" w:cs="Arial"/>
        </w:rPr>
        <w:t>Sponsor</w:t>
      </w:r>
      <w:r w:rsidRPr="009E49AA">
        <w:rPr>
          <w:rFonts w:ascii="Book Antiqua" w:hAnsi="Book Antiqua" w:cs="Arial"/>
        </w:rPr>
        <w:t xml:space="preserve"> provided daily care for his uncle for which he receives Carers Allowance</w:t>
      </w:r>
      <w:r w:rsidR="009E49AA">
        <w:rPr>
          <w:rFonts w:ascii="Book Antiqua" w:hAnsi="Book Antiqua" w:cs="Arial"/>
        </w:rPr>
        <w:t xml:space="preserve"> [17]</w:t>
      </w:r>
      <w:r w:rsidRPr="009E49AA">
        <w:rPr>
          <w:rFonts w:ascii="Book Antiqua" w:hAnsi="Book Antiqua" w:cs="Arial"/>
        </w:rPr>
        <w:t xml:space="preserve">, </w:t>
      </w:r>
    </w:p>
    <w:p w14:paraId="04914837" w14:textId="6B12C006" w:rsidR="009E49AA" w:rsidRDefault="009E49AA" w:rsidP="009E49AA">
      <w:pPr>
        <w:pStyle w:val="ListParagraph"/>
        <w:numPr>
          <w:ilvl w:val="1"/>
          <w:numId w:val="1"/>
        </w:numPr>
        <w:tabs>
          <w:tab w:val="left" w:pos="567"/>
        </w:tabs>
        <w:jc w:val="both"/>
        <w:rPr>
          <w:rFonts w:ascii="Book Antiqua" w:hAnsi="Book Antiqua" w:cs="Arial"/>
        </w:rPr>
      </w:pPr>
      <w:r>
        <w:rPr>
          <w:rFonts w:ascii="Book Antiqua" w:hAnsi="Book Antiqua" w:cs="Arial"/>
        </w:rPr>
        <w:lastRenderedPageBreak/>
        <w:t>her Sponsor is assimilated here [17],</w:t>
      </w:r>
    </w:p>
    <w:p w14:paraId="4DFF962C" w14:textId="77777777" w:rsidR="009E49AA" w:rsidRDefault="00161EDA" w:rsidP="009E49AA">
      <w:pPr>
        <w:pStyle w:val="ListParagraph"/>
        <w:numPr>
          <w:ilvl w:val="1"/>
          <w:numId w:val="1"/>
        </w:numPr>
        <w:tabs>
          <w:tab w:val="left" w:pos="567"/>
        </w:tabs>
        <w:jc w:val="both"/>
        <w:rPr>
          <w:rFonts w:ascii="Book Antiqua" w:hAnsi="Book Antiqua" w:cs="Arial"/>
        </w:rPr>
      </w:pPr>
      <w:r w:rsidRPr="009E49AA">
        <w:rPr>
          <w:rFonts w:ascii="Book Antiqua" w:hAnsi="Book Antiqua" w:cs="Arial"/>
        </w:rPr>
        <w:t>it would</w:t>
      </w:r>
      <w:r w:rsidR="009E49AA">
        <w:rPr>
          <w:rFonts w:ascii="Book Antiqua" w:hAnsi="Book Antiqua" w:cs="Arial"/>
        </w:rPr>
        <w:t xml:space="preserve"> not be reasonable to expect her Sponsor</w:t>
      </w:r>
      <w:r w:rsidRPr="009E49AA">
        <w:rPr>
          <w:rFonts w:ascii="Book Antiqua" w:hAnsi="Book Antiqua" w:cs="Arial"/>
        </w:rPr>
        <w:t xml:space="preserve"> to return to Pakistan [17], and </w:t>
      </w:r>
    </w:p>
    <w:p w14:paraId="48820772" w14:textId="2F14DA18" w:rsidR="008A64E1" w:rsidRPr="009E49AA" w:rsidRDefault="00161EDA" w:rsidP="009E49AA">
      <w:pPr>
        <w:pStyle w:val="ListParagraph"/>
        <w:numPr>
          <w:ilvl w:val="1"/>
          <w:numId w:val="1"/>
        </w:numPr>
        <w:tabs>
          <w:tab w:val="left" w:pos="567"/>
        </w:tabs>
        <w:jc w:val="both"/>
        <w:rPr>
          <w:rFonts w:ascii="Book Antiqua" w:hAnsi="Book Antiqua" w:cs="Arial"/>
        </w:rPr>
      </w:pPr>
      <w:r w:rsidRPr="009E49AA">
        <w:rPr>
          <w:rFonts w:ascii="Book Antiqua" w:hAnsi="Book Antiqua" w:cs="Arial"/>
        </w:rPr>
        <w:t>there were insurmountable obstacles to family life continuing in Pakistan [19]</w:t>
      </w:r>
      <w:r w:rsidR="006053DD" w:rsidRPr="009E49AA">
        <w:rPr>
          <w:rFonts w:ascii="Book Antiqua" w:hAnsi="Book Antiqua" w:cs="Arial"/>
        </w:rPr>
        <w:t>.</w:t>
      </w:r>
    </w:p>
    <w:p w14:paraId="785E60A1" w14:textId="77777777" w:rsidR="00DA6438" w:rsidRDefault="00DA6438" w:rsidP="00DA6438">
      <w:pPr>
        <w:pStyle w:val="ListParagraph"/>
        <w:rPr>
          <w:rFonts w:ascii="Book Antiqua" w:hAnsi="Book Antiqua" w:cs="Arial"/>
        </w:rPr>
      </w:pPr>
    </w:p>
    <w:p w14:paraId="3A656AD1" w14:textId="73F9F66D" w:rsidR="009E49AA" w:rsidRDefault="00DA6438" w:rsidP="00AC15AB">
      <w:pPr>
        <w:numPr>
          <w:ilvl w:val="0"/>
          <w:numId w:val="1"/>
        </w:numPr>
        <w:tabs>
          <w:tab w:val="clear" w:pos="927"/>
          <w:tab w:val="left" w:pos="567"/>
        </w:tabs>
        <w:jc w:val="both"/>
        <w:rPr>
          <w:rFonts w:ascii="Book Antiqua" w:hAnsi="Book Antiqua" w:cs="Arial"/>
        </w:rPr>
      </w:pPr>
      <w:r>
        <w:rPr>
          <w:rFonts w:ascii="Book Antiqua" w:hAnsi="Book Antiqua" w:cs="Arial"/>
        </w:rPr>
        <w:t xml:space="preserve">Mr </w:t>
      </w:r>
      <w:proofErr w:type="spellStart"/>
      <w:r>
        <w:rPr>
          <w:rFonts w:ascii="Book Antiqua" w:hAnsi="Book Antiqua" w:cs="Arial"/>
        </w:rPr>
        <w:t>Diwyncz</w:t>
      </w:r>
      <w:proofErr w:type="spellEnd"/>
      <w:r>
        <w:rPr>
          <w:rFonts w:ascii="Book Antiqua" w:hAnsi="Book Antiqua" w:cs="Arial"/>
        </w:rPr>
        <w:t xml:space="preserve"> </w:t>
      </w:r>
      <w:r w:rsidR="00161EDA">
        <w:rPr>
          <w:rFonts w:ascii="Book Antiqua" w:hAnsi="Book Antiqua" w:cs="Arial"/>
        </w:rPr>
        <w:t>relied on the application which notes that</w:t>
      </w:r>
      <w:r w:rsidR="009E49AA">
        <w:rPr>
          <w:rFonts w:ascii="Book Antiqua" w:hAnsi="Book Antiqua" w:cs="Arial"/>
        </w:rPr>
        <w:t>;</w:t>
      </w:r>
      <w:r w:rsidR="00161EDA">
        <w:rPr>
          <w:rFonts w:ascii="Book Antiqua" w:hAnsi="Book Antiqua" w:cs="Arial"/>
        </w:rPr>
        <w:t xml:space="preserve"> </w:t>
      </w:r>
    </w:p>
    <w:p w14:paraId="5D78D934" w14:textId="77777777" w:rsidR="009E49AA" w:rsidRDefault="00161EDA" w:rsidP="009E49AA">
      <w:pPr>
        <w:pStyle w:val="ListParagraph"/>
        <w:numPr>
          <w:ilvl w:val="1"/>
          <w:numId w:val="1"/>
        </w:numPr>
        <w:tabs>
          <w:tab w:val="left" w:pos="567"/>
        </w:tabs>
        <w:jc w:val="both"/>
        <w:rPr>
          <w:rFonts w:ascii="Book Antiqua" w:hAnsi="Book Antiqua" w:cs="Arial"/>
        </w:rPr>
      </w:pPr>
      <w:r w:rsidRPr="009E49AA">
        <w:rPr>
          <w:rFonts w:ascii="Book Antiqua" w:hAnsi="Book Antiqua" w:cs="Arial"/>
        </w:rPr>
        <w:t xml:space="preserve">the Judge referred to “paragraph (v) of the Rule 273 ADE (1)” which </w:t>
      </w:r>
      <w:r w:rsidR="00DF1241" w:rsidRPr="009E49AA">
        <w:rPr>
          <w:rFonts w:ascii="Book Antiqua" w:hAnsi="Book Antiqua" w:cs="Arial"/>
        </w:rPr>
        <w:t>presumably</w:t>
      </w:r>
      <w:r w:rsidR="009E49AA">
        <w:rPr>
          <w:rFonts w:ascii="Book Antiqua" w:hAnsi="Book Antiqua" w:cs="Arial"/>
        </w:rPr>
        <w:t xml:space="preserve"> meant “Rule 276 ADE (1),</w:t>
      </w:r>
      <w:r w:rsidRPr="009E49AA">
        <w:rPr>
          <w:rFonts w:ascii="Book Antiqua" w:hAnsi="Book Antiqua" w:cs="Arial"/>
        </w:rPr>
        <w:t xml:space="preserve"> </w:t>
      </w:r>
    </w:p>
    <w:p w14:paraId="07A3BE77" w14:textId="77777777" w:rsidR="009E49AA" w:rsidRDefault="009E49AA" w:rsidP="009E49AA">
      <w:pPr>
        <w:pStyle w:val="ListParagraph"/>
        <w:numPr>
          <w:ilvl w:val="1"/>
          <w:numId w:val="1"/>
        </w:numPr>
        <w:tabs>
          <w:tab w:val="left" w:pos="567"/>
        </w:tabs>
        <w:jc w:val="both"/>
        <w:rPr>
          <w:rFonts w:ascii="Book Antiqua" w:hAnsi="Book Antiqua" w:cs="Arial"/>
        </w:rPr>
      </w:pPr>
      <w:r>
        <w:rPr>
          <w:rFonts w:ascii="Book Antiqua" w:hAnsi="Book Antiqua" w:cs="Arial"/>
        </w:rPr>
        <w:t>t</w:t>
      </w:r>
      <w:r w:rsidR="00DF1241" w:rsidRPr="009E49AA">
        <w:rPr>
          <w:rFonts w:ascii="Book Antiqua" w:hAnsi="Book Antiqua" w:cs="Arial"/>
        </w:rPr>
        <w:t>h</w:t>
      </w:r>
      <w:r w:rsidR="0060079A" w:rsidRPr="009E49AA">
        <w:rPr>
          <w:rFonts w:ascii="Book Antiqua" w:hAnsi="Book Antiqua" w:cs="Arial"/>
        </w:rPr>
        <w:t>e J</w:t>
      </w:r>
      <w:r w:rsidR="00DF1241" w:rsidRPr="009E49AA">
        <w:rPr>
          <w:rFonts w:ascii="Book Antiqua" w:hAnsi="Book Antiqua" w:cs="Arial"/>
        </w:rPr>
        <w:t>udge only had human rights grounds open to him</w:t>
      </w:r>
      <w:r w:rsidR="0060079A" w:rsidRPr="009E49AA">
        <w:rPr>
          <w:rFonts w:ascii="Book Antiqua" w:hAnsi="Book Antiqua" w:cs="Arial"/>
        </w:rPr>
        <w:t xml:space="preserve"> but also allowed it under the rules</w:t>
      </w:r>
      <w:r>
        <w:rPr>
          <w:rFonts w:ascii="Book Antiqua" w:hAnsi="Book Antiqua" w:cs="Arial"/>
        </w:rPr>
        <w:t>,</w:t>
      </w:r>
    </w:p>
    <w:p w14:paraId="64FA466B" w14:textId="1B125CA7" w:rsidR="009E49AA" w:rsidRDefault="009E49AA" w:rsidP="009E49AA">
      <w:pPr>
        <w:pStyle w:val="ListParagraph"/>
        <w:numPr>
          <w:ilvl w:val="1"/>
          <w:numId w:val="1"/>
        </w:numPr>
        <w:tabs>
          <w:tab w:val="left" w:pos="567"/>
        </w:tabs>
        <w:jc w:val="both"/>
        <w:rPr>
          <w:rFonts w:ascii="Book Antiqua" w:hAnsi="Book Antiqua" w:cs="Arial"/>
        </w:rPr>
      </w:pPr>
      <w:r>
        <w:rPr>
          <w:rFonts w:ascii="Book Antiqua" w:hAnsi="Book Antiqua" w:cs="Arial"/>
        </w:rPr>
        <w:t>the Judge</w:t>
      </w:r>
      <w:r w:rsidR="00DF1241" w:rsidRPr="009E49AA">
        <w:rPr>
          <w:rFonts w:ascii="Book Antiqua" w:hAnsi="Book Antiqua" w:cs="Arial"/>
        </w:rPr>
        <w:t xml:space="preserve"> gave inadequa</w:t>
      </w:r>
      <w:r w:rsidR="00161EDA" w:rsidRPr="009E49AA">
        <w:rPr>
          <w:rFonts w:ascii="Book Antiqua" w:hAnsi="Book Antiqua" w:cs="Arial"/>
        </w:rPr>
        <w:t>t</w:t>
      </w:r>
      <w:r w:rsidR="00DF1241" w:rsidRPr="009E49AA">
        <w:rPr>
          <w:rFonts w:ascii="Book Antiqua" w:hAnsi="Book Antiqua" w:cs="Arial"/>
        </w:rPr>
        <w:t>e</w:t>
      </w:r>
      <w:r w:rsidR="00161EDA" w:rsidRPr="009E49AA">
        <w:rPr>
          <w:rFonts w:ascii="Book Antiqua" w:hAnsi="Book Antiqua" w:cs="Arial"/>
        </w:rPr>
        <w:t xml:space="preserve"> findi</w:t>
      </w:r>
      <w:r w:rsidR="00DF1241" w:rsidRPr="009E49AA">
        <w:rPr>
          <w:rFonts w:ascii="Book Antiqua" w:hAnsi="Book Antiqua" w:cs="Arial"/>
        </w:rPr>
        <w:t>n</w:t>
      </w:r>
      <w:r w:rsidR="00161EDA" w:rsidRPr="009E49AA">
        <w:rPr>
          <w:rFonts w:ascii="Book Antiqua" w:hAnsi="Book Antiqua" w:cs="Arial"/>
        </w:rPr>
        <w:t>gs regarding the financial criteria</w:t>
      </w:r>
      <w:r w:rsidR="00DF1241" w:rsidRPr="009E49AA">
        <w:rPr>
          <w:rFonts w:ascii="Book Antiqua" w:hAnsi="Book Antiqua" w:cs="Arial"/>
        </w:rPr>
        <w:t xml:space="preserve"> and the nature of the relationship</w:t>
      </w:r>
      <w:r>
        <w:rPr>
          <w:rFonts w:ascii="Book Antiqua" w:hAnsi="Book Antiqua" w:cs="Arial"/>
        </w:rPr>
        <w:t>, and</w:t>
      </w:r>
    </w:p>
    <w:p w14:paraId="5D1C34F4" w14:textId="77777777" w:rsidR="009E49AA" w:rsidRDefault="009E49AA" w:rsidP="009E49AA">
      <w:pPr>
        <w:pStyle w:val="ListParagraph"/>
        <w:numPr>
          <w:ilvl w:val="1"/>
          <w:numId w:val="1"/>
        </w:numPr>
        <w:tabs>
          <w:tab w:val="left" w:pos="567"/>
        </w:tabs>
        <w:jc w:val="both"/>
        <w:rPr>
          <w:rFonts w:ascii="Book Antiqua" w:hAnsi="Book Antiqua" w:cs="Arial"/>
        </w:rPr>
      </w:pPr>
      <w:r>
        <w:rPr>
          <w:rFonts w:ascii="Book Antiqua" w:hAnsi="Book Antiqua" w:cs="Arial"/>
        </w:rPr>
        <w:t>t</w:t>
      </w:r>
      <w:r w:rsidR="0060079A" w:rsidRPr="009E49AA">
        <w:rPr>
          <w:rFonts w:ascii="Book Antiqua" w:hAnsi="Book Antiqua" w:cs="Arial"/>
        </w:rPr>
        <w:t xml:space="preserve">here is no proper s117 analysis within the article 8 assessment. </w:t>
      </w:r>
    </w:p>
    <w:p w14:paraId="2503F569" w14:textId="77777777" w:rsidR="009E49AA" w:rsidRDefault="009E49AA" w:rsidP="009E49AA">
      <w:pPr>
        <w:tabs>
          <w:tab w:val="left" w:pos="567"/>
        </w:tabs>
        <w:ind w:left="1287"/>
        <w:jc w:val="both"/>
        <w:rPr>
          <w:rFonts w:ascii="Book Antiqua" w:hAnsi="Book Antiqua" w:cs="Arial"/>
        </w:rPr>
      </w:pPr>
    </w:p>
    <w:p w14:paraId="4FD6FC33" w14:textId="0309C4E7" w:rsidR="006053DD" w:rsidRPr="009E49AA" w:rsidRDefault="0060079A" w:rsidP="009E49AA">
      <w:pPr>
        <w:pStyle w:val="ListParagraph"/>
        <w:numPr>
          <w:ilvl w:val="0"/>
          <w:numId w:val="1"/>
        </w:numPr>
        <w:tabs>
          <w:tab w:val="left" w:pos="567"/>
        </w:tabs>
        <w:jc w:val="both"/>
        <w:rPr>
          <w:rFonts w:ascii="Book Antiqua" w:hAnsi="Book Antiqua" w:cs="Arial"/>
        </w:rPr>
      </w:pPr>
      <w:r w:rsidRPr="009E49AA">
        <w:rPr>
          <w:rFonts w:ascii="Book Antiqua" w:hAnsi="Book Antiqua" w:cs="Arial"/>
        </w:rPr>
        <w:t xml:space="preserve">Mr </w:t>
      </w:r>
      <w:proofErr w:type="spellStart"/>
      <w:r w:rsidRPr="009E49AA">
        <w:rPr>
          <w:rFonts w:ascii="Book Antiqua" w:hAnsi="Book Antiqua" w:cs="Arial"/>
        </w:rPr>
        <w:t>Diwyncz</w:t>
      </w:r>
      <w:proofErr w:type="spellEnd"/>
      <w:r w:rsidRPr="009E49AA">
        <w:rPr>
          <w:rFonts w:ascii="Book Antiqua" w:hAnsi="Book Antiqua" w:cs="Arial"/>
        </w:rPr>
        <w:t xml:space="preserve"> could not point me to any factual error with the decision</w:t>
      </w:r>
      <w:r w:rsidR="001A1361">
        <w:rPr>
          <w:rFonts w:ascii="Book Antiqua" w:hAnsi="Book Antiqua" w:cs="Arial"/>
        </w:rPr>
        <w:t>,</w:t>
      </w:r>
      <w:r w:rsidRPr="009E49AA">
        <w:rPr>
          <w:rFonts w:ascii="Book Antiqua" w:hAnsi="Book Antiqua" w:cs="Arial"/>
        </w:rPr>
        <w:t xml:space="preserve"> </w:t>
      </w:r>
      <w:proofErr w:type="gramStart"/>
      <w:r w:rsidRPr="009E49AA">
        <w:rPr>
          <w:rFonts w:ascii="Book Antiqua" w:hAnsi="Book Antiqua" w:cs="Arial"/>
        </w:rPr>
        <w:t>w</w:t>
      </w:r>
      <w:r w:rsidR="001A1361">
        <w:rPr>
          <w:rFonts w:ascii="Book Antiqua" w:hAnsi="Book Antiqua" w:cs="Arial"/>
        </w:rPr>
        <w:t>ith the exception of</w:t>
      </w:r>
      <w:proofErr w:type="gramEnd"/>
      <w:r w:rsidR="001A1361">
        <w:rPr>
          <w:rFonts w:ascii="Book Antiqua" w:hAnsi="Book Antiqua" w:cs="Arial"/>
        </w:rPr>
        <w:t xml:space="preserve"> the wrong Immigration R</w:t>
      </w:r>
      <w:r w:rsidRPr="009E49AA">
        <w:rPr>
          <w:rFonts w:ascii="Book Antiqua" w:hAnsi="Book Antiqua" w:cs="Arial"/>
        </w:rPr>
        <w:t>ule being identified.</w:t>
      </w:r>
    </w:p>
    <w:p w14:paraId="34879C94" w14:textId="77777777" w:rsidR="00DF1241" w:rsidRDefault="00DF1241" w:rsidP="00DF1241">
      <w:pPr>
        <w:pStyle w:val="ListParagraph"/>
        <w:rPr>
          <w:rFonts w:ascii="Book Antiqua" w:hAnsi="Book Antiqua" w:cs="Arial"/>
        </w:rPr>
      </w:pPr>
    </w:p>
    <w:p w14:paraId="4A65DF11" w14:textId="61492527" w:rsidR="00DF1241" w:rsidRDefault="00DF1241" w:rsidP="00DF1241">
      <w:pPr>
        <w:numPr>
          <w:ilvl w:val="0"/>
          <w:numId w:val="1"/>
        </w:numPr>
        <w:tabs>
          <w:tab w:val="clear" w:pos="927"/>
          <w:tab w:val="left" w:pos="567"/>
        </w:tabs>
        <w:jc w:val="both"/>
        <w:rPr>
          <w:rFonts w:ascii="Book Antiqua" w:hAnsi="Book Antiqua" w:cs="Arial"/>
        </w:rPr>
      </w:pPr>
      <w:r>
        <w:rPr>
          <w:rFonts w:ascii="Book Antiqua" w:hAnsi="Book Antiqua" w:cs="Arial"/>
        </w:rPr>
        <w:t xml:space="preserve">Judge Pedro granted permission to appeal (5 February 2018) on the basis that the judgement is confusing, there were inadequate findings, the Judge misdirected himself, and the appeal was allowed on </w:t>
      </w:r>
      <w:r w:rsidR="00772051">
        <w:rPr>
          <w:rFonts w:ascii="Book Antiqua" w:hAnsi="Book Antiqua" w:cs="Arial"/>
        </w:rPr>
        <w:t>a basi</w:t>
      </w:r>
      <w:r>
        <w:rPr>
          <w:rFonts w:ascii="Book Antiqua" w:hAnsi="Book Antiqua" w:cs="Arial"/>
        </w:rPr>
        <w:t>s not open to the Judge.</w:t>
      </w:r>
    </w:p>
    <w:p w14:paraId="2F5AE13C" w14:textId="77777777" w:rsidR="00407A98" w:rsidRDefault="00407A98" w:rsidP="00407A98">
      <w:pPr>
        <w:pStyle w:val="ListParagraph"/>
        <w:rPr>
          <w:rFonts w:ascii="Book Antiqua" w:hAnsi="Book Antiqua" w:cs="Arial"/>
        </w:rPr>
      </w:pPr>
    </w:p>
    <w:p w14:paraId="06B1BB52" w14:textId="53D2F6AE" w:rsidR="009E2BE1" w:rsidRPr="009E2BE1" w:rsidRDefault="00407A98" w:rsidP="009E2BE1">
      <w:pPr>
        <w:numPr>
          <w:ilvl w:val="0"/>
          <w:numId w:val="1"/>
        </w:numPr>
        <w:tabs>
          <w:tab w:val="clear" w:pos="927"/>
          <w:tab w:val="left" w:pos="567"/>
        </w:tabs>
        <w:jc w:val="both"/>
        <w:rPr>
          <w:rFonts w:ascii="Book Antiqua" w:hAnsi="Book Antiqua" w:cs="Arial"/>
        </w:rPr>
      </w:pPr>
      <w:r>
        <w:rPr>
          <w:rFonts w:ascii="Book Antiqua" w:hAnsi="Book Antiqua" w:cs="Arial"/>
        </w:rPr>
        <w:t>Within the rule 24 notice (10 May 2018) the evidence of multiple visits and electronic communications that was contained within the Appellant’s bundle that was before the Judge was highlighted</w:t>
      </w:r>
      <w:r w:rsidR="009E49AA">
        <w:rPr>
          <w:rFonts w:ascii="Book Antiqua" w:hAnsi="Book Antiqua" w:cs="Arial"/>
        </w:rPr>
        <w:t>,</w:t>
      </w:r>
      <w:r>
        <w:rPr>
          <w:rFonts w:ascii="Book Antiqua" w:hAnsi="Book Antiqua" w:cs="Arial"/>
        </w:rPr>
        <w:t xml:space="preserve"> as was the uncontested oral evidence. It was noted that the financial requirement was one of adequacy and not the £18,600 threshold, due to</w:t>
      </w:r>
      <w:r w:rsidR="00067A2D">
        <w:rPr>
          <w:rFonts w:ascii="Book Antiqua" w:hAnsi="Book Antiqua" w:cs="Arial"/>
        </w:rPr>
        <w:t xml:space="preserve"> the receipt of Carers Allowance. The</w:t>
      </w:r>
      <w:r>
        <w:rPr>
          <w:rFonts w:ascii="Book Antiqua" w:hAnsi="Book Antiqua" w:cs="Arial"/>
        </w:rPr>
        <w:t xml:space="preserve"> relevant calculations</w:t>
      </w:r>
      <w:r w:rsidR="00067A2D">
        <w:rPr>
          <w:rFonts w:ascii="Book Antiqua" w:hAnsi="Book Antiqua" w:cs="Arial"/>
        </w:rPr>
        <w:t xml:space="preserve"> were provided</w:t>
      </w:r>
      <w:r w:rsidR="009E2BE1">
        <w:rPr>
          <w:rFonts w:ascii="Book Antiqua" w:hAnsi="Book Antiqua" w:cs="Arial"/>
        </w:rPr>
        <w:t xml:space="preserve"> and the skeleton argument that was before the Judge at the hearing was noted. As the financial consideration within the Immigration Rules was met, </w:t>
      </w:r>
      <w:proofErr w:type="spellStart"/>
      <w:r w:rsidR="009E2BE1" w:rsidRPr="009E49AA">
        <w:rPr>
          <w:rFonts w:ascii="Book Antiqua" w:hAnsi="Book Antiqua" w:cs="Arial"/>
          <w:u w:val="single"/>
        </w:rPr>
        <w:t>Ruppiah</w:t>
      </w:r>
      <w:proofErr w:type="spellEnd"/>
      <w:r w:rsidR="009E2BE1">
        <w:rPr>
          <w:rFonts w:ascii="Book Antiqua" w:hAnsi="Book Antiqua" w:cs="Arial"/>
        </w:rPr>
        <w:t xml:space="preserve"> v SSHD [2016] EWCA </w:t>
      </w:r>
      <w:proofErr w:type="spellStart"/>
      <w:r w:rsidR="009E2BE1">
        <w:rPr>
          <w:rFonts w:ascii="Book Antiqua" w:hAnsi="Book Antiqua" w:cs="Arial"/>
        </w:rPr>
        <w:t>Civ</w:t>
      </w:r>
      <w:proofErr w:type="spellEnd"/>
      <w:r w:rsidR="009E2BE1">
        <w:rPr>
          <w:rFonts w:ascii="Book Antiqua" w:hAnsi="Book Antiqua" w:cs="Arial"/>
        </w:rPr>
        <w:t xml:space="preserve"> 803 did not assist the Respondent. There were no considerations that countered the “weighty” factor that the requirements of the Immigration Rules were met as it had already </w:t>
      </w:r>
      <w:r w:rsidR="009E49AA">
        <w:rPr>
          <w:rFonts w:ascii="Book Antiqua" w:hAnsi="Book Antiqua" w:cs="Arial"/>
        </w:rPr>
        <w:t xml:space="preserve">been </w:t>
      </w:r>
      <w:r w:rsidR="009E2BE1">
        <w:rPr>
          <w:rFonts w:ascii="Book Antiqua" w:hAnsi="Book Antiqua" w:cs="Arial"/>
        </w:rPr>
        <w:t>accepted by the Respondent that the Appellant spoke English and there was no suggestion of deception.</w:t>
      </w:r>
    </w:p>
    <w:p w14:paraId="70DAE6AA" w14:textId="792EB5CE" w:rsidR="00DA6438" w:rsidRDefault="00DA6438" w:rsidP="00DA6438">
      <w:pPr>
        <w:tabs>
          <w:tab w:val="left" w:pos="567"/>
        </w:tabs>
        <w:jc w:val="both"/>
        <w:rPr>
          <w:rFonts w:ascii="Book Antiqua" w:hAnsi="Book Antiqua" w:cs="Arial"/>
        </w:rPr>
      </w:pPr>
    </w:p>
    <w:p w14:paraId="3F906DEF" w14:textId="2F0F7B8C" w:rsidR="00DA6438" w:rsidRPr="00DA6438" w:rsidRDefault="00DA6438" w:rsidP="00F67A38">
      <w:pPr>
        <w:rPr>
          <w:rFonts w:ascii="Book Antiqua" w:hAnsi="Book Antiqua" w:cs="Arial"/>
          <w:szCs w:val="20"/>
          <w:u w:val="single"/>
          <w:lang w:eastAsia="en-US"/>
        </w:rPr>
      </w:pPr>
      <w:r w:rsidRPr="00DA6438">
        <w:rPr>
          <w:rFonts w:ascii="Book Antiqua" w:hAnsi="Book Antiqua" w:cs="Arial"/>
          <w:szCs w:val="20"/>
          <w:u w:val="single"/>
          <w:lang w:eastAsia="en-US"/>
        </w:rPr>
        <w:t>Discussion</w:t>
      </w:r>
    </w:p>
    <w:p w14:paraId="000371B8" w14:textId="77777777" w:rsidR="00DA6438" w:rsidRPr="00DA6438" w:rsidRDefault="00DA6438" w:rsidP="00F67A38">
      <w:pPr>
        <w:rPr>
          <w:rFonts w:ascii="Book Antiqua" w:hAnsi="Book Antiqua" w:cs="Arial"/>
          <w:szCs w:val="20"/>
          <w:lang w:eastAsia="en-US"/>
        </w:rPr>
      </w:pPr>
    </w:p>
    <w:p w14:paraId="5C34E7AD" w14:textId="117F6DAE" w:rsidR="00EF3D99" w:rsidRDefault="009E2BE1" w:rsidP="002349CA">
      <w:pPr>
        <w:numPr>
          <w:ilvl w:val="0"/>
          <w:numId w:val="1"/>
        </w:numPr>
        <w:tabs>
          <w:tab w:val="left" w:pos="567"/>
        </w:tabs>
        <w:jc w:val="both"/>
        <w:rPr>
          <w:rFonts w:ascii="Book Antiqua" w:hAnsi="Book Antiqua" w:cs="Arial"/>
        </w:rPr>
      </w:pPr>
      <w:r>
        <w:rPr>
          <w:rFonts w:ascii="Book Antiqua" w:hAnsi="Book Antiqua" w:cs="Arial"/>
        </w:rPr>
        <w:t xml:space="preserve">The Judge was concerned with whether the </w:t>
      </w:r>
      <w:r w:rsidR="00A04629">
        <w:rPr>
          <w:rFonts w:ascii="Book Antiqua" w:hAnsi="Book Antiqua" w:cs="Arial"/>
        </w:rPr>
        <w:t xml:space="preserve">requirements of the </w:t>
      </w:r>
      <w:r>
        <w:rPr>
          <w:rFonts w:ascii="Book Antiqua" w:hAnsi="Book Antiqua" w:cs="Arial"/>
        </w:rPr>
        <w:t>Immigration Rules were met, and</w:t>
      </w:r>
      <w:r w:rsidR="009E49AA">
        <w:rPr>
          <w:rFonts w:ascii="Book Antiqua" w:hAnsi="Book Antiqua" w:cs="Arial"/>
        </w:rPr>
        <w:t>, if so,</w:t>
      </w:r>
      <w:r>
        <w:rPr>
          <w:rFonts w:ascii="Book Antiqua" w:hAnsi="Book Antiqua" w:cs="Arial"/>
        </w:rPr>
        <w:t xml:space="preserve"> whether there were weighty considerations that counterbalanced against that such as to mean that the proportionality balance fell against the Appellant. The Judge was of course only required to determine issues in dispute, and does not have to recite every piece of evidence received. </w:t>
      </w:r>
      <w:r w:rsidR="00A04629">
        <w:rPr>
          <w:rFonts w:ascii="Book Antiqua" w:hAnsi="Book Antiqua" w:cs="Arial"/>
        </w:rPr>
        <w:t xml:space="preserve"> </w:t>
      </w:r>
    </w:p>
    <w:p w14:paraId="4F2CFCED" w14:textId="77777777" w:rsidR="00107A7C" w:rsidRDefault="00107A7C" w:rsidP="00107A7C">
      <w:pPr>
        <w:tabs>
          <w:tab w:val="left" w:pos="567"/>
        </w:tabs>
        <w:ind w:left="927"/>
        <w:jc w:val="both"/>
        <w:rPr>
          <w:rFonts w:ascii="Book Antiqua" w:hAnsi="Book Antiqua" w:cs="Arial"/>
        </w:rPr>
      </w:pPr>
    </w:p>
    <w:p w14:paraId="17809624" w14:textId="77777777" w:rsidR="009E49AA" w:rsidRDefault="009E49AA" w:rsidP="009E49AA">
      <w:pPr>
        <w:numPr>
          <w:ilvl w:val="0"/>
          <w:numId w:val="1"/>
        </w:numPr>
        <w:tabs>
          <w:tab w:val="left" w:pos="567"/>
        </w:tabs>
        <w:jc w:val="both"/>
        <w:rPr>
          <w:rFonts w:ascii="Book Antiqua" w:hAnsi="Book Antiqua" w:cs="Arial"/>
        </w:rPr>
      </w:pPr>
      <w:r>
        <w:rPr>
          <w:rFonts w:ascii="Book Antiqua" w:hAnsi="Book Antiqua" w:cs="Arial"/>
        </w:rPr>
        <w:t>It is not a material error of law to make a typographical error in relation to a rule number where the terms of the rule are correctly applied.</w:t>
      </w:r>
    </w:p>
    <w:p w14:paraId="3B0CB3D0" w14:textId="77777777" w:rsidR="009E49AA" w:rsidRDefault="009E49AA" w:rsidP="009E49AA">
      <w:pPr>
        <w:pStyle w:val="ListParagraph"/>
        <w:rPr>
          <w:rFonts w:ascii="Book Antiqua" w:hAnsi="Book Antiqua" w:cs="Arial"/>
        </w:rPr>
      </w:pPr>
    </w:p>
    <w:p w14:paraId="64BF4D9C" w14:textId="3F8E35D7" w:rsidR="009E49AA" w:rsidRDefault="009E49AA" w:rsidP="009E49AA">
      <w:pPr>
        <w:numPr>
          <w:ilvl w:val="0"/>
          <w:numId w:val="1"/>
        </w:numPr>
        <w:tabs>
          <w:tab w:val="left" w:pos="567"/>
        </w:tabs>
        <w:jc w:val="both"/>
        <w:rPr>
          <w:rFonts w:ascii="Book Antiqua" w:hAnsi="Book Antiqua" w:cs="Arial"/>
        </w:rPr>
      </w:pPr>
      <w:r>
        <w:rPr>
          <w:rFonts w:ascii="Book Antiqua" w:hAnsi="Book Antiqua" w:cs="Arial"/>
        </w:rPr>
        <w:t xml:space="preserve">The Judge purported to allow the appeal under the </w:t>
      </w:r>
      <w:r w:rsidR="00A04629">
        <w:rPr>
          <w:rFonts w:ascii="Book Antiqua" w:hAnsi="Book Antiqua" w:cs="Arial"/>
        </w:rPr>
        <w:t xml:space="preserve">Immigration </w:t>
      </w:r>
      <w:r>
        <w:rPr>
          <w:rFonts w:ascii="Book Antiqua" w:hAnsi="Book Antiqua" w:cs="Arial"/>
        </w:rPr>
        <w:t xml:space="preserve">Rules. He had no power to do so. It is clear however that he was satisfied that the </w:t>
      </w:r>
      <w:r w:rsidR="00A04629">
        <w:rPr>
          <w:rFonts w:ascii="Book Antiqua" w:hAnsi="Book Antiqua" w:cs="Arial"/>
        </w:rPr>
        <w:t xml:space="preserve">requirements of the Immigration </w:t>
      </w:r>
      <w:r>
        <w:rPr>
          <w:rFonts w:ascii="Book Antiqua" w:hAnsi="Book Antiqua" w:cs="Arial"/>
        </w:rPr>
        <w:t xml:space="preserve">Rules were met which is the first question he was required to </w:t>
      </w:r>
      <w:r>
        <w:rPr>
          <w:rFonts w:ascii="Book Antiqua" w:hAnsi="Book Antiqua" w:cs="Arial"/>
        </w:rPr>
        <w:lastRenderedPageBreak/>
        <w:t xml:space="preserve">address. In those circumstances, </w:t>
      </w:r>
      <w:r w:rsidR="00A04629">
        <w:rPr>
          <w:rFonts w:ascii="Book Antiqua" w:hAnsi="Book Antiqua" w:cs="Arial"/>
        </w:rPr>
        <w:t>purporting to allow it on a basis where there was no statutory power where he (as he was entitled to) allowed it on a basis where he did have a statutory power,</w:t>
      </w:r>
      <w:r>
        <w:rPr>
          <w:rFonts w:ascii="Book Antiqua" w:hAnsi="Book Antiqua" w:cs="Arial"/>
        </w:rPr>
        <w:t xml:space="preserve"> is not a material error of law</w:t>
      </w:r>
      <w:r w:rsidR="00A04629">
        <w:rPr>
          <w:rFonts w:ascii="Book Antiqua" w:hAnsi="Book Antiqua" w:cs="Arial"/>
        </w:rPr>
        <w:t xml:space="preserve"> as it made no difference to the outcome</w:t>
      </w:r>
      <w:r>
        <w:rPr>
          <w:rFonts w:ascii="Book Antiqua" w:hAnsi="Book Antiqua" w:cs="Arial"/>
        </w:rPr>
        <w:t>.</w:t>
      </w:r>
    </w:p>
    <w:p w14:paraId="3B772362" w14:textId="524C8622" w:rsidR="009E49AA" w:rsidRDefault="009E49AA" w:rsidP="009E49AA">
      <w:pPr>
        <w:tabs>
          <w:tab w:val="left" w:pos="567"/>
        </w:tabs>
        <w:jc w:val="both"/>
        <w:rPr>
          <w:rFonts w:ascii="Book Antiqua" w:hAnsi="Book Antiqua" w:cs="Arial"/>
        </w:rPr>
      </w:pPr>
    </w:p>
    <w:p w14:paraId="30F1088B" w14:textId="65E7852F" w:rsidR="009E49AA" w:rsidRDefault="00107A7C" w:rsidP="002349CA">
      <w:pPr>
        <w:numPr>
          <w:ilvl w:val="0"/>
          <w:numId w:val="1"/>
        </w:numPr>
        <w:tabs>
          <w:tab w:val="left" w:pos="567"/>
        </w:tabs>
        <w:jc w:val="both"/>
        <w:rPr>
          <w:rFonts w:ascii="Book Antiqua" w:hAnsi="Book Antiqua" w:cs="Arial"/>
        </w:rPr>
      </w:pPr>
      <w:r>
        <w:rPr>
          <w:rFonts w:ascii="Book Antiqua" w:hAnsi="Book Antiqua" w:cs="Arial"/>
        </w:rPr>
        <w:t xml:space="preserve">The Judge noted the nature of the couple’s relationship and the Sponsor’s employment </w:t>
      </w:r>
      <w:r w:rsidR="009E49AA">
        <w:rPr>
          <w:rFonts w:ascii="Book Antiqua" w:hAnsi="Book Antiqua" w:cs="Arial"/>
        </w:rPr>
        <w:t xml:space="preserve">and work as a carer </w:t>
      </w:r>
      <w:r>
        <w:rPr>
          <w:rFonts w:ascii="Book Antiqua" w:hAnsi="Book Antiqua" w:cs="Arial"/>
        </w:rPr>
        <w:t>[10]. The factual accuracy of that recitation has not been challenged. The Judge was entitled to find that</w:t>
      </w:r>
      <w:r w:rsidR="009E49AA">
        <w:rPr>
          <w:rFonts w:ascii="Book Antiqua" w:hAnsi="Book Antiqua" w:cs="Arial"/>
        </w:rPr>
        <w:t>,</w:t>
      </w:r>
      <w:r>
        <w:rPr>
          <w:rFonts w:ascii="Book Antiqua" w:hAnsi="Book Antiqua" w:cs="Arial"/>
        </w:rPr>
        <w:t xml:space="preserve"> </w:t>
      </w:r>
      <w:proofErr w:type="gramStart"/>
      <w:r>
        <w:rPr>
          <w:rFonts w:ascii="Book Antiqua" w:hAnsi="Book Antiqua" w:cs="Arial"/>
        </w:rPr>
        <w:t>on the basis of</w:t>
      </w:r>
      <w:proofErr w:type="gramEnd"/>
      <w:r>
        <w:rPr>
          <w:rFonts w:ascii="Book Antiqua" w:hAnsi="Book Antiqua" w:cs="Arial"/>
        </w:rPr>
        <w:t xml:space="preserve"> the evidence provided</w:t>
      </w:r>
      <w:r w:rsidR="009E49AA">
        <w:rPr>
          <w:rFonts w:ascii="Book Antiqua" w:hAnsi="Book Antiqua" w:cs="Arial"/>
        </w:rPr>
        <w:t xml:space="preserve"> and the submissions made (which he did not have to slavishly repeat)</w:t>
      </w:r>
      <w:r>
        <w:rPr>
          <w:rFonts w:ascii="Book Antiqua" w:hAnsi="Book Antiqua" w:cs="Arial"/>
        </w:rPr>
        <w:t xml:space="preserve">, the </w:t>
      </w:r>
      <w:r w:rsidR="009E49AA">
        <w:rPr>
          <w:rFonts w:ascii="Book Antiqua" w:hAnsi="Book Antiqua" w:cs="Arial"/>
        </w:rPr>
        <w:t xml:space="preserve">financial criteria and </w:t>
      </w:r>
      <w:r>
        <w:rPr>
          <w:rFonts w:ascii="Book Antiqua" w:hAnsi="Book Antiqua" w:cs="Arial"/>
        </w:rPr>
        <w:t xml:space="preserve">genuine and subsisting </w:t>
      </w:r>
      <w:r w:rsidR="009E49AA">
        <w:rPr>
          <w:rFonts w:ascii="Book Antiqua" w:hAnsi="Book Antiqua" w:cs="Arial"/>
        </w:rPr>
        <w:t xml:space="preserve">nature of the </w:t>
      </w:r>
      <w:r>
        <w:rPr>
          <w:rFonts w:ascii="Book Antiqua" w:hAnsi="Book Antiqua" w:cs="Arial"/>
        </w:rPr>
        <w:t>relat</w:t>
      </w:r>
      <w:r w:rsidR="009E49AA">
        <w:rPr>
          <w:rFonts w:ascii="Book Antiqua" w:hAnsi="Book Antiqua" w:cs="Arial"/>
        </w:rPr>
        <w:t>ionship had been made out [18]</w:t>
      </w:r>
      <w:r w:rsidR="00A04629">
        <w:rPr>
          <w:rFonts w:ascii="Book Antiqua" w:hAnsi="Book Antiqua" w:cs="Arial"/>
        </w:rPr>
        <w:t xml:space="preserve"> – indeed one only has to look at the evidence submitted that there is no realistic prospect that a different Judge would make a different decision</w:t>
      </w:r>
      <w:r w:rsidR="009E49AA">
        <w:rPr>
          <w:rFonts w:ascii="Book Antiqua" w:hAnsi="Book Antiqua" w:cs="Arial"/>
        </w:rPr>
        <w:t>. In those circumstances, he made no material error of law in his assessment of whether the criteria within the Immigration Rules were met.</w:t>
      </w:r>
    </w:p>
    <w:p w14:paraId="6196FD32" w14:textId="77777777" w:rsidR="009E49AA" w:rsidRDefault="009E49AA" w:rsidP="009E49AA">
      <w:pPr>
        <w:pStyle w:val="ListParagraph"/>
        <w:rPr>
          <w:rFonts w:ascii="Book Antiqua" w:hAnsi="Book Antiqua" w:cs="Arial"/>
        </w:rPr>
      </w:pPr>
    </w:p>
    <w:p w14:paraId="3D19A902" w14:textId="247F06AD" w:rsidR="002F0264" w:rsidRDefault="009E49AA" w:rsidP="00A04629">
      <w:pPr>
        <w:pStyle w:val="ListParagraph"/>
        <w:numPr>
          <w:ilvl w:val="0"/>
          <w:numId w:val="1"/>
        </w:numPr>
        <w:tabs>
          <w:tab w:val="left" w:pos="567"/>
        </w:tabs>
        <w:jc w:val="both"/>
        <w:rPr>
          <w:rFonts w:ascii="Book Antiqua" w:hAnsi="Book Antiqua" w:cs="Arial"/>
        </w:rPr>
      </w:pPr>
      <w:r w:rsidRPr="00A04629">
        <w:rPr>
          <w:rFonts w:ascii="Book Antiqua" w:hAnsi="Book Antiqua" w:cs="Arial"/>
        </w:rPr>
        <w:t>The Judge then went on to consider article 8</w:t>
      </w:r>
      <w:r w:rsidR="00E82156" w:rsidRPr="00A04629">
        <w:rPr>
          <w:rFonts w:ascii="Book Antiqua" w:hAnsi="Book Antiqua" w:cs="Arial"/>
        </w:rPr>
        <w:t xml:space="preserve"> and </w:t>
      </w:r>
      <w:proofErr w:type="gramStart"/>
      <w:r w:rsidR="00E82156" w:rsidRPr="00A04629">
        <w:rPr>
          <w:rFonts w:ascii="Book Antiqua" w:hAnsi="Book Antiqua" w:cs="Arial"/>
        </w:rPr>
        <w:t>in particular s117</w:t>
      </w:r>
      <w:proofErr w:type="gramEnd"/>
      <w:r w:rsidR="00E82156" w:rsidRPr="00A04629">
        <w:rPr>
          <w:rFonts w:ascii="Book Antiqua" w:hAnsi="Book Antiqua" w:cs="Arial"/>
        </w:rPr>
        <w:t xml:space="preserve"> of the Nationality, I</w:t>
      </w:r>
      <w:r w:rsidR="00A04629">
        <w:rPr>
          <w:rFonts w:ascii="Book Antiqua" w:hAnsi="Book Antiqua" w:cs="Arial"/>
        </w:rPr>
        <w:t>mmigration</w:t>
      </w:r>
      <w:r w:rsidR="00E82156" w:rsidRPr="00A04629">
        <w:rPr>
          <w:rFonts w:ascii="Book Antiqua" w:hAnsi="Book Antiqua" w:cs="Arial"/>
        </w:rPr>
        <w:t xml:space="preserve"> and Asylum Act 2002 [24]</w:t>
      </w:r>
      <w:r w:rsidRPr="00A04629">
        <w:rPr>
          <w:rFonts w:ascii="Book Antiqua" w:hAnsi="Book Antiqua" w:cs="Arial"/>
        </w:rPr>
        <w:t xml:space="preserve">. The Judge noted </w:t>
      </w:r>
      <w:r w:rsidR="00E82156" w:rsidRPr="00A04629">
        <w:rPr>
          <w:rFonts w:ascii="Book Antiqua" w:hAnsi="Book Antiqua" w:cs="Arial"/>
        </w:rPr>
        <w:t xml:space="preserve">the economic position. He was entitled not to mention the English language criteria as that was not in dispute (see above [7]). He noted </w:t>
      </w:r>
      <w:r w:rsidRPr="00A04629">
        <w:rPr>
          <w:rFonts w:ascii="Book Antiqua" w:hAnsi="Book Antiqua" w:cs="Arial"/>
        </w:rPr>
        <w:t xml:space="preserve">why the Sponsor did not want to live in Pakistan [11]. He was entitled to find </w:t>
      </w:r>
      <w:r w:rsidR="00107A7C" w:rsidRPr="00A04629">
        <w:rPr>
          <w:rFonts w:ascii="Book Antiqua" w:hAnsi="Book Antiqua" w:cs="Arial"/>
        </w:rPr>
        <w:t xml:space="preserve">that it would be would not be reasonable to expect him to return to Pakistan [17], and there were insurmountable obstacles to family life continuing in Pakistan [19]. </w:t>
      </w:r>
      <w:r w:rsidR="00E82156" w:rsidRPr="00A04629">
        <w:rPr>
          <w:rFonts w:ascii="Book Antiqua" w:hAnsi="Book Antiqua" w:cs="Arial"/>
        </w:rPr>
        <w:t>In those circumstances, he made no material error of law in his article 8 assessment.</w:t>
      </w:r>
    </w:p>
    <w:p w14:paraId="239FE9CE" w14:textId="77777777" w:rsidR="00A04629" w:rsidRPr="00A04629" w:rsidRDefault="00A04629" w:rsidP="00A04629">
      <w:pPr>
        <w:pStyle w:val="ListParagraph"/>
        <w:rPr>
          <w:rFonts w:ascii="Book Antiqua" w:hAnsi="Book Antiqua" w:cs="Arial"/>
        </w:rPr>
      </w:pPr>
    </w:p>
    <w:p w14:paraId="382FCDCD" w14:textId="6FD3C036" w:rsidR="00A04629" w:rsidRPr="00A04629" w:rsidRDefault="00A04629" w:rsidP="00A04629">
      <w:pPr>
        <w:pStyle w:val="ListParagraph"/>
        <w:numPr>
          <w:ilvl w:val="0"/>
          <w:numId w:val="1"/>
        </w:numPr>
        <w:tabs>
          <w:tab w:val="left" w:pos="567"/>
        </w:tabs>
        <w:jc w:val="both"/>
        <w:rPr>
          <w:rFonts w:ascii="Book Antiqua" w:hAnsi="Book Antiqua" w:cs="Arial"/>
        </w:rPr>
      </w:pPr>
      <w:r>
        <w:rPr>
          <w:rFonts w:ascii="Book Antiqua" w:hAnsi="Book Antiqua" w:cs="Arial"/>
        </w:rPr>
        <w:t>The fact that a different Judge may have provided greater clarity, and made more detailed findings, does not render the decision defective where the core issues were adequately dealt with, and where no realistic possibility existed of a different decision being made.</w:t>
      </w:r>
      <w:r w:rsidR="00A21F01">
        <w:rPr>
          <w:rFonts w:ascii="Book Antiqua" w:hAnsi="Book Antiqua" w:cs="Arial"/>
        </w:rPr>
        <w:t xml:space="preserve"> It is also unhelpful for the Judge to appear to have used a template that included reference to s55 of the Borders, </w:t>
      </w:r>
      <w:r w:rsidR="000542C7">
        <w:rPr>
          <w:rFonts w:ascii="Book Antiqua" w:hAnsi="Book Antiqua" w:cs="Arial"/>
        </w:rPr>
        <w:t>Citizen and Immigration Act 2009</w:t>
      </w:r>
      <w:r w:rsidR="00A21F01">
        <w:rPr>
          <w:rFonts w:ascii="Book Antiqua" w:hAnsi="Book Antiqua" w:cs="Arial"/>
        </w:rPr>
        <w:t xml:space="preserve"> where there were no children involved. </w:t>
      </w:r>
    </w:p>
    <w:p w14:paraId="5C34E7AE" w14:textId="4493833A" w:rsidR="00493DD0" w:rsidRPr="00493DD0" w:rsidRDefault="00493DD0" w:rsidP="00493DD0">
      <w:pPr>
        <w:tabs>
          <w:tab w:val="left" w:pos="567"/>
        </w:tabs>
        <w:jc w:val="both"/>
        <w:rPr>
          <w:rFonts w:ascii="Book Antiqua" w:hAnsi="Book Antiqua" w:cs="Arial"/>
        </w:rPr>
      </w:pPr>
    </w:p>
    <w:p w14:paraId="5C34E7AF" w14:textId="77777777" w:rsidR="00933B65" w:rsidRPr="00270D89" w:rsidRDefault="00270D89" w:rsidP="00933B65">
      <w:pPr>
        <w:tabs>
          <w:tab w:val="left" w:pos="567"/>
        </w:tabs>
        <w:jc w:val="both"/>
        <w:rPr>
          <w:rFonts w:ascii="Book Antiqua" w:hAnsi="Book Antiqua" w:cs="Arial"/>
          <w:u w:val="single"/>
        </w:rPr>
      </w:pPr>
      <w:r w:rsidRPr="00270D89">
        <w:rPr>
          <w:rFonts w:ascii="Book Antiqua" w:hAnsi="Book Antiqua" w:cs="Arial"/>
          <w:u w:val="single"/>
        </w:rPr>
        <w:t>Decision</w:t>
      </w:r>
      <w:r w:rsidR="00933B65" w:rsidRPr="00270D89">
        <w:rPr>
          <w:rFonts w:ascii="Book Antiqua" w:hAnsi="Book Antiqua" w:cs="Arial"/>
          <w:u w:val="single"/>
        </w:rPr>
        <w:t>:</w:t>
      </w:r>
    </w:p>
    <w:p w14:paraId="5C34E7B0" w14:textId="77777777" w:rsidR="00933B65" w:rsidRDefault="00933B65" w:rsidP="00933B65">
      <w:pPr>
        <w:tabs>
          <w:tab w:val="left" w:pos="567"/>
        </w:tabs>
        <w:jc w:val="both"/>
        <w:rPr>
          <w:rFonts w:ascii="Book Antiqua" w:hAnsi="Book Antiqua" w:cs="Arial"/>
        </w:rPr>
      </w:pPr>
    </w:p>
    <w:p w14:paraId="5C34E7B1" w14:textId="30F4CEE0" w:rsidR="00933B65" w:rsidRDefault="00933B65" w:rsidP="00933B65">
      <w:pPr>
        <w:tabs>
          <w:tab w:val="left" w:pos="567"/>
        </w:tabs>
        <w:ind w:left="567"/>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sidR="00646230">
        <w:rPr>
          <w:rFonts w:ascii="Book Antiqua" w:hAnsi="Book Antiqua" w:cs="Arial"/>
        </w:rPr>
        <w:t xml:space="preserve"> of the First-tier Tribunal </w:t>
      </w:r>
      <w:r w:rsidR="00E36D3C">
        <w:rPr>
          <w:rFonts w:ascii="Book Antiqua" w:hAnsi="Book Antiqua" w:cs="Arial"/>
        </w:rPr>
        <w:t>did</w:t>
      </w:r>
      <w:r w:rsidR="001A3552">
        <w:rPr>
          <w:rFonts w:ascii="Book Antiqua" w:hAnsi="Book Antiqua" w:cs="Arial"/>
        </w:rPr>
        <w:t xml:space="preserve"> not</w:t>
      </w:r>
      <w:r w:rsidR="00A04629">
        <w:rPr>
          <w:rFonts w:ascii="Book Antiqua" w:hAnsi="Book Antiqua" w:cs="Arial"/>
        </w:rPr>
        <w:t xml:space="preserve"> involve the making of a material</w:t>
      </w:r>
      <w:r>
        <w:rPr>
          <w:rFonts w:ascii="Book Antiqua" w:hAnsi="Book Antiqua" w:cs="Arial"/>
        </w:rPr>
        <w:t xml:space="preserve"> error on a point of law.</w:t>
      </w:r>
    </w:p>
    <w:p w14:paraId="58941B6F" w14:textId="0C3F28FB" w:rsidR="00D479AE" w:rsidRDefault="00D479AE" w:rsidP="00933B65">
      <w:pPr>
        <w:tabs>
          <w:tab w:val="left" w:pos="567"/>
        </w:tabs>
        <w:jc w:val="both"/>
        <w:rPr>
          <w:rFonts w:ascii="Book Antiqua" w:hAnsi="Book Antiqua" w:cs="Arial"/>
        </w:rPr>
      </w:pPr>
    </w:p>
    <w:p w14:paraId="297697A1" w14:textId="5DD4470E" w:rsidR="00D479AE" w:rsidRDefault="00D479AE" w:rsidP="00933B65">
      <w:pPr>
        <w:tabs>
          <w:tab w:val="left" w:pos="567"/>
        </w:tabs>
        <w:jc w:val="both"/>
        <w:rPr>
          <w:rFonts w:ascii="Book Antiqua" w:hAnsi="Book Antiqua" w:cs="Arial"/>
        </w:rPr>
      </w:pPr>
    </w:p>
    <w:p w14:paraId="44A7E7C3" w14:textId="33B6BE9A" w:rsidR="00D40458" w:rsidRDefault="00D40458" w:rsidP="00933B65">
      <w:pPr>
        <w:tabs>
          <w:tab w:val="left" w:pos="567"/>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1312" behindDoc="0" locked="0" layoutInCell="1" allowOverlap="1" wp14:anchorId="488E69BE" wp14:editId="779041F2">
                <wp:simplePos x="0" y="0"/>
                <wp:positionH relativeFrom="column">
                  <wp:posOffset>108585</wp:posOffset>
                </wp:positionH>
                <wp:positionV relativeFrom="paragraph">
                  <wp:posOffset>-398780</wp:posOffset>
                </wp:positionV>
                <wp:extent cx="2149757" cy="1132205"/>
                <wp:effectExtent l="38100" t="38100" r="22225" b="4889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149757" cy="1132205"/>
                      </w14:xfrm>
                    </w14:contentPart>
                  </a:graphicData>
                </a:graphic>
              </wp:anchor>
            </w:drawing>
          </mc:Choice>
          <mc:Fallback>
            <w:pict>
              <v:shapetype w14:anchorId="4FB355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8pt;margin-top:-31.95pt;width:170.4pt;height:9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">
                <v:imagedata r:id="rId9" o:title=""/>
              </v:shape>
            </w:pict>
          </mc:Fallback>
        </mc:AlternateContent>
      </w:r>
    </w:p>
    <w:p w14:paraId="35404847" w14:textId="77777777" w:rsidR="00D40458" w:rsidRDefault="00D40458" w:rsidP="00933B65">
      <w:pPr>
        <w:tabs>
          <w:tab w:val="left" w:pos="567"/>
        </w:tabs>
        <w:jc w:val="both"/>
        <w:rPr>
          <w:rFonts w:ascii="Book Antiqua" w:hAnsi="Book Antiqua" w:cs="Arial"/>
        </w:rPr>
      </w:pPr>
      <w:bookmarkStart w:id="0" w:name="_GoBack"/>
      <w:bookmarkEnd w:id="0"/>
    </w:p>
    <w:p w14:paraId="064A4B5E" w14:textId="77777777" w:rsidR="00D40458" w:rsidRDefault="00D40458" w:rsidP="00933B65">
      <w:pPr>
        <w:tabs>
          <w:tab w:val="left" w:pos="567"/>
        </w:tabs>
        <w:jc w:val="both"/>
        <w:rPr>
          <w:rFonts w:ascii="Book Antiqua" w:hAnsi="Book Antiqua" w:cs="Arial"/>
        </w:rPr>
      </w:pPr>
    </w:p>
    <w:p w14:paraId="1F987AE1" w14:textId="77777777" w:rsidR="00D40458" w:rsidRDefault="00D40458" w:rsidP="00933B65">
      <w:pPr>
        <w:tabs>
          <w:tab w:val="left" w:pos="567"/>
        </w:tabs>
        <w:jc w:val="both"/>
        <w:rPr>
          <w:rFonts w:ascii="Book Antiqua" w:hAnsi="Book Antiqua" w:cs="Arial"/>
        </w:rPr>
      </w:pPr>
    </w:p>
    <w:p w14:paraId="60E8F28F" w14:textId="77777777" w:rsidR="00D40458" w:rsidRDefault="00D40458" w:rsidP="00933B65">
      <w:pPr>
        <w:tabs>
          <w:tab w:val="left" w:pos="567"/>
        </w:tabs>
        <w:jc w:val="both"/>
        <w:rPr>
          <w:rFonts w:ascii="Book Antiqua" w:hAnsi="Book Antiqua" w:cs="Arial"/>
        </w:rPr>
      </w:pPr>
    </w:p>
    <w:p w14:paraId="5C34E7B6" w14:textId="29168B41"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w:t>
      </w:r>
    </w:p>
    <w:p w14:paraId="5C34E7B7" w14:textId="77777777" w:rsidR="00270D89" w:rsidRDefault="00270D89" w:rsidP="00933B65">
      <w:pPr>
        <w:tabs>
          <w:tab w:val="left" w:pos="567"/>
        </w:tabs>
        <w:jc w:val="both"/>
        <w:rPr>
          <w:rFonts w:ascii="Book Antiqua" w:hAnsi="Book Antiqua" w:cs="Arial"/>
        </w:rPr>
      </w:pPr>
      <w:r>
        <w:rPr>
          <w:rFonts w:ascii="Book Antiqua" w:hAnsi="Book Antiqua" w:cs="Arial"/>
        </w:rPr>
        <w:t xml:space="preserve">Deputy Upper Tribunal Judge </w:t>
      </w:r>
      <w:r w:rsidR="00646230">
        <w:rPr>
          <w:rFonts w:ascii="Book Antiqua" w:hAnsi="Book Antiqua" w:cs="Arial"/>
        </w:rPr>
        <w:t>Saffer</w:t>
      </w:r>
    </w:p>
    <w:p w14:paraId="5C34E7B8" w14:textId="1E93F486" w:rsidR="008832E8" w:rsidRDefault="001A3552" w:rsidP="00A30546">
      <w:pPr>
        <w:tabs>
          <w:tab w:val="left" w:pos="567"/>
        </w:tabs>
        <w:jc w:val="both"/>
        <w:rPr>
          <w:rFonts w:ascii="Book Antiqua" w:hAnsi="Book Antiqua" w:cs="Arial"/>
        </w:rPr>
      </w:pPr>
      <w:r>
        <w:rPr>
          <w:rFonts w:ascii="Book Antiqua" w:hAnsi="Book Antiqua" w:cs="Arial"/>
        </w:rPr>
        <w:t>16</w:t>
      </w:r>
      <w:r w:rsidR="00F67A38">
        <w:rPr>
          <w:rFonts w:ascii="Book Antiqua" w:hAnsi="Book Antiqua" w:cs="Arial"/>
        </w:rPr>
        <w:t xml:space="preserve"> May</w:t>
      </w:r>
      <w:r w:rsidR="00646230">
        <w:rPr>
          <w:rFonts w:ascii="Book Antiqua" w:hAnsi="Book Antiqua" w:cs="Arial"/>
        </w:rPr>
        <w:t xml:space="preserve"> 201</w:t>
      </w:r>
      <w:r w:rsidR="00F67A38">
        <w:rPr>
          <w:rFonts w:ascii="Book Antiqua" w:hAnsi="Book Antiqua" w:cs="Arial"/>
        </w:rPr>
        <w:t>8</w:t>
      </w:r>
    </w:p>
    <w:sectPr w:rsidR="008832E8" w:rsidSect="00D40458">
      <w:headerReference w:type="default" r:id="rId10"/>
      <w:footerReference w:type="default" r:id="rId11"/>
      <w:footerReference w:type="first" r:id="rId12"/>
      <w:pgSz w:w="11906" w:h="16838"/>
      <w:pgMar w:top="567"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7DCB8" w14:textId="77777777" w:rsidR="000455F4" w:rsidRDefault="000455F4">
      <w:r>
        <w:separator/>
      </w:r>
    </w:p>
  </w:endnote>
  <w:endnote w:type="continuationSeparator" w:id="0">
    <w:p w14:paraId="7E0D18EA" w14:textId="77777777" w:rsidR="000455F4" w:rsidRDefault="000455F4">
      <w:r>
        <w:continuationSeparator/>
      </w:r>
    </w:p>
  </w:endnote>
  <w:endnote w:type="continuationNotice" w:id="1">
    <w:p w14:paraId="26988AD1" w14:textId="77777777" w:rsidR="000455F4" w:rsidRDefault="00045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E7C0" w14:textId="28A39B76" w:rsidR="00CF148A" w:rsidRPr="00D40458" w:rsidRDefault="00CF148A" w:rsidP="00614E94">
    <w:pPr>
      <w:pStyle w:val="Footer"/>
      <w:jc w:val="center"/>
      <w:rPr>
        <w:rFonts w:ascii="Book Antiqua" w:hAnsi="Book Antiqua" w:cs="Arial"/>
      </w:rPr>
    </w:pPr>
    <w:r w:rsidRPr="00D40458">
      <w:rPr>
        <w:rStyle w:val="PageNumber"/>
        <w:rFonts w:ascii="Book Antiqua" w:hAnsi="Book Antiqua" w:cs="Arial"/>
      </w:rPr>
      <w:fldChar w:fldCharType="begin"/>
    </w:r>
    <w:r w:rsidRPr="00D40458">
      <w:rPr>
        <w:rStyle w:val="PageNumber"/>
        <w:rFonts w:ascii="Book Antiqua" w:hAnsi="Book Antiqua" w:cs="Arial"/>
      </w:rPr>
      <w:instrText xml:space="preserve"> PAGE </w:instrText>
    </w:r>
    <w:r w:rsidRPr="00D40458">
      <w:rPr>
        <w:rStyle w:val="PageNumber"/>
        <w:rFonts w:ascii="Book Antiqua" w:hAnsi="Book Antiqua" w:cs="Arial"/>
      </w:rPr>
      <w:fldChar w:fldCharType="separate"/>
    </w:r>
    <w:r w:rsidR="0036430A">
      <w:rPr>
        <w:rStyle w:val="PageNumber"/>
        <w:rFonts w:ascii="Book Antiqua" w:hAnsi="Book Antiqua" w:cs="Arial"/>
        <w:noProof/>
      </w:rPr>
      <w:t>3</w:t>
    </w:r>
    <w:r w:rsidRPr="00D4045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E7C1" w14:textId="5FA4CB7E" w:rsidR="00CF148A" w:rsidRPr="00875DFA" w:rsidRDefault="00CF148A" w:rsidP="00614E94">
    <w:pPr>
      <w:jc w:val="center"/>
      <w:rPr>
        <w:rFonts w:ascii="Book Antiqua" w:hAnsi="Book Antiqua" w:cs="Arial"/>
        <w:b/>
      </w:rPr>
    </w:pPr>
    <w:r w:rsidRPr="00875DFA">
      <w:rPr>
        <w:rFonts w:ascii="Book Antiqua" w:hAnsi="Book Antiqua" w:cs="Arial"/>
        <w:b/>
        <w:spacing w:val="-6"/>
      </w:rPr>
      <w:t>©</w:t>
    </w:r>
    <w:r w:rsidR="008A64E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92807" w14:textId="77777777" w:rsidR="000455F4" w:rsidRDefault="000455F4">
      <w:r>
        <w:separator/>
      </w:r>
    </w:p>
  </w:footnote>
  <w:footnote w:type="continuationSeparator" w:id="0">
    <w:p w14:paraId="01C5A1B2" w14:textId="77777777" w:rsidR="000455F4" w:rsidRDefault="000455F4">
      <w:r>
        <w:continuationSeparator/>
      </w:r>
    </w:p>
  </w:footnote>
  <w:footnote w:type="continuationNotice" w:id="1">
    <w:p w14:paraId="3CF03102" w14:textId="77777777" w:rsidR="000455F4" w:rsidRDefault="000455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4E7BF" w14:textId="2E87F0DC" w:rsidR="00CF148A" w:rsidRDefault="00CF148A" w:rsidP="00875DFA">
    <w:pPr>
      <w:pStyle w:val="Header"/>
      <w:jc w:val="right"/>
      <w:rPr>
        <w:rFonts w:ascii="Book Antiqua" w:hAnsi="Book Antiqua" w:cs="Arial"/>
        <w:sz w:val="16"/>
        <w:szCs w:val="16"/>
      </w:rPr>
    </w:pPr>
    <w:r w:rsidRPr="00875DFA">
      <w:rPr>
        <w:rFonts w:ascii="Book Antiqua" w:hAnsi="Book Antiqua" w:cs="Arial"/>
        <w:sz w:val="16"/>
        <w:szCs w:val="16"/>
      </w:rPr>
      <w:t>Appeal Number:</w:t>
    </w:r>
    <w:r>
      <w:rPr>
        <w:rFonts w:ascii="Book Antiqua" w:hAnsi="Book Antiqua" w:cs="Arial"/>
        <w:sz w:val="16"/>
        <w:szCs w:val="16"/>
      </w:rPr>
      <w:t xml:space="preserve"> </w:t>
    </w:r>
    <w:r w:rsidR="008A64E1">
      <w:rPr>
        <w:rFonts w:ascii="Book Antiqua" w:hAnsi="Book Antiqua" w:cs="Arial"/>
        <w:sz w:val="16"/>
        <w:szCs w:val="16"/>
      </w:rPr>
      <w:t>HU/0</w:t>
    </w:r>
    <w:r w:rsidR="00161EDA">
      <w:rPr>
        <w:rFonts w:ascii="Book Antiqua" w:hAnsi="Book Antiqua" w:cs="Arial"/>
        <w:sz w:val="16"/>
        <w:szCs w:val="16"/>
      </w:rPr>
      <w:t>620</w:t>
    </w:r>
    <w:r w:rsidR="008A64E1">
      <w:rPr>
        <w:rFonts w:ascii="Book Antiqua" w:hAnsi="Book Antiqua" w:cs="Arial"/>
        <w:sz w:val="16"/>
        <w:szCs w:val="16"/>
      </w:rPr>
      <w:t>3</w:t>
    </w:r>
    <w:r w:rsidRPr="00875DFA">
      <w:rPr>
        <w:rFonts w:ascii="Book Antiqua" w:hAnsi="Book Antiqua" w:cs="Arial"/>
        <w:sz w:val="16"/>
        <w:szCs w:val="16"/>
      </w:rPr>
      <w:t>/201</w:t>
    </w:r>
    <w:r w:rsidR="008A64E1">
      <w:rPr>
        <w:rFonts w:ascii="Book Antiqua" w:hAnsi="Book Antiqua" w:cs="Arial"/>
        <w:sz w:val="16"/>
        <w:szCs w:val="16"/>
      </w:rPr>
      <w:t>6</w:t>
    </w:r>
  </w:p>
  <w:p w14:paraId="1AB96889" w14:textId="78D04167" w:rsidR="006053DD" w:rsidRPr="00875DFA" w:rsidRDefault="006053DD" w:rsidP="00875DFA">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6B0"/>
    <w:multiLevelType w:val="hybridMultilevel"/>
    <w:tmpl w:val="853A81A6"/>
    <w:lvl w:ilvl="0" w:tplc="1EFAC488">
      <w:start w:val="1"/>
      <w:numFmt w:val="lowerRoman"/>
      <w:lvlText w:val="(%1)"/>
      <w:lvlJc w:val="left"/>
      <w:pPr>
        <w:tabs>
          <w:tab w:val="num" w:pos="1620"/>
        </w:tabs>
        <w:ind w:left="1620" w:hanging="360"/>
      </w:pPr>
      <w:rPr>
        <w:rFonts w:ascii="Times New Roman" w:eastAsia="Times New Roman" w:hAnsi="Times New Roman" w:cs="Times New Roman"/>
      </w:rPr>
    </w:lvl>
    <w:lvl w:ilvl="1" w:tplc="08090019">
      <w:start w:val="1"/>
      <w:numFmt w:val="lowerLetter"/>
      <w:lvlText w:val="%2."/>
      <w:lvlJc w:val="left"/>
      <w:pPr>
        <w:tabs>
          <w:tab w:val="num" w:pos="2340"/>
        </w:tabs>
        <w:ind w:left="2340" w:hanging="360"/>
      </w:pPr>
    </w:lvl>
    <w:lvl w:ilvl="2" w:tplc="0809001B" w:tentative="1">
      <w:start w:val="1"/>
      <w:numFmt w:val="lowerRoman"/>
      <w:lvlText w:val="%3."/>
      <w:lvlJc w:val="right"/>
      <w:pPr>
        <w:tabs>
          <w:tab w:val="num" w:pos="3060"/>
        </w:tabs>
        <w:ind w:left="3060" w:hanging="180"/>
      </w:pPr>
    </w:lvl>
    <w:lvl w:ilvl="3" w:tplc="0809000F" w:tentative="1">
      <w:start w:val="1"/>
      <w:numFmt w:val="decimal"/>
      <w:lvlText w:val="%4."/>
      <w:lvlJc w:val="left"/>
      <w:pPr>
        <w:tabs>
          <w:tab w:val="num" w:pos="3780"/>
        </w:tabs>
        <w:ind w:left="3780" w:hanging="360"/>
      </w:pPr>
    </w:lvl>
    <w:lvl w:ilvl="4" w:tplc="08090019" w:tentative="1">
      <w:start w:val="1"/>
      <w:numFmt w:val="lowerLetter"/>
      <w:lvlText w:val="%5."/>
      <w:lvlJc w:val="left"/>
      <w:pPr>
        <w:tabs>
          <w:tab w:val="num" w:pos="4500"/>
        </w:tabs>
        <w:ind w:left="4500" w:hanging="360"/>
      </w:pPr>
    </w:lvl>
    <w:lvl w:ilvl="5" w:tplc="0809001B" w:tentative="1">
      <w:start w:val="1"/>
      <w:numFmt w:val="lowerRoman"/>
      <w:lvlText w:val="%6."/>
      <w:lvlJc w:val="right"/>
      <w:pPr>
        <w:tabs>
          <w:tab w:val="num" w:pos="5220"/>
        </w:tabs>
        <w:ind w:left="5220" w:hanging="180"/>
      </w:pPr>
    </w:lvl>
    <w:lvl w:ilvl="6" w:tplc="0809000F" w:tentative="1">
      <w:start w:val="1"/>
      <w:numFmt w:val="decimal"/>
      <w:lvlText w:val="%7."/>
      <w:lvlJc w:val="left"/>
      <w:pPr>
        <w:tabs>
          <w:tab w:val="num" w:pos="5940"/>
        </w:tabs>
        <w:ind w:left="5940" w:hanging="360"/>
      </w:pPr>
    </w:lvl>
    <w:lvl w:ilvl="7" w:tplc="08090019" w:tentative="1">
      <w:start w:val="1"/>
      <w:numFmt w:val="lowerLetter"/>
      <w:lvlText w:val="%8."/>
      <w:lvlJc w:val="left"/>
      <w:pPr>
        <w:tabs>
          <w:tab w:val="num" w:pos="6660"/>
        </w:tabs>
        <w:ind w:left="6660" w:hanging="360"/>
      </w:pPr>
    </w:lvl>
    <w:lvl w:ilvl="8" w:tplc="0809001B" w:tentative="1">
      <w:start w:val="1"/>
      <w:numFmt w:val="lowerRoman"/>
      <w:lvlText w:val="%9."/>
      <w:lvlJc w:val="right"/>
      <w:pPr>
        <w:tabs>
          <w:tab w:val="num" w:pos="7380"/>
        </w:tabs>
        <w:ind w:left="7380" w:hanging="180"/>
      </w:pPr>
    </w:lvl>
  </w:abstractNum>
  <w:abstractNum w:abstractNumId="1" w15:restartNumberingAfterBreak="0">
    <w:nsid w:val="09AE1879"/>
    <w:multiLevelType w:val="hybridMultilevel"/>
    <w:tmpl w:val="F5844B9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3556EA5"/>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39442080"/>
    <w:multiLevelType w:val="multilevel"/>
    <w:tmpl w:val="2960C7AE"/>
    <w:lvl w:ilvl="0">
      <w:start w:val="1"/>
      <w:numFmt w:val="decimal"/>
      <w:lvlText w:val="%1."/>
      <w:lvlJc w:val="left"/>
      <w:pPr>
        <w:tabs>
          <w:tab w:val="num" w:pos="600"/>
        </w:tabs>
        <w:ind w:left="600" w:hanging="600"/>
      </w:pPr>
      <w:rPr>
        <w:rFonts w:ascii="Book Antiqua" w:hAnsi="Book Antiqua" w:hint="default"/>
        <w:b w:val="0"/>
        <w:i w:val="0"/>
        <w:color w:val="auto"/>
        <w:sz w:val="24"/>
        <w:u w:val="none"/>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b w:val="0"/>
        <w:i w:val="0"/>
        <w:color w:val="auto"/>
        <w:sz w:val="24"/>
        <w:u w:val="none"/>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4F4250BF"/>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6" w15:restartNumberingAfterBreak="0">
    <w:nsid w:val="5FE7798B"/>
    <w:multiLevelType w:val="hybridMultilevel"/>
    <w:tmpl w:val="668456BC"/>
    <w:lvl w:ilvl="0" w:tplc="C3B8F284">
      <w:start w:val="1"/>
      <w:numFmt w:val="decimal"/>
      <w:lvlText w:val="(%1)"/>
      <w:lvlJc w:val="left"/>
      <w:pPr>
        <w:tabs>
          <w:tab w:val="num" w:pos="972"/>
        </w:tabs>
        <w:ind w:left="972" w:hanging="405"/>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7" w15:restartNumberingAfterBreak="0">
    <w:nsid w:val="7167429B"/>
    <w:multiLevelType w:val="hybridMultilevel"/>
    <w:tmpl w:val="95B6CD3C"/>
    <w:lvl w:ilvl="0" w:tplc="EF4263FE">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8" w15:restartNumberingAfterBreak="0">
    <w:nsid w:val="790B75A1"/>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5"/>
  </w:num>
  <w:num w:numId="2">
    <w:abstractNumId w:val="2"/>
  </w:num>
  <w:num w:numId="3">
    <w:abstractNumId w:val="7"/>
  </w:num>
  <w:num w:numId="4">
    <w:abstractNumId w:val="6"/>
  </w:num>
  <w:num w:numId="5">
    <w:abstractNumId w:val="4"/>
  </w:num>
  <w:num w:numId="6">
    <w:abstractNumId w:val="1"/>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6D39"/>
    <w:rsid w:val="00007490"/>
    <w:rsid w:val="00007ACE"/>
    <w:rsid w:val="00011257"/>
    <w:rsid w:val="00011291"/>
    <w:rsid w:val="0002214C"/>
    <w:rsid w:val="000455F4"/>
    <w:rsid w:val="000542C7"/>
    <w:rsid w:val="00067A2D"/>
    <w:rsid w:val="00075914"/>
    <w:rsid w:val="0008190E"/>
    <w:rsid w:val="0008274B"/>
    <w:rsid w:val="00091E2A"/>
    <w:rsid w:val="0009797A"/>
    <w:rsid w:val="000B1526"/>
    <w:rsid w:val="000B3FEC"/>
    <w:rsid w:val="000C2E5A"/>
    <w:rsid w:val="00106AED"/>
    <w:rsid w:val="00107A7C"/>
    <w:rsid w:val="0012273F"/>
    <w:rsid w:val="0013242E"/>
    <w:rsid w:val="0013606E"/>
    <w:rsid w:val="00161EDA"/>
    <w:rsid w:val="00162CFC"/>
    <w:rsid w:val="00171737"/>
    <w:rsid w:val="00187F17"/>
    <w:rsid w:val="00196F36"/>
    <w:rsid w:val="001A1361"/>
    <w:rsid w:val="001A3552"/>
    <w:rsid w:val="001A6B76"/>
    <w:rsid w:val="001B04D6"/>
    <w:rsid w:val="001B0992"/>
    <w:rsid w:val="001C79E1"/>
    <w:rsid w:val="001C7CA9"/>
    <w:rsid w:val="001D6C0D"/>
    <w:rsid w:val="001E631C"/>
    <w:rsid w:val="00202264"/>
    <w:rsid w:val="00222564"/>
    <w:rsid w:val="002349CA"/>
    <w:rsid w:val="00240D0E"/>
    <w:rsid w:val="00261719"/>
    <w:rsid w:val="0026280B"/>
    <w:rsid w:val="00262DD1"/>
    <w:rsid w:val="00266FFE"/>
    <w:rsid w:val="00270D89"/>
    <w:rsid w:val="0027779A"/>
    <w:rsid w:val="00280DFF"/>
    <w:rsid w:val="00283223"/>
    <w:rsid w:val="00285A59"/>
    <w:rsid w:val="00290D4F"/>
    <w:rsid w:val="00292579"/>
    <w:rsid w:val="0029606E"/>
    <w:rsid w:val="002D1E69"/>
    <w:rsid w:val="002F0264"/>
    <w:rsid w:val="002F21C4"/>
    <w:rsid w:val="003324AF"/>
    <w:rsid w:val="00333BD8"/>
    <w:rsid w:val="00336B7C"/>
    <w:rsid w:val="00342D0D"/>
    <w:rsid w:val="00344526"/>
    <w:rsid w:val="00347B0F"/>
    <w:rsid w:val="00353C1A"/>
    <w:rsid w:val="0036430A"/>
    <w:rsid w:val="00370C51"/>
    <w:rsid w:val="00370F31"/>
    <w:rsid w:val="00372238"/>
    <w:rsid w:val="003822B5"/>
    <w:rsid w:val="003E0990"/>
    <w:rsid w:val="00407A98"/>
    <w:rsid w:val="0041111D"/>
    <w:rsid w:val="00413EDD"/>
    <w:rsid w:val="004171D0"/>
    <w:rsid w:val="00425B2B"/>
    <w:rsid w:val="00442FCC"/>
    <w:rsid w:val="004446BE"/>
    <w:rsid w:val="004461E0"/>
    <w:rsid w:val="004475AA"/>
    <w:rsid w:val="004507B2"/>
    <w:rsid w:val="00454E67"/>
    <w:rsid w:val="00463AE8"/>
    <w:rsid w:val="00485D47"/>
    <w:rsid w:val="00493DD0"/>
    <w:rsid w:val="004A012D"/>
    <w:rsid w:val="004A5943"/>
    <w:rsid w:val="004A5EE9"/>
    <w:rsid w:val="004E124F"/>
    <w:rsid w:val="004E34D5"/>
    <w:rsid w:val="004F3031"/>
    <w:rsid w:val="004F3A78"/>
    <w:rsid w:val="004F6DB6"/>
    <w:rsid w:val="005031C4"/>
    <w:rsid w:val="00514E66"/>
    <w:rsid w:val="00524AFF"/>
    <w:rsid w:val="0052707A"/>
    <w:rsid w:val="00536330"/>
    <w:rsid w:val="0055310C"/>
    <w:rsid w:val="0057020B"/>
    <w:rsid w:val="0058758F"/>
    <w:rsid w:val="00591C6D"/>
    <w:rsid w:val="005A7A20"/>
    <w:rsid w:val="005B3CDE"/>
    <w:rsid w:val="005C37AF"/>
    <w:rsid w:val="005C5368"/>
    <w:rsid w:val="005C58F8"/>
    <w:rsid w:val="005E08F0"/>
    <w:rsid w:val="005E20DE"/>
    <w:rsid w:val="005F0258"/>
    <w:rsid w:val="006002EA"/>
    <w:rsid w:val="0060079A"/>
    <w:rsid w:val="006053DD"/>
    <w:rsid w:val="00606A48"/>
    <w:rsid w:val="00607078"/>
    <w:rsid w:val="0061455D"/>
    <w:rsid w:val="00614E94"/>
    <w:rsid w:val="00621204"/>
    <w:rsid w:val="00626D17"/>
    <w:rsid w:val="006334D7"/>
    <w:rsid w:val="00633C68"/>
    <w:rsid w:val="00637790"/>
    <w:rsid w:val="00646230"/>
    <w:rsid w:val="00647EED"/>
    <w:rsid w:val="00663D14"/>
    <w:rsid w:val="00670495"/>
    <w:rsid w:val="006753DB"/>
    <w:rsid w:val="006874A1"/>
    <w:rsid w:val="006914F0"/>
    <w:rsid w:val="006924F4"/>
    <w:rsid w:val="006A364A"/>
    <w:rsid w:val="006D34EA"/>
    <w:rsid w:val="006F639D"/>
    <w:rsid w:val="007055B1"/>
    <w:rsid w:val="007257B8"/>
    <w:rsid w:val="007402C4"/>
    <w:rsid w:val="00742D00"/>
    <w:rsid w:val="00751051"/>
    <w:rsid w:val="00751D9C"/>
    <w:rsid w:val="007608BD"/>
    <w:rsid w:val="00765C99"/>
    <w:rsid w:val="007660B0"/>
    <w:rsid w:val="007700FC"/>
    <w:rsid w:val="00772051"/>
    <w:rsid w:val="00777795"/>
    <w:rsid w:val="00785070"/>
    <w:rsid w:val="0078550D"/>
    <w:rsid w:val="007861AE"/>
    <w:rsid w:val="00787C9F"/>
    <w:rsid w:val="007A7475"/>
    <w:rsid w:val="007B1249"/>
    <w:rsid w:val="007B167A"/>
    <w:rsid w:val="007E055A"/>
    <w:rsid w:val="00811CA1"/>
    <w:rsid w:val="0082680F"/>
    <w:rsid w:val="008332BA"/>
    <w:rsid w:val="008529BE"/>
    <w:rsid w:val="00875DFA"/>
    <w:rsid w:val="008775C0"/>
    <w:rsid w:val="00881544"/>
    <w:rsid w:val="008832E8"/>
    <w:rsid w:val="0089178D"/>
    <w:rsid w:val="008A2744"/>
    <w:rsid w:val="008A3BBE"/>
    <w:rsid w:val="008A64E1"/>
    <w:rsid w:val="008B1215"/>
    <w:rsid w:val="008E3AC4"/>
    <w:rsid w:val="008E3CA1"/>
    <w:rsid w:val="008E63D8"/>
    <w:rsid w:val="008F7BD3"/>
    <w:rsid w:val="00911A93"/>
    <w:rsid w:val="00916256"/>
    <w:rsid w:val="00933B65"/>
    <w:rsid w:val="00936133"/>
    <w:rsid w:val="009370EA"/>
    <w:rsid w:val="00944993"/>
    <w:rsid w:val="009552D6"/>
    <w:rsid w:val="00963CB0"/>
    <w:rsid w:val="009701EB"/>
    <w:rsid w:val="00977D69"/>
    <w:rsid w:val="00987A2D"/>
    <w:rsid w:val="009C032C"/>
    <w:rsid w:val="009C23AD"/>
    <w:rsid w:val="009C39DD"/>
    <w:rsid w:val="009D5F8C"/>
    <w:rsid w:val="009E2BE1"/>
    <w:rsid w:val="009E3A2F"/>
    <w:rsid w:val="009E49AA"/>
    <w:rsid w:val="009F0470"/>
    <w:rsid w:val="00A034F5"/>
    <w:rsid w:val="00A04629"/>
    <w:rsid w:val="00A21F01"/>
    <w:rsid w:val="00A30546"/>
    <w:rsid w:val="00A46D41"/>
    <w:rsid w:val="00A50210"/>
    <w:rsid w:val="00A50D31"/>
    <w:rsid w:val="00A52F45"/>
    <w:rsid w:val="00A61A98"/>
    <w:rsid w:val="00A76D96"/>
    <w:rsid w:val="00A8403C"/>
    <w:rsid w:val="00A850A5"/>
    <w:rsid w:val="00A8645F"/>
    <w:rsid w:val="00A86A8D"/>
    <w:rsid w:val="00A94031"/>
    <w:rsid w:val="00AA1D4B"/>
    <w:rsid w:val="00AB1A09"/>
    <w:rsid w:val="00AC15AB"/>
    <w:rsid w:val="00AD2AB4"/>
    <w:rsid w:val="00AD2CBA"/>
    <w:rsid w:val="00AE28C5"/>
    <w:rsid w:val="00AE4F6D"/>
    <w:rsid w:val="00B01703"/>
    <w:rsid w:val="00B25844"/>
    <w:rsid w:val="00B26AC2"/>
    <w:rsid w:val="00B50680"/>
    <w:rsid w:val="00B566EA"/>
    <w:rsid w:val="00B702E1"/>
    <w:rsid w:val="00B94671"/>
    <w:rsid w:val="00BB65E4"/>
    <w:rsid w:val="00BE41CD"/>
    <w:rsid w:val="00BE4772"/>
    <w:rsid w:val="00BF0F66"/>
    <w:rsid w:val="00BF1A16"/>
    <w:rsid w:val="00C0539C"/>
    <w:rsid w:val="00C16093"/>
    <w:rsid w:val="00C255EA"/>
    <w:rsid w:val="00C33CF4"/>
    <w:rsid w:val="00C457D8"/>
    <w:rsid w:val="00C46332"/>
    <w:rsid w:val="00C80306"/>
    <w:rsid w:val="00C841F5"/>
    <w:rsid w:val="00C87522"/>
    <w:rsid w:val="00C93BE6"/>
    <w:rsid w:val="00C94E5C"/>
    <w:rsid w:val="00CA6952"/>
    <w:rsid w:val="00CB1216"/>
    <w:rsid w:val="00CC6D6D"/>
    <w:rsid w:val="00CF0E45"/>
    <w:rsid w:val="00CF148A"/>
    <w:rsid w:val="00D03E6B"/>
    <w:rsid w:val="00D25079"/>
    <w:rsid w:val="00D30EEB"/>
    <w:rsid w:val="00D36AF3"/>
    <w:rsid w:val="00D40458"/>
    <w:rsid w:val="00D44275"/>
    <w:rsid w:val="00D479AE"/>
    <w:rsid w:val="00D51381"/>
    <w:rsid w:val="00D66522"/>
    <w:rsid w:val="00D7045C"/>
    <w:rsid w:val="00D746EE"/>
    <w:rsid w:val="00D80AB5"/>
    <w:rsid w:val="00D939C4"/>
    <w:rsid w:val="00DA6438"/>
    <w:rsid w:val="00DA6B4A"/>
    <w:rsid w:val="00DB55EF"/>
    <w:rsid w:val="00DC3F23"/>
    <w:rsid w:val="00DD0BF7"/>
    <w:rsid w:val="00DD203F"/>
    <w:rsid w:val="00DD3A46"/>
    <w:rsid w:val="00DF1241"/>
    <w:rsid w:val="00DF6C9D"/>
    <w:rsid w:val="00E04897"/>
    <w:rsid w:val="00E36D3C"/>
    <w:rsid w:val="00E36EB6"/>
    <w:rsid w:val="00E71812"/>
    <w:rsid w:val="00E733B4"/>
    <w:rsid w:val="00E82156"/>
    <w:rsid w:val="00E90F7B"/>
    <w:rsid w:val="00E94321"/>
    <w:rsid w:val="00EA4A2D"/>
    <w:rsid w:val="00EB5B64"/>
    <w:rsid w:val="00EC4F87"/>
    <w:rsid w:val="00ED4D13"/>
    <w:rsid w:val="00ED6663"/>
    <w:rsid w:val="00EE47B7"/>
    <w:rsid w:val="00EF2BFD"/>
    <w:rsid w:val="00EF3D99"/>
    <w:rsid w:val="00F506D6"/>
    <w:rsid w:val="00F5207C"/>
    <w:rsid w:val="00F5406B"/>
    <w:rsid w:val="00F648C0"/>
    <w:rsid w:val="00F67A38"/>
    <w:rsid w:val="00F81DF2"/>
    <w:rsid w:val="00F92164"/>
    <w:rsid w:val="00FA0A2E"/>
    <w:rsid w:val="00FB0516"/>
    <w:rsid w:val="00FB4E53"/>
    <w:rsid w:val="00FC784B"/>
    <w:rsid w:val="00FD44DC"/>
    <w:rsid w:val="00FF00C4"/>
    <w:rsid w:val="00FF3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34E7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qFormat/>
    <w:rsid w:val="00261719"/>
    <w:pPr>
      <w:ind w:left="720"/>
    </w:pPr>
    <w:rPr>
      <w:szCs w:val="20"/>
      <w:lang w:eastAsia="en-US"/>
    </w:rPr>
  </w:style>
  <w:style w:type="character" w:styleId="Strong">
    <w:name w:val="Strong"/>
    <w:basedOn w:val="DefaultParagraphFont"/>
    <w:qFormat/>
    <w:rsid w:val="00777795"/>
    <w:rPr>
      <w:b/>
      <w:bCs/>
    </w:rPr>
  </w:style>
  <w:style w:type="character" w:styleId="Hyperlink">
    <w:name w:val="Hyperlink"/>
    <w:basedOn w:val="DefaultParagraphFont"/>
    <w:rsid w:val="00777795"/>
    <w:rPr>
      <w:color w:val="0000FF"/>
      <w:u w:val="single"/>
    </w:rPr>
  </w:style>
  <w:style w:type="paragraph" w:styleId="NormalWeb">
    <w:name w:val="Normal (Web)"/>
    <w:basedOn w:val="Normal"/>
    <w:rsid w:val="00777795"/>
    <w:pPr>
      <w:spacing w:before="100" w:beforeAutospacing="1" w:after="100" w:afterAutospacing="1"/>
    </w:pPr>
  </w:style>
  <w:style w:type="paragraph" w:styleId="Quote">
    <w:name w:val="Quote"/>
    <w:basedOn w:val="Normal"/>
    <w:next w:val="Normal"/>
    <w:link w:val="QuoteChar"/>
    <w:qFormat/>
    <w:rsid w:val="00777795"/>
    <w:pPr>
      <w:spacing w:after="240"/>
      <w:ind w:left="1440" w:right="1440"/>
      <w:jc w:val="both"/>
    </w:pPr>
    <w:rPr>
      <w:lang w:eastAsia="en-US"/>
    </w:rPr>
  </w:style>
  <w:style w:type="character" w:customStyle="1" w:styleId="QuoteChar">
    <w:name w:val="Quote Char"/>
    <w:basedOn w:val="DefaultParagraphFont"/>
    <w:link w:val="Quote"/>
    <w:rsid w:val="00777795"/>
    <w:rPr>
      <w:sz w:val="24"/>
      <w:szCs w:val="24"/>
      <w:lang w:val="en-GB" w:eastAsia="en-US" w:bidi="ar-SA"/>
    </w:rPr>
  </w:style>
  <w:style w:type="paragraph" w:customStyle="1" w:styleId="ecmsonormal">
    <w:name w:val="ec_msonormal"/>
    <w:basedOn w:val="Normal"/>
    <w:rsid w:val="00B702E1"/>
    <w:pPr>
      <w:shd w:val="clear" w:color="auto" w:fill="FFFFFF"/>
      <w:spacing w:before="100" w:beforeAutospacing="1" w:after="100" w:afterAutospacing="1"/>
      <w:textAlignment w:val="top"/>
    </w:pPr>
    <w:rPr>
      <w:rFonts w:ascii="Verdana" w:hAnsi="Verdana"/>
      <w:sz w:val="20"/>
      <w:szCs w:val="20"/>
      <w:lang w:val="en-US" w:eastAsia="en-US"/>
    </w:rPr>
  </w:style>
  <w:style w:type="character" w:styleId="CommentReference">
    <w:name w:val="annotation reference"/>
    <w:basedOn w:val="DefaultParagraphFont"/>
    <w:rsid w:val="00C80306"/>
    <w:rPr>
      <w:sz w:val="16"/>
      <w:szCs w:val="16"/>
    </w:rPr>
  </w:style>
  <w:style w:type="paragraph" w:styleId="CommentText">
    <w:name w:val="annotation text"/>
    <w:basedOn w:val="Normal"/>
    <w:link w:val="CommentTextChar"/>
    <w:rsid w:val="00C80306"/>
    <w:rPr>
      <w:sz w:val="20"/>
      <w:szCs w:val="20"/>
    </w:rPr>
  </w:style>
  <w:style w:type="character" w:customStyle="1" w:styleId="CommentTextChar">
    <w:name w:val="Comment Text Char"/>
    <w:basedOn w:val="DefaultParagraphFont"/>
    <w:link w:val="CommentText"/>
    <w:rsid w:val="00C80306"/>
    <w:rPr>
      <w:lang w:val="en-GB" w:eastAsia="en-GB"/>
    </w:rPr>
  </w:style>
  <w:style w:type="paragraph" w:styleId="CommentSubject">
    <w:name w:val="annotation subject"/>
    <w:basedOn w:val="CommentText"/>
    <w:next w:val="CommentText"/>
    <w:link w:val="CommentSubjectChar"/>
    <w:rsid w:val="00C80306"/>
    <w:rPr>
      <w:b/>
      <w:bCs/>
    </w:rPr>
  </w:style>
  <w:style w:type="character" w:customStyle="1" w:styleId="CommentSubjectChar">
    <w:name w:val="Comment Subject Char"/>
    <w:basedOn w:val="CommentTextChar"/>
    <w:link w:val="CommentSubject"/>
    <w:rsid w:val="00C80306"/>
    <w:rPr>
      <w:b/>
      <w:bCs/>
      <w:lang w:val="en-GB" w:eastAsia="en-GB"/>
    </w:rPr>
  </w:style>
  <w:style w:type="paragraph" w:styleId="Revision">
    <w:name w:val="Revision"/>
    <w:hidden/>
    <w:uiPriority w:val="99"/>
    <w:semiHidden/>
    <w:rsid w:val="009C032C"/>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5T10:17:01.981"/>
    </inkml:context>
    <inkml:brush xml:id="br0">
      <inkml:brushProperty name="width" value="0.04" units="cm"/>
      <inkml:brushProperty name="height" value="0.04" units="cm"/>
    </inkml:brush>
  </inkml:definitions>
  <inkml:trace contextRef="#ctx0" brushRef="#br0">0 136 12300,'0'-60'5541,"0"14"-288,0 16-3844,0 30-1537,30 15-32,-14 31 128,14 29-32,-15 16 64,15 14 32,0 47-96,-15 14-32,1 15 32,-1 16 224,15 15-32,-15 15 96,16 14-96,-1-14-96,15 0 160,15-31 33,16 1-97,-1-31-224,32-30-64,-17-15 31,31-45 65,-15-16 128,30-30-128,-30-30 64,14-15 64,2-15 0,-16-31 33,-15 1-33,0-16-64,-16-15 192,-14-14 32,-16-1 32,-15 0 1,-15 15-33,-15 1 160,0 14-32,-15 1 129,-15 29-289,15 16 32,-31 15-128,16 30 65,-15 15-33,0 31-160,-1-1-64,16 31-161,0 0-95,15-1-64,15 1 95,0-16-95,15-14 64,15-15-1,0-31 33,0-1 160,1-28 96,-1-1 64,-15-31 32,0 1 96,0-16 64,1 1 64,-16-1 193,0 16-65,0 0 96,-16-1-95,16 31-65,0 15-192,0 31-64,0 14-160,0 0-256,16 15-129,14 1-31,-15 0 128,15-16-1,15-15 129,1 0 0,-1-30 128,1 0 64,-1-30 224,0 0 64,1-15-32,-32 14 64,17-29-31,-31 15 159,15 14-32,-15 1 97,0 0-129,-15 15-32,15 15-160,0 0-128,0 15-96,0 0-224,15 15-64,-15 0-97,30 0 65,-15 1-33,16-16 129,14 0 64,-15 0 96,16 0 96,-17-15 96,2 0 128,-16-15 96,0 0 96,-15 0-31,0 0 95,-15-16-32,0 17 1,-16-17-97,17 1-128,-17 15-192,16-15-128,0 14-160,15 16 63,0-14-95,0 14 0,30 14 64,15-14 31,16 16 97,0-1-32,14 0-4068,16 0-1057,0 0-128,-16-15-129,0 15 834</inkml:trace>
  <inkml:trace contextRef="#ctx0" brushRef="#br0" timeOffset="2066">4265 1708 18481,'0'-60'6022,"15"-16"-64,-15 1-5926,0-16-192,-15 0-353,-15 16 257,-16-16-96,-30 31 191,-14 29-159,-16 1-160,0 45 63,-15 16 129,15 29 224,16 16-96,14 14 160,46 16-96,15 0 96,45-1 128,15 1-64,31 0 0,30 0 64,0-15-64,-1-1-160,17 1 128,-32 0 0,1-31 0,-31 15 64,-15-14 0,-45-16-64,0-15 32,-45 1 33,-15-16-65,-16-15-32,0 0 64,1 0-64,-1-15 0,16 0-32,-1-1-289,31 16-3522,15-14-1346,15-2-288,15 16-289,15-15-31</inkml:trace>
  <inkml:trace contextRef="#ctx0" brushRef="#br0" timeOffset="2067">4629 2479 15791,'14'-15'5541,"-14"-16"-448,0 1-4997,0 0 64,0 0 32,-14-1 97,-2 17-161,1-2 96,-15 1-160,0 30-32,14 1-96,-13-2-128,12 2-64,2 14-33,15-15 129,15 0-32,2 0 96,12-15 64,2 0 64,-1 0 32,-15 0 0,16-15 32,-17 15-64,2 0-32,-16 0 0,0 0-32,0 0 0,0 15 32,0-15-64,0 16 0,0-2 32,0-14 0,0 31-32,0-16 0,0 0 32,15 15-32,0-15 32,0 15-32,0 1 64,15-1-32,0 0 64,16-15 64,-16 0-32,16-15 32,-1 0 0,-15-30 64,16-15-96,-16-15 64,0-16-96,0-30 0,0-15-64,-14-15 160,14 0-160,0 0-32,-15 30 32,0 16-96,0 14 64,0 31 128,1 45-64,-2 30-64,-14 30 96,16 31 96,-1 0-128,0 29 64,0 2-32,0-17-128,16 1 96,-16-15 32,15-31 32,0-30-32,0-15 97,-15-30 31,1-45-64,-1-1 0,0-29 0,0-1-32,0 1-32,-15-1-32,0 15-64,0 31 0,0 15 32,0 30 32,15 30 0,0 0-128,-15 30 96,15 1 0,16 0 32,-17 14 64,17-15-32,-1-14 0,0-1 32,-15 0 32,15-14-96,-14-1 0,14-15-96,-15 0-3972,0 1-1249,0-16-320,1 0-161,13-31-223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5017</Characters>
  <Application>Microsoft Office Word</Application>
  <DocSecurity>0</DocSecurity>
  <Lines>41</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2018-06-12T11:47:00Z</dcterms:created>
  <dcterms:modified xsi:type="dcterms:W3CDTF">2018-06-12T11:47:00Z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