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F72BCD" w:rsidP="00C321B5">
      <w:pPr>
        <w:jc w:val="center"/>
        <w:rPr>
          <w:rFonts w:ascii="Book Antiqua" w:hAnsi="Book Antiqua" w:cs="Arial"/>
          <w:sz w:val="16"/>
          <w:szCs w:val="16"/>
        </w:rPr>
      </w:pPr>
      <w:r>
        <w:rPr>
          <w:noProof/>
        </w:rPr>
        <w:drawing>
          <wp:inline distT="0" distB="0" distL="0" distR="0" wp14:anchorId="1B3528AC" wp14:editId="61660BB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35028E">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r w:rsidR="00886D47">
        <w:rPr>
          <w:rFonts w:ascii="Book Antiqua" w:hAnsi="Book Antiqua" w:cs="Arial"/>
          <w:caps/>
        </w:rPr>
        <w:t>HU/06204/2016</w:t>
      </w:r>
    </w:p>
    <w:p w:rsidR="0035028E" w:rsidRPr="00F5664C" w:rsidRDefault="0035028E" w:rsidP="00B626FA">
      <w:pPr>
        <w:tabs>
          <w:tab w:val="right" w:pos="9639"/>
        </w:tabs>
        <w:rPr>
          <w:rFonts w:ascii="Book Antiqua" w:hAnsi="Book Antiqua" w:cs="Arial"/>
        </w:rPr>
      </w:pPr>
      <w:r>
        <w:rPr>
          <w:rFonts w:ascii="Book Antiqua" w:hAnsi="Book Antiqua" w:cs="Arial"/>
          <w:caps/>
        </w:rPr>
        <w:tab/>
      </w:r>
      <w:bookmarkStart w:id="0" w:name="_GoBack"/>
      <w:r>
        <w:rPr>
          <w:rFonts w:ascii="Book Antiqua" w:hAnsi="Book Antiqua" w:cs="Arial"/>
          <w:caps/>
        </w:rPr>
        <w:t>hu/06205/2016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F5664C" w:rsidTr="00573290">
        <w:tc>
          <w:tcPr>
            <w:tcW w:w="509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5028E">
              <w:rPr>
                <w:rFonts w:ascii="Book Antiqua" w:hAnsi="Book Antiqua" w:cs="Arial"/>
                <w:b/>
              </w:rPr>
              <w:t>UT Field House</w:t>
            </w:r>
          </w:p>
        </w:tc>
        <w:tc>
          <w:tcPr>
            <w:tcW w:w="4910" w:type="dxa"/>
            <w:gridSpan w:val="2"/>
          </w:tcPr>
          <w:p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573290">
        <w:tc>
          <w:tcPr>
            <w:tcW w:w="509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5028E">
              <w:rPr>
                <w:rFonts w:ascii="Book Antiqua" w:hAnsi="Book Antiqua" w:cs="Arial"/>
                <w:b/>
              </w:rPr>
              <w:t>30</w:t>
            </w:r>
            <w:r w:rsidR="0035028E" w:rsidRPr="0035028E">
              <w:rPr>
                <w:rFonts w:ascii="Book Antiqua" w:hAnsi="Book Antiqua" w:cs="Arial"/>
                <w:b/>
                <w:vertAlign w:val="superscript"/>
              </w:rPr>
              <w:t>th</w:t>
            </w:r>
            <w:r w:rsidR="0035028E">
              <w:rPr>
                <w:rFonts w:ascii="Book Antiqua" w:hAnsi="Book Antiqua" w:cs="Arial"/>
                <w:b/>
              </w:rPr>
              <w:t xml:space="preserve"> May 2018</w:t>
            </w:r>
          </w:p>
        </w:tc>
        <w:tc>
          <w:tcPr>
            <w:tcW w:w="4910" w:type="dxa"/>
            <w:gridSpan w:val="2"/>
          </w:tcPr>
          <w:p w:rsidR="00D22636" w:rsidRPr="00F5664C" w:rsidRDefault="00573290" w:rsidP="004A1848">
            <w:pPr>
              <w:jc w:val="both"/>
              <w:rPr>
                <w:rFonts w:ascii="Book Antiqua" w:hAnsi="Book Antiqua" w:cs="Arial"/>
                <w:b/>
              </w:rPr>
            </w:pPr>
            <w:r>
              <w:rPr>
                <w:rFonts w:ascii="Book Antiqua" w:hAnsi="Book Antiqua" w:cs="Arial"/>
                <w:b/>
              </w:rPr>
              <w:t>On 13</w:t>
            </w:r>
            <w:r w:rsidRPr="00573290">
              <w:rPr>
                <w:rFonts w:ascii="Book Antiqua" w:hAnsi="Book Antiqua" w:cs="Arial"/>
                <w:b/>
                <w:vertAlign w:val="superscript"/>
              </w:rPr>
              <w:t>th</w:t>
            </w:r>
            <w:r>
              <w:rPr>
                <w:rFonts w:ascii="Book Antiqua" w:hAnsi="Book Antiqua" w:cs="Arial"/>
                <w:b/>
              </w:rPr>
              <w:t xml:space="preserve"> June 2018 </w:t>
            </w:r>
          </w:p>
        </w:tc>
      </w:tr>
      <w:tr w:rsidR="00D22636" w:rsidRPr="00F5664C" w:rsidTr="00573290">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13622D">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Default="00255071" w:rsidP="0035028E">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1A1E2C" w:rsidRPr="00F5664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35028E" w:rsidRPr="00F5664C" w:rsidRDefault="0035028E" w:rsidP="00625C24">
      <w:pPr>
        <w:rPr>
          <w:rFonts w:ascii="Book Antiqua" w:hAnsi="Book Antiqua" w:cs="Arial"/>
          <w:b/>
        </w:rPr>
      </w:pPr>
    </w:p>
    <w:p w:rsidR="0035028E" w:rsidRDefault="0035028E" w:rsidP="00742A8D">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6D1DFA" w:rsidRPr="0013622D" w:rsidRDefault="00704B61" w:rsidP="0013622D">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35028E" w:rsidRDefault="00A3343D" w:rsidP="0035028E">
      <w:pPr>
        <w:jc w:val="center"/>
        <w:rPr>
          <w:rFonts w:ascii="Book Antiqua" w:hAnsi="Book Antiqua" w:cs="Arial"/>
          <w:b/>
          <w:caps/>
        </w:rPr>
      </w:pPr>
      <w:r>
        <w:rPr>
          <w:rFonts w:ascii="Book Antiqua" w:hAnsi="Book Antiqua" w:cs="Arial"/>
          <w:b/>
          <w:caps/>
        </w:rPr>
        <w:t xml:space="preserve">mr </w:t>
      </w:r>
      <w:r w:rsidR="0035028E" w:rsidRPr="00886D47">
        <w:rPr>
          <w:rFonts w:ascii="Book Antiqua" w:hAnsi="Book Antiqua" w:cs="Arial"/>
          <w:b/>
          <w:caps/>
        </w:rPr>
        <w:t>Ranjan</w:t>
      </w:r>
      <w:r w:rsidR="0035028E">
        <w:rPr>
          <w:rFonts w:ascii="Book Antiqua" w:hAnsi="Book Antiqua" w:cs="Arial"/>
          <w:b/>
          <w:caps/>
        </w:rPr>
        <w:t xml:space="preserve"> </w:t>
      </w:r>
      <w:r w:rsidR="0035028E" w:rsidRPr="00886D47">
        <w:rPr>
          <w:rFonts w:ascii="Book Antiqua" w:hAnsi="Book Antiqua" w:cs="Arial"/>
          <w:b/>
          <w:caps/>
        </w:rPr>
        <w:t>Gurung</w:t>
      </w:r>
    </w:p>
    <w:p w:rsidR="0035028E" w:rsidRPr="00F5664C" w:rsidRDefault="00A3343D" w:rsidP="00A3343D">
      <w:pPr>
        <w:rPr>
          <w:rFonts w:ascii="Book Antiqua" w:hAnsi="Book Antiqua" w:cs="Arial"/>
          <w:b/>
        </w:rPr>
      </w:pPr>
      <w:r>
        <w:rPr>
          <w:rFonts w:ascii="Book Antiqua" w:hAnsi="Book Antiqua" w:cs="Arial"/>
          <w:b/>
        </w:rPr>
        <w:t xml:space="preserve">                                                          MR </w:t>
      </w:r>
      <w:r w:rsidR="0035028E" w:rsidRPr="0035028E">
        <w:rPr>
          <w:rFonts w:ascii="Book Antiqua" w:hAnsi="Book Antiqua" w:cs="Arial"/>
          <w:b/>
        </w:rPr>
        <w:t>RAJIV</w:t>
      </w:r>
      <w:r w:rsidR="0035028E">
        <w:rPr>
          <w:rFonts w:ascii="Book Antiqua" w:hAnsi="Book Antiqua" w:cs="Arial"/>
          <w:b/>
        </w:rPr>
        <w:t xml:space="preserve"> </w:t>
      </w:r>
      <w:r w:rsidR="0035028E" w:rsidRPr="0035028E">
        <w:rPr>
          <w:rFonts w:ascii="Book Antiqua" w:hAnsi="Book Antiqua" w:cs="Arial"/>
          <w:b/>
        </w:rPr>
        <w:t>GURUNG</w:t>
      </w:r>
    </w:p>
    <w:p w:rsidR="00DD5071" w:rsidRPr="00270C5D" w:rsidRDefault="0035028E" w:rsidP="00270C5D">
      <w:pPr>
        <w:jc w:val="center"/>
        <w:rPr>
          <w:rFonts w:ascii="Book Antiqua" w:hAnsi="Book Antiqua" w:cs="Arial"/>
          <w:b/>
          <w:caps/>
        </w:rPr>
      </w:pPr>
      <w:r w:rsidRPr="009F518E">
        <w:rPr>
          <w:rFonts w:ascii="Book Antiqua" w:hAnsi="Book Antiqua" w:cs="Arial"/>
          <w:b/>
          <w:caps/>
        </w:rPr>
        <w:t xml:space="preserve">(ANONYMITY </w:t>
      </w:r>
      <w:r>
        <w:rPr>
          <w:rFonts w:ascii="Book Antiqua" w:hAnsi="Book Antiqua" w:cs="Arial"/>
          <w:b/>
          <w:caps/>
        </w:rPr>
        <w:t>order</w:t>
      </w:r>
      <w:r w:rsidRPr="009F518E">
        <w:rPr>
          <w:rFonts w:ascii="Book Antiqua" w:hAnsi="Book Antiqua" w:cs="Arial"/>
          <w:b/>
          <w:caps/>
        </w:rPr>
        <w:t xml:space="preserve"> </w:t>
      </w:r>
      <w:r w:rsidR="004B401F">
        <w:rPr>
          <w:rFonts w:ascii="Book Antiqua" w:hAnsi="Book Antiqua" w:cs="Arial"/>
          <w:b/>
          <w:caps/>
        </w:rPr>
        <w:t>not made</w:t>
      </w:r>
      <w:r w:rsidRPr="009F518E">
        <w:rPr>
          <w:rFonts w:ascii="Book Antiqua" w:hAnsi="Book Antiqua" w:cs="Arial"/>
          <w:b/>
          <w:caps/>
        </w:rPr>
        <w:t>)</w:t>
      </w:r>
    </w:p>
    <w:p w:rsidR="00DD5071" w:rsidRPr="00F5664C" w:rsidRDefault="00DD5071" w:rsidP="0013622D">
      <w:pPr>
        <w:jc w:val="right"/>
        <w:rPr>
          <w:rFonts w:ascii="Book Antiqua" w:hAnsi="Book Antiqua" w:cs="Arial"/>
          <w:u w:val="single"/>
        </w:rPr>
      </w:pPr>
      <w:r w:rsidRPr="00F5664C">
        <w:rPr>
          <w:rFonts w:ascii="Book Antiqua" w:hAnsi="Book Antiqua" w:cs="Arial"/>
          <w:u w:val="single"/>
        </w:rPr>
        <w:t>Respondent</w:t>
      </w:r>
      <w:r w:rsidR="00DB6072">
        <w:rPr>
          <w:rFonts w:ascii="Book Antiqua" w:hAnsi="Book Antiqua" w:cs="Arial"/>
          <w:u w:val="single"/>
        </w:rPr>
        <w:t>s</w:t>
      </w: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5028E">
        <w:rPr>
          <w:rFonts w:ascii="Book Antiqua" w:hAnsi="Book Antiqua" w:cs="Arial"/>
        </w:rPr>
        <w:t xml:space="preserve">Ms A </w:t>
      </w:r>
      <w:r w:rsidR="000F4E55">
        <w:rPr>
          <w:rFonts w:ascii="Book Antiqua" w:hAnsi="Book Antiqua" w:cs="Arial"/>
        </w:rPr>
        <w:t>Everett, Senior</w:t>
      </w:r>
      <w:r w:rsidR="00DE5FD3">
        <w:rPr>
          <w:rFonts w:ascii="Book Antiqua" w:hAnsi="Book Antiqua" w:cs="Arial"/>
        </w:rPr>
        <w:t xml:space="preserve"> </w:t>
      </w:r>
      <w:r w:rsidR="0035028E">
        <w:rPr>
          <w:rFonts w:ascii="Book Antiqua" w:hAnsi="Book Antiqua" w:cs="Arial"/>
        </w:rPr>
        <w:t>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DB6072">
        <w:rPr>
          <w:rFonts w:ascii="Book Antiqua" w:hAnsi="Book Antiqua" w:cs="Arial"/>
        </w:rPr>
        <w:t>s</w:t>
      </w:r>
      <w:r w:rsidRPr="00F5664C">
        <w:rPr>
          <w:rFonts w:ascii="Book Antiqua" w:hAnsi="Book Antiqua" w:cs="Arial"/>
        </w:rPr>
        <w:t>:</w:t>
      </w:r>
      <w:r w:rsidRPr="00F5664C">
        <w:rPr>
          <w:rFonts w:ascii="Book Antiqua" w:hAnsi="Book Antiqua" w:cs="Arial"/>
        </w:rPr>
        <w:tab/>
      </w:r>
      <w:r w:rsidR="0035028E">
        <w:rPr>
          <w:rFonts w:ascii="Book Antiqua" w:hAnsi="Book Antiqua" w:cs="Arial"/>
        </w:rPr>
        <w:t>Mr E Wilford, Counsel instructed by Howe &amp; Co Solicitors</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B626FA" w:rsidRDefault="009F518E" w:rsidP="0013622D">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35028E" w:rsidP="00B52A42">
      <w:pPr>
        <w:numPr>
          <w:ilvl w:val="0"/>
          <w:numId w:val="3"/>
        </w:numPr>
        <w:spacing w:before="240"/>
        <w:jc w:val="both"/>
        <w:rPr>
          <w:rFonts w:ascii="Book Antiqua" w:hAnsi="Book Antiqua" w:cs="Arial"/>
        </w:rPr>
      </w:pPr>
      <w:r>
        <w:rPr>
          <w:rFonts w:ascii="Book Antiqua" w:hAnsi="Book Antiqua" w:cs="Arial"/>
        </w:rPr>
        <w:t>For convenience I</w:t>
      </w:r>
      <w:r w:rsidR="001D4397">
        <w:rPr>
          <w:rFonts w:ascii="Book Antiqua" w:hAnsi="Book Antiqua" w:cs="Arial"/>
        </w:rPr>
        <w:t xml:space="preserve"> shall employ the appellations “Appellant” and “</w:t>
      </w:r>
      <w:r w:rsidR="00D877E9">
        <w:rPr>
          <w:rFonts w:ascii="Book Antiqua" w:hAnsi="Book Antiqua" w:cs="Arial"/>
        </w:rPr>
        <w:t xml:space="preserve">Respondent” as at </w:t>
      </w:r>
      <w:r>
        <w:rPr>
          <w:rFonts w:ascii="Book Antiqua" w:hAnsi="Book Antiqua" w:cs="Arial"/>
        </w:rPr>
        <w:t xml:space="preserve">first instance. </w:t>
      </w:r>
    </w:p>
    <w:p w:rsidR="0035028E" w:rsidRDefault="0035028E" w:rsidP="00B52A42">
      <w:pPr>
        <w:numPr>
          <w:ilvl w:val="0"/>
          <w:numId w:val="3"/>
        </w:numPr>
        <w:spacing w:before="240"/>
        <w:jc w:val="both"/>
        <w:rPr>
          <w:rFonts w:ascii="Book Antiqua" w:hAnsi="Book Antiqua" w:cs="Arial"/>
        </w:rPr>
      </w:pPr>
      <w:r>
        <w:rPr>
          <w:rFonts w:ascii="Book Antiqua" w:hAnsi="Book Antiqua" w:cs="Arial"/>
        </w:rPr>
        <w:t xml:space="preserve">The Appellants are citizens of Nepal who applied for admission to the United Kingdom as the adult dependent relatives of </w:t>
      </w:r>
      <w:proofErr w:type="spellStart"/>
      <w:r>
        <w:rPr>
          <w:rFonts w:ascii="Book Antiqua" w:hAnsi="Book Antiqua" w:cs="Arial"/>
        </w:rPr>
        <w:t>Naryan</w:t>
      </w:r>
      <w:proofErr w:type="spellEnd"/>
      <w:r>
        <w:rPr>
          <w:rFonts w:ascii="Book Antiqua" w:hAnsi="Book Antiqua" w:cs="Arial"/>
        </w:rPr>
        <w:t xml:space="preserve"> Gurung a former Gurkha soldier</w:t>
      </w:r>
      <w:r w:rsidR="00DE5FD3">
        <w:rPr>
          <w:rFonts w:ascii="Book Antiqua" w:hAnsi="Book Antiqua" w:cs="Arial"/>
        </w:rPr>
        <w:t>,</w:t>
      </w:r>
      <w:r>
        <w:rPr>
          <w:rFonts w:ascii="Book Antiqua" w:hAnsi="Book Antiqua" w:cs="Arial"/>
        </w:rPr>
        <w:t xml:space="preserve"> under the Immigration Rules and under Article 8 ECHR.</w:t>
      </w:r>
    </w:p>
    <w:p w:rsidR="0035028E" w:rsidRDefault="0035028E" w:rsidP="00B52A42">
      <w:pPr>
        <w:numPr>
          <w:ilvl w:val="0"/>
          <w:numId w:val="3"/>
        </w:numPr>
        <w:spacing w:before="240"/>
        <w:jc w:val="both"/>
        <w:rPr>
          <w:rFonts w:ascii="Book Antiqua" w:hAnsi="Book Antiqua" w:cs="Arial"/>
        </w:rPr>
      </w:pPr>
      <w:r>
        <w:rPr>
          <w:rFonts w:ascii="Book Antiqua" w:hAnsi="Book Antiqua" w:cs="Arial"/>
        </w:rPr>
        <w:lastRenderedPageBreak/>
        <w:t>Their application was refused and the</w:t>
      </w:r>
      <w:r w:rsidR="003370B2">
        <w:rPr>
          <w:rFonts w:ascii="Book Antiqua" w:hAnsi="Book Antiqua" w:cs="Arial"/>
        </w:rPr>
        <w:t>ir subsequent</w:t>
      </w:r>
      <w:r>
        <w:rPr>
          <w:rFonts w:ascii="Book Antiqua" w:hAnsi="Book Antiqua" w:cs="Arial"/>
        </w:rPr>
        <w:t xml:space="preserve"> appeal to First-tier Tribunal Judge Hendry allowed on human rights grounds in a decision promulgated on 17</w:t>
      </w:r>
      <w:r w:rsidRPr="0035028E">
        <w:rPr>
          <w:rFonts w:ascii="Book Antiqua" w:hAnsi="Book Antiqua" w:cs="Arial"/>
          <w:vertAlign w:val="superscript"/>
        </w:rPr>
        <w:t>th</w:t>
      </w:r>
      <w:r>
        <w:rPr>
          <w:rFonts w:ascii="Book Antiqua" w:hAnsi="Book Antiqua" w:cs="Arial"/>
        </w:rPr>
        <w:t xml:space="preserve"> November 2017.</w:t>
      </w:r>
    </w:p>
    <w:p w:rsidR="0035028E" w:rsidRDefault="0035028E" w:rsidP="00B52A42">
      <w:pPr>
        <w:numPr>
          <w:ilvl w:val="0"/>
          <w:numId w:val="3"/>
        </w:numPr>
        <w:spacing w:before="240"/>
        <w:jc w:val="both"/>
        <w:rPr>
          <w:rFonts w:ascii="Book Antiqua" w:hAnsi="Book Antiqua" w:cs="Arial"/>
        </w:rPr>
      </w:pPr>
      <w:r>
        <w:rPr>
          <w:rFonts w:ascii="Book Antiqua" w:hAnsi="Book Antiqua" w:cs="Arial"/>
        </w:rPr>
        <w:t xml:space="preserve">The Secretary of State took </w:t>
      </w:r>
      <w:r w:rsidR="0069257B">
        <w:rPr>
          <w:rFonts w:ascii="Book Antiqua" w:hAnsi="Book Antiqua" w:cs="Arial"/>
        </w:rPr>
        <w:t>many</w:t>
      </w:r>
      <w:r>
        <w:rPr>
          <w:rFonts w:ascii="Book Antiqua" w:hAnsi="Book Antiqua" w:cs="Arial"/>
        </w:rPr>
        <w:t xml:space="preserve"> points against that decision in their grounds of application and permission to appeal was duly granted.  </w:t>
      </w:r>
      <w:r w:rsidR="0069257B">
        <w:rPr>
          <w:rFonts w:ascii="Book Antiqua" w:hAnsi="Book Antiqua" w:cs="Arial"/>
        </w:rPr>
        <w:t>However,</w:t>
      </w:r>
      <w:r>
        <w:rPr>
          <w:rFonts w:ascii="Book Antiqua" w:hAnsi="Book Antiqua" w:cs="Arial"/>
        </w:rPr>
        <w:t xml:space="preserve"> it is necessary to mention only on</w:t>
      </w:r>
      <w:r w:rsidR="003370B2">
        <w:rPr>
          <w:rFonts w:ascii="Book Antiqua" w:hAnsi="Book Antiqua" w:cs="Arial"/>
        </w:rPr>
        <w:t xml:space="preserve">e of the grounds as being sustainable </w:t>
      </w:r>
      <w:r>
        <w:rPr>
          <w:rFonts w:ascii="Book Antiqua" w:hAnsi="Book Antiqua" w:cs="Arial"/>
        </w:rPr>
        <w:t>as that was the (correct) positi</w:t>
      </w:r>
      <w:r w:rsidR="009F3147">
        <w:rPr>
          <w:rFonts w:ascii="Book Antiqua" w:hAnsi="Book Antiqua" w:cs="Arial"/>
        </w:rPr>
        <w:t xml:space="preserve">on </w:t>
      </w:r>
      <w:r w:rsidR="0069257B">
        <w:rPr>
          <w:rFonts w:ascii="Book Antiqua" w:hAnsi="Book Antiqua" w:cs="Arial"/>
        </w:rPr>
        <w:t>adopted</w:t>
      </w:r>
      <w:r w:rsidR="003370B2">
        <w:rPr>
          <w:rFonts w:ascii="Book Antiqua" w:hAnsi="Book Antiqua" w:cs="Arial"/>
        </w:rPr>
        <w:t xml:space="preserve"> </w:t>
      </w:r>
      <w:r>
        <w:rPr>
          <w:rFonts w:ascii="Book Antiqua" w:hAnsi="Book Antiqua" w:cs="Arial"/>
        </w:rPr>
        <w:t xml:space="preserve">by Ms Everett </w:t>
      </w:r>
      <w:r w:rsidR="0069257B">
        <w:rPr>
          <w:rFonts w:ascii="Book Antiqua" w:hAnsi="Book Antiqua" w:cs="Arial"/>
        </w:rPr>
        <w:t xml:space="preserve">for the Secretary of State </w:t>
      </w:r>
      <w:r>
        <w:rPr>
          <w:rFonts w:ascii="Book Antiqua" w:hAnsi="Book Antiqua" w:cs="Arial"/>
        </w:rPr>
        <w:t xml:space="preserve">in the hearing before me.  </w:t>
      </w:r>
    </w:p>
    <w:p w:rsidR="0035028E" w:rsidRDefault="00F72BCD" w:rsidP="00B52A42">
      <w:pPr>
        <w:numPr>
          <w:ilvl w:val="0"/>
          <w:numId w:val="3"/>
        </w:numPr>
        <w:spacing w:before="240"/>
        <w:jc w:val="both"/>
        <w:rPr>
          <w:rFonts w:ascii="Book Antiqua" w:hAnsi="Book Antiqua" w:cs="Arial"/>
        </w:rPr>
      </w:pPr>
      <w:r>
        <w:rPr>
          <w:rFonts w:ascii="Book Antiqua" w:hAnsi="Book Antiqua" w:cs="Arial"/>
        </w:rPr>
        <w:t>Ms Everett relied so</w:t>
      </w:r>
      <w:r w:rsidR="0069257B">
        <w:rPr>
          <w:rFonts w:ascii="Book Antiqua" w:hAnsi="Book Antiqua" w:cs="Arial"/>
        </w:rPr>
        <w:t>lely on Ground 4 of the grounds</w:t>
      </w:r>
      <w:r>
        <w:rPr>
          <w:rFonts w:ascii="Book Antiqua" w:hAnsi="Book Antiqua" w:cs="Arial"/>
        </w:rPr>
        <w:t xml:space="preserve"> namely that the Tribunal’s approach to Article 8(</w:t>
      </w:r>
      <w:r w:rsidR="0069257B">
        <w:rPr>
          <w:rFonts w:ascii="Book Antiqua" w:hAnsi="Book Antiqua" w:cs="Arial"/>
        </w:rPr>
        <w:t xml:space="preserve">1) was misconceived as </w:t>
      </w:r>
      <w:r w:rsidR="007A485B">
        <w:rPr>
          <w:rFonts w:ascii="Book Antiqua" w:hAnsi="Book Antiqua" w:cs="Arial"/>
        </w:rPr>
        <w:t>it accepted</w:t>
      </w:r>
      <w:r>
        <w:rPr>
          <w:rFonts w:ascii="Book Antiqua" w:hAnsi="Book Antiqua" w:cs="Arial"/>
        </w:rPr>
        <w:t xml:space="preserve"> that the simple presence of family life automatically engaged Article 8(1).  It was said the Tribunal had had no regard to the Appellants’ age, their maturity, their health or their ability to live their own lives.</w:t>
      </w:r>
    </w:p>
    <w:p w:rsidR="00F72BCD" w:rsidRDefault="00F72BCD" w:rsidP="00B52A42">
      <w:pPr>
        <w:numPr>
          <w:ilvl w:val="0"/>
          <w:numId w:val="3"/>
        </w:numPr>
        <w:spacing w:before="240"/>
        <w:jc w:val="both"/>
        <w:rPr>
          <w:rFonts w:ascii="Book Antiqua" w:hAnsi="Book Antiqua" w:cs="Arial"/>
        </w:rPr>
      </w:pPr>
      <w:r>
        <w:rPr>
          <w:rFonts w:ascii="Book Antiqua" w:hAnsi="Book Antiqua" w:cs="Arial"/>
        </w:rPr>
        <w:t>Before me Ms Everett relied on those grounds and said that the judge had taken a somewhat slapdash approach to the family life findings.  More evidence was required.  The judge was not entitled to find</w:t>
      </w:r>
      <w:r w:rsidR="00FE5ECE">
        <w:rPr>
          <w:rFonts w:ascii="Book Antiqua" w:hAnsi="Book Antiqua" w:cs="Arial"/>
        </w:rPr>
        <w:t xml:space="preserve"> that</w:t>
      </w:r>
      <w:r>
        <w:rPr>
          <w:rFonts w:ascii="Book Antiqua" w:hAnsi="Book Antiqua" w:cs="Arial"/>
        </w:rPr>
        <w:t xml:space="preserve"> there was family life between the Sponsor and the Appellants.  I was therefore asked to set the decision aside.</w:t>
      </w:r>
    </w:p>
    <w:p w:rsidR="00F72BCD" w:rsidRDefault="00F72BCD" w:rsidP="00B52A42">
      <w:pPr>
        <w:numPr>
          <w:ilvl w:val="0"/>
          <w:numId w:val="3"/>
        </w:numPr>
        <w:spacing w:before="240"/>
        <w:jc w:val="both"/>
        <w:rPr>
          <w:rFonts w:ascii="Book Antiqua" w:hAnsi="Book Antiqua" w:cs="Arial"/>
        </w:rPr>
      </w:pPr>
      <w:r>
        <w:rPr>
          <w:rFonts w:ascii="Book Antiqua" w:hAnsi="Book Antiqua" w:cs="Arial"/>
        </w:rPr>
        <w:t>For the Appellants Mr Wilford relied on</w:t>
      </w:r>
      <w:r w:rsidR="001507A0">
        <w:rPr>
          <w:rFonts w:ascii="Book Antiqua" w:hAnsi="Book Antiqua" w:cs="Arial"/>
        </w:rPr>
        <w:t xml:space="preserve"> </w:t>
      </w:r>
      <w:r>
        <w:rPr>
          <w:rFonts w:ascii="Book Antiqua" w:hAnsi="Book Antiqua" w:cs="Arial"/>
        </w:rPr>
        <w:t>his</w:t>
      </w:r>
      <w:r w:rsidR="001507A0">
        <w:rPr>
          <w:rFonts w:ascii="Book Antiqua" w:hAnsi="Book Antiqua" w:cs="Arial"/>
        </w:rPr>
        <w:t xml:space="preserve"> speaking note which incorporated many of the </w:t>
      </w:r>
      <w:r w:rsidR="0069257B">
        <w:rPr>
          <w:rFonts w:ascii="Book Antiqua" w:hAnsi="Book Antiqua" w:cs="Arial"/>
        </w:rPr>
        <w:t>matters highlighted in the grounds</w:t>
      </w:r>
      <w:r w:rsidR="001507A0">
        <w:rPr>
          <w:rFonts w:ascii="Book Antiqua" w:hAnsi="Book Antiqua" w:cs="Arial"/>
        </w:rPr>
        <w:t xml:space="preserve"> of application</w:t>
      </w:r>
      <w:r w:rsidR="00F8705D">
        <w:rPr>
          <w:rFonts w:ascii="Book Antiqua" w:hAnsi="Book Antiqua" w:cs="Arial"/>
        </w:rPr>
        <w:t xml:space="preserve"> </w:t>
      </w:r>
      <w:r w:rsidR="007A485B">
        <w:rPr>
          <w:rFonts w:ascii="Book Antiqua" w:hAnsi="Book Antiqua" w:cs="Arial"/>
        </w:rPr>
        <w:t>but which</w:t>
      </w:r>
      <w:r w:rsidR="001507A0">
        <w:rPr>
          <w:rFonts w:ascii="Book Antiqua" w:hAnsi="Book Antiqua" w:cs="Arial"/>
        </w:rPr>
        <w:t xml:space="preserve"> are no longer before me.</w:t>
      </w:r>
    </w:p>
    <w:p w:rsidR="001507A0" w:rsidRDefault="001507A0" w:rsidP="00B52A42">
      <w:pPr>
        <w:numPr>
          <w:ilvl w:val="0"/>
          <w:numId w:val="3"/>
        </w:numPr>
        <w:spacing w:before="240"/>
        <w:jc w:val="both"/>
        <w:rPr>
          <w:rFonts w:ascii="Book Antiqua" w:hAnsi="Book Antiqua" w:cs="Arial"/>
        </w:rPr>
      </w:pPr>
      <w:r>
        <w:rPr>
          <w:rFonts w:ascii="Book Antiqua" w:hAnsi="Book Antiqua" w:cs="Arial"/>
        </w:rPr>
        <w:t>Per paragraph 16 of the</w:t>
      </w:r>
      <w:r w:rsidR="007825AE">
        <w:rPr>
          <w:rFonts w:ascii="Book Antiqua" w:hAnsi="Book Antiqua" w:cs="Arial"/>
        </w:rPr>
        <w:t xml:space="preserve"> speaking </w:t>
      </w:r>
      <w:r>
        <w:rPr>
          <w:rFonts w:ascii="Book Antiqua" w:hAnsi="Book Antiqua" w:cs="Arial"/>
        </w:rPr>
        <w:t>note he said it was e</w:t>
      </w:r>
      <w:r w:rsidR="00D3003C">
        <w:rPr>
          <w:rFonts w:ascii="Book Antiqua" w:hAnsi="Book Antiqua" w:cs="Arial"/>
        </w:rPr>
        <w:t xml:space="preserve">vident </w:t>
      </w:r>
      <w:r w:rsidR="00406304">
        <w:rPr>
          <w:rFonts w:ascii="Book Antiqua" w:hAnsi="Book Antiqua" w:cs="Arial"/>
        </w:rPr>
        <w:t>from</w:t>
      </w:r>
      <w:r>
        <w:rPr>
          <w:rFonts w:ascii="Book Antiqua" w:hAnsi="Book Antiqua" w:cs="Arial"/>
        </w:rPr>
        <w:t xml:space="preserve"> the decision </w:t>
      </w:r>
      <w:r w:rsidR="00406304">
        <w:rPr>
          <w:rFonts w:ascii="Book Antiqua" w:hAnsi="Book Antiqua" w:cs="Arial"/>
        </w:rPr>
        <w:t>that Ju</w:t>
      </w:r>
      <w:r>
        <w:rPr>
          <w:rFonts w:ascii="Book Antiqua" w:hAnsi="Book Antiqua" w:cs="Arial"/>
        </w:rPr>
        <w:t>dge Hen</w:t>
      </w:r>
      <w:r w:rsidR="00406304">
        <w:rPr>
          <w:rFonts w:ascii="Book Antiqua" w:hAnsi="Book Antiqua" w:cs="Arial"/>
        </w:rPr>
        <w:t>d</w:t>
      </w:r>
      <w:r>
        <w:rPr>
          <w:rFonts w:ascii="Book Antiqua" w:hAnsi="Book Antiqua" w:cs="Arial"/>
        </w:rPr>
        <w:t xml:space="preserve">ry </w:t>
      </w:r>
      <w:r w:rsidR="004E19C5">
        <w:rPr>
          <w:rFonts w:ascii="Book Antiqua" w:hAnsi="Book Antiqua" w:cs="Arial"/>
        </w:rPr>
        <w:t xml:space="preserve">clearly </w:t>
      </w:r>
      <w:r>
        <w:rPr>
          <w:rFonts w:ascii="Book Antiqua" w:hAnsi="Book Antiqua" w:cs="Arial"/>
        </w:rPr>
        <w:t>found that something more than “love and affection</w:t>
      </w:r>
      <w:r w:rsidR="00406304">
        <w:rPr>
          <w:rFonts w:ascii="Book Antiqua" w:hAnsi="Book Antiqua" w:cs="Arial"/>
        </w:rPr>
        <w:t>”</w:t>
      </w:r>
      <w:r>
        <w:rPr>
          <w:rFonts w:ascii="Book Antiqua" w:hAnsi="Book Antiqua" w:cs="Arial"/>
        </w:rPr>
        <w:t xml:space="preserve"> existed between the Appellant</w:t>
      </w:r>
      <w:r w:rsidR="00406304">
        <w:rPr>
          <w:rFonts w:ascii="Book Antiqua" w:hAnsi="Book Antiqua" w:cs="Arial"/>
        </w:rPr>
        <w:t>s</w:t>
      </w:r>
      <w:r>
        <w:rPr>
          <w:rFonts w:ascii="Book Antiqua" w:hAnsi="Book Antiqua" w:cs="Arial"/>
        </w:rPr>
        <w:t xml:space="preserve"> and the Sponsor and there existed “real” </w:t>
      </w:r>
      <w:r w:rsidR="009F43BC">
        <w:rPr>
          <w:rFonts w:ascii="Book Antiqua" w:hAnsi="Book Antiqua" w:cs="Arial"/>
        </w:rPr>
        <w:t>“</w:t>
      </w:r>
      <w:r>
        <w:rPr>
          <w:rFonts w:ascii="Book Antiqua" w:hAnsi="Book Antiqua" w:cs="Arial"/>
        </w:rPr>
        <w:t>effective</w:t>
      </w:r>
      <w:r w:rsidR="009F43BC">
        <w:rPr>
          <w:rFonts w:ascii="Book Antiqua" w:hAnsi="Book Antiqua" w:cs="Arial"/>
        </w:rPr>
        <w:t>”</w:t>
      </w:r>
      <w:r>
        <w:rPr>
          <w:rFonts w:ascii="Book Antiqua" w:hAnsi="Book Antiqua" w:cs="Arial"/>
        </w:rPr>
        <w:t xml:space="preserve"> or “committed support”</w:t>
      </w:r>
      <w:r w:rsidR="009F43BC">
        <w:rPr>
          <w:rFonts w:ascii="Book Antiqua" w:hAnsi="Book Antiqua" w:cs="Arial"/>
        </w:rPr>
        <w:t xml:space="preserve"> in line with the</w:t>
      </w:r>
      <w:r>
        <w:rPr>
          <w:rFonts w:ascii="Book Antiqua" w:hAnsi="Book Antiqua" w:cs="Arial"/>
        </w:rPr>
        <w:t xml:space="preserve"> test affirmed in </w:t>
      </w:r>
      <w:r w:rsidRPr="009F43BC">
        <w:rPr>
          <w:rFonts w:ascii="Book Antiqua" w:hAnsi="Book Antiqua" w:cs="Arial"/>
          <w:b/>
          <w:u w:val="single"/>
        </w:rPr>
        <w:t>Rai v ECO</w:t>
      </w:r>
      <w:r w:rsidRPr="009F43BC">
        <w:rPr>
          <w:rFonts w:ascii="Book Antiqua" w:hAnsi="Book Antiqua" w:cs="Arial"/>
          <w:b/>
        </w:rPr>
        <w:t xml:space="preserve"> New Delhi [2017] EWCA </w:t>
      </w:r>
      <w:proofErr w:type="spellStart"/>
      <w:r w:rsidRPr="009F43BC">
        <w:rPr>
          <w:rFonts w:ascii="Book Antiqua" w:hAnsi="Book Antiqua" w:cs="Arial"/>
          <w:b/>
        </w:rPr>
        <w:t>Civ</w:t>
      </w:r>
      <w:proofErr w:type="spellEnd"/>
      <w:r w:rsidRPr="009F43BC">
        <w:rPr>
          <w:rFonts w:ascii="Book Antiqua" w:hAnsi="Book Antiqua" w:cs="Arial"/>
          <w:b/>
        </w:rPr>
        <w:t xml:space="preserve"> 320</w:t>
      </w:r>
      <w:r>
        <w:rPr>
          <w:rFonts w:ascii="Book Antiqua" w:hAnsi="Book Antiqua" w:cs="Arial"/>
        </w:rPr>
        <w:t xml:space="preserve"> per</w:t>
      </w:r>
      <w:r w:rsidR="00995B53">
        <w:rPr>
          <w:rFonts w:ascii="Book Antiqua" w:hAnsi="Book Antiqua" w:cs="Arial"/>
        </w:rPr>
        <w:t xml:space="preserve"> Lindblom</w:t>
      </w:r>
      <w:r>
        <w:rPr>
          <w:rFonts w:ascii="Book Antiqua" w:hAnsi="Book Antiqua" w:cs="Arial"/>
        </w:rPr>
        <w:t xml:space="preserve"> LJ at (35).  Mr Wilford pointed out (paragraph 7 of the speaking note) that the Respondent did not dispute the Sponsor’s credibility.  It was his evidence that the Appellants</w:t>
      </w:r>
      <w:r w:rsidR="00646648">
        <w:rPr>
          <w:rFonts w:ascii="Book Antiqua" w:hAnsi="Book Antiqua" w:cs="Arial"/>
        </w:rPr>
        <w:t xml:space="preserve">, his sons, were unmarried, emotionally dependent and there were telephone communications and financial dependency.  They depended on the Sponsor for </w:t>
      </w:r>
      <w:r w:rsidR="00313337">
        <w:rPr>
          <w:rFonts w:ascii="Book Antiqua" w:hAnsi="Book Antiqua" w:cs="Arial"/>
        </w:rPr>
        <w:t>the</w:t>
      </w:r>
      <w:r w:rsidR="00734BD8">
        <w:rPr>
          <w:rFonts w:ascii="Book Antiqua" w:hAnsi="Book Antiqua" w:cs="Arial"/>
        </w:rPr>
        <w:t>ir</w:t>
      </w:r>
      <w:r w:rsidR="00313337">
        <w:rPr>
          <w:rFonts w:ascii="Book Antiqua" w:hAnsi="Book Antiqua" w:cs="Arial"/>
        </w:rPr>
        <w:t xml:space="preserve"> support for the roof over</w:t>
      </w:r>
      <w:r w:rsidR="00646648">
        <w:rPr>
          <w:rFonts w:ascii="Book Antiqua" w:hAnsi="Book Antiqua" w:cs="Arial"/>
        </w:rPr>
        <w:t xml:space="preserve"> their heads.  Any attempt to</w:t>
      </w:r>
      <w:r w:rsidR="00497BC3">
        <w:rPr>
          <w:rFonts w:ascii="Book Antiqua" w:hAnsi="Book Antiqua" w:cs="Arial"/>
        </w:rPr>
        <w:t xml:space="preserve"> allege</w:t>
      </w:r>
      <w:r w:rsidR="00646648">
        <w:rPr>
          <w:rFonts w:ascii="Book Antiqua" w:hAnsi="Book Antiqua" w:cs="Arial"/>
        </w:rPr>
        <w:t xml:space="preserve"> the Sponsor and or his sons </w:t>
      </w:r>
      <w:r w:rsidR="00497BC3">
        <w:rPr>
          <w:rFonts w:ascii="Book Antiqua" w:hAnsi="Book Antiqua" w:cs="Arial"/>
        </w:rPr>
        <w:t>were dishone</w:t>
      </w:r>
      <w:r w:rsidR="0069257B">
        <w:rPr>
          <w:rFonts w:ascii="Book Antiqua" w:hAnsi="Book Antiqua" w:cs="Arial"/>
        </w:rPr>
        <w:t>st was</w:t>
      </w:r>
      <w:r w:rsidR="00497BC3">
        <w:rPr>
          <w:rFonts w:ascii="Book Antiqua" w:hAnsi="Book Antiqua" w:cs="Arial"/>
        </w:rPr>
        <w:t xml:space="preserve"> consequently </w:t>
      </w:r>
      <w:r w:rsidR="00646648">
        <w:rPr>
          <w:rFonts w:ascii="Book Antiqua" w:hAnsi="Book Antiqua" w:cs="Arial"/>
        </w:rPr>
        <w:t>unsustainable.  It was submitted</w:t>
      </w:r>
      <w:r w:rsidR="00D54C53">
        <w:rPr>
          <w:rFonts w:ascii="Book Antiqua" w:hAnsi="Book Antiqua" w:cs="Arial"/>
        </w:rPr>
        <w:t xml:space="preserve"> that</w:t>
      </w:r>
      <w:r w:rsidR="00646648">
        <w:rPr>
          <w:rFonts w:ascii="Book Antiqua" w:hAnsi="Book Antiqua" w:cs="Arial"/>
        </w:rPr>
        <w:t xml:space="preserve"> ther</w:t>
      </w:r>
      <w:r w:rsidR="00497BC3">
        <w:rPr>
          <w:rFonts w:ascii="Book Antiqua" w:hAnsi="Book Antiqua" w:cs="Arial"/>
        </w:rPr>
        <w:t>e was no error by the judge who had</w:t>
      </w:r>
      <w:r w:rsidR="00646648">
        <w:rPr>
          <w:rFonts w:ascii="Book Antiqua" w:hAnsi="Book Antiqua" w:cs="Arial"/>
        </w:rPr>
        <w:t xml:space="preserve"> given full and cogent findings and the decision should stand.</w:t>
      </w:r>
    </w:p>
    <w:p w:rsidR="00646648" w:rsidRPr="00A50806" w:rsidRDefault="00646648" w:rsidP="00646648">
      <w:pPr>
        <w:numPr>
          <w:ilvl w:val="0"/>
          <w:numId w:val="3"/>
        </w:numPr>
        <w:spacing w:before="240"/>
        <w:jc w:val="both"/>
        <w:rPr>
          <w:rFonts w:ascii="Book Antiqua" w:hAnsi="Book Antiqua" w:cs="Arial"/>
        </w:rPr>
      </w:pPr>
      <w:r>
        <w:rPr>
          <w:rFonts w:ascii="Book Antiqua" w:hAnsi="Book Antiqua" w:cs="Arial"/>
        </w:rPr>
        <w:t>I reserve</w:t>
      </w:r>
      <w:r w:rsidR="0069257B">
        <w:rPr>
          <w:rFonts w:ascii="Book Antiqua" w:hAnsi="Book Antiqua" w:cs="Arial"/>
        </w:rPr>
        <w:t>d</w:t>
      </w:r>
      <w:r>
        <w:rPr>
          <w:rFonts w:ascii="Book Antiqua" w:hAnsi="Book Antiqua" w:cs="Arial"/>
        </w:rPr>
        <w:t xml:space="preserve"> my decision.</w:t>
      </w:r>
    </w:p>
    <w:p w:rsidR="00646648" w:rsidRPr="00646648" w:rsidRDefault="00646648" w:rsidP="00646648">
      <w:pPr>
        <w:spacing w:before="240"/>
        <w:jc w:val="both"/>
        <w:rPr>
          <w:rFonts w:ascii="Book Antiqua" w:hAnsi="Book Antiqua" w:cs="Arial"/>
          <w:b/>
          <w:u w:val="single"/>
        </w:rPr>
      </w:pPr>
      <w:r w:rsidRPr="00646648">
        <w:rPr>
          <w:rFonts w:ascii="Book Antiqua" w:hAnsi="Book Antiqua" w:cs="Arial"/>
          <w:b/>
          <w:u w:val="single"/>
        </w:rPr>
        <w:t>Conclusions</w:t>
      </w:r>
    </w:p>
    <w:p w:rsidR="00646648" w:rsidRDefault="00646648" w:rsidP="00B52A42">
      <w:pPr>
        <w:numPr>
          <w:ilvl w:val="0"/>
          <w:numId w:val="3"/>
        </w:numPr>
        <w:spacing w:before="240"/>
        <w:jc w:val="both"/>
        <w:rPr>
          <w:rFonts w:ascii="Book Antiqua" w:hAnsi="Book Antiqua" w:cs="Arial"/>
        </w:rPr>
      </w:pPr>
      <w:r>
        <w:rPr>
          <w:rFonts w:ascii="Book Antiqua" w:hAnsi="Book Antiqua" w:cs="Arial"/>
        </w:rPr>
        <w:t>The judge made a number of findings in relation to family life.  She found in paragraph 85 that the Appellant and the Sponsor were in regular contact.  She also found that the Sponsor made regular transfers of money to the Appellants.  She accepted that there were both emotional and financial ties which had not ceased despite the</w:t>
      </w:r>
      <w:r w:rsidR="00B61578">
        <w:rPr>
          <w:rFonts w:ascii="Book Antiqua" w:hAnsi="Book Antiqua" w:cs="Arial"/>
        </w:rPr>
        <w:t>ir</w:t>
      </w:r>
      <w:r>
        <w:rPr>
          <w:rFonts w:ascii="Book Antiqua" w:hAnsi="Book Antiqua" w:cs="Arial"/>
        </w:rPr>
        <w:t xml:space="preserve"> parents</w:t>
      </w:r>
      <w:r w:rsidR="0000647E">
        <w:rPr>
          <w:rFonts w:ascii="Book Antiqua" w:hAnsi="Book Antiqua" w:cs="Arial"/>
        </w:rPr>
        <w:t>’</w:t>
      </w:r>
      <w:r>
        <w:rPr>
          <w:rFonts w:ascii="Book Antiqua" w:hAnsi="Book Antiqua" w:cs="Arial"/>
        </w:rPr>
        <w:t xml:space="preserve"> absence from Nepal in the two years before the application.  She accepted (paragraph 87) that it is usual in Nepalese culture for families to live together </w:t>
      </w:r>
      <w:r w:rsidR="00536239">
        <w:rPr>
          <w:rFonts w:ascii="Book Antiqua" w:hAnsi="Book Antiqua" w:cs="Arial"/>
        </w:rPr>
        <w:t xml:space="preserve">after </w:t>
      </w:r>
      <w:r>
        <w:rPr>
          <w:rFonts w:ascii="Book Antiqua" w:hAnsi="Book Antiqua" w:cs="Arial"/>
        </w:rPr>
        <w:t>children reached the age of 18 and</w:t>
      </w:r>
      <w:r w:rsidR="00105E3E">
        <w:rPr>
          <w:rFonts w:ascii="Book Antiqua" w:hAnsi="Book Antiqua" w:cs="Arial"/>
        </w:rPr>
        <w:t xml:space="preserve"> there would usually be some </w:t>
      </w:r>
      <w:r>
        <w:rPr>
          <w:rFonts w:ascii="Book Antiqua" w:hAnsi="Book Antiqua" w:cs="Arial"/>
        </w:rPr>
        <w:t xml:space="preserve">level of interdependence </w:t>
      </w:r>
      <w:r>
        <w:rPr>
          <w:rFonts w:ascii="Book Antiqua" w:hAnsi="Book Antiqua" w:cs="Arial"/>
        </w:rPr>
        <w:lastRenderedPageBreak/>
        <w:t>between the parents and adult children in terms of mutual support and caring.  For full reasons given she found that there was family life between the Sponsor, his wife and the Appellant such as to engage Article 8(1) noting that this ap</w:t>
      </w:r>
      <w:r w:rsidR="00DE5FD3">
        <w:rPr>
          <w:rFonts w:ascii="Book Antiqua" w:hAnsi="Book Antiqua" w:cs="Arial"/>
        </w:rPr>
        <w:t>peared to be conceded</w:t>
      </w:r>
      <w:r>
        <w:rPr>
          <w:rFonts w:ascii="Book Antiqua" w:hAnsi="Book Antiqua" w:cs="Arial"/>
        </w:rPr>
        <w:t xml:space="preserve"> by the ECO and the ECM</w:t>
      </w:r>
      <w:r w:rsidR="00DE5FD3">
        <w:rPr>
          <w:rFonts w:ascii="Book Antiqua" w:hAnsi="Book Antiqua" w:cs="Arial"/>
        </w:rPr>
        <w:t xml:space="preserve"> (paragraph 88)</w:t>
      </w:r>
      <w:r>
        <w:rPr>
          <w:rFonts w:ascii="Book Antiqua" w:hAnsi="Book Antiqua" w:cs="Arial"/>
        </w:rPr>
        <w:t xml:space="preserve">.  She went on to refer to well-known case law including </w:t>
      </w:r>
      <w:proofErr w:type="spellStart"/>
      <w:r w:rsidRPr="00CC2839">
        <w:rPr>
          <w:rFonts w:ascii="Book Antiqua" w:hAnsi="Book Antiqua" w:cs="Arial"/>
          <w:b/>
          <w:u w:val="single"/>
        </w:rPr>
        <w:t>Ghising</w:t>
      </w:r>
      <w:proofErr w:type="spellEnd"/>
      <w:r w:rsidRPr="00CC2839">
        <w:rPr>
          <w:rFonts w:ascii="Book Antiqua" w:hAnsi="Book Antiqua" w:cs="Arial"/>
          <w:b/>
          <w:u w:val="single"/>
        </w:rPr>
        <w:t xml:space="preserve"> and Others</w:t>
      </w:r>
      <w:r w:rsidRPr="00CC2839">
        <w:rPr>
          <w:rFonts w:ascii="Book Antiqua" w:hAnsi="Book Antiqua" w:cs="Arial"/>
          <w:b/>
        </w:rPr>
        <w:t xml:space="preserve"> [2013] UKUT 00567 (IAC)</w:t>
      </w:r>
      <w:r>
        <w:rPr>
          <w:rFonts w:ascii="Book Antiqua" w:hAnsi="Book Antiqua" w:cs="Arial"/>
        </w:rPr>
        <w:t xml:space="preserve"> which dea</w:t>
      </w:r>
      <w:r w:rsidR="00DD1252">
        <w:rPr>
          <w:rFonts w:ascii="Book Antiqua" w:hAnsi="Book Antiqua" w:cs="Arial"/>
        </w:rPr>
        <w:t xml:space="preserve">lt </w:t>
      </w:r>
      <w:r>
        <w:rPr>
          <w:rFonts w:ascii="Book Antiqua" w:hAnsi="Book Antiqua" w:cs="Arial"/>
        </w:rPr>
        <w:t xml:space="preserve">specifically with adult dependency of Gurkha soldiers noting that each case should be analysed on its own facts to decide </w:t>
      </w:r>
      <w:r w:rsidR="0069257B">
        <w:rPr>
          <w:rFonts w:ascii="Book Antiqua" w:hAnsi="Book Antiqua" w:cs="Arial"/>
        </w:rPr>
        <w:t>if</w:t>
      </w:r>
      <w:r>
        <w:rPr>
          <w:rFonts w:ascii="Book Antiqua" w:hAnsi="Book Antiqua" w:cs="Arial"/>
        </w:rPr>
        <w:t xml:space="preserve"> family life existed within the meaning of Article 8.</w:t>
      </w:r>
    </w:p>
    <w:p w:rsidR="00646648" w:rsidRDefault="00646648" w:rsidP="00B52A42">
      <w:pPr>
        <w:numPr>
          <w:ilvl w:val="0"/>
          <w:numId w:val="3"/>
        </w:numPr>
        <w:spacing w:before="240"/>
        <w:jc w:val="both"/>
        <w:rPr>
          <w:rFonts w:ascii="Book Antiqua" w:hAnsi="Book Antiqua" w:cs="Arial"/>
        </w:rPr>
      </w:pPr>
      <w:r>
        <w:rPr>
          <w:rFonts w:ascii="Book Antiqua" w:hAnsi="Book Antiqua" w:cs="Arial"/>
        </w:rPr>
        <w:t xml:space="preserve">The judge noted that the facts in the appeal were very straightforward.  The Sponsor and his wife had lived with their children until 2013 when they had applied for and been granted leave </w:t>
      </w:r>
      <w:r w:rsidR="00BD1A13">
        <w:rPr>
          <w:rFonts w:ascii="Book Antiqua" w:hAnsi="Book Antiqua" w:cs="Arial"/>
        </w:rPr>
        <w:t>to enter and settle</w:t>
      </w:r>
      <w:r>
        <w:rPr>
          <w:rFonts w:ascii="Book Antiqua" w:hAnsi="Book Antiqua" w:cs="Arial"/>
        </w:rPr>
        <w:t xml:space="preserve"> in the UK under a policy which had previously excluded them.  There was clearly family life at that time.  The Sponsor was clear that he would have applied to enter and settle</w:t>
      </w:r>
      <w:r w:rsidR="002247F6">
        <w:rPr>
          <w:rFonts w:ascii="Book Antiqua" w:hAnsi="Book Antiqua" w:cs="Arial"/>
        </w:rPr>
        <w:t xml:space="preserve"> in the UK earlier</w:t>
      </w:r>
      <w:r>
        <w:rPr>
          <w:rFonts w:ascii="Book Antiqua" w:hAnsi="Book Antiqua" w:cs="Arial"/>
        </w:rPr>
        <w:t xml:space="preserve"> had that opportunity been available to him and that his sons wou</w:t>
      </w:r>
      <w:r w:rsidR="00A805F6">
        <w:rPr>
          <w:rFonts w:ascii="Book Antiqua" w:hAnsi="Book Antiqua" w:cs="Arial"/>
        </w:rPr>
        <w:t>ld have been entitled to enter as minor dependants had that been the case (paragraph 99).</w:t>
      </w:r>
    </w:p>
    <w:p w:rsidR="00A805F6" w:rsidRDefault="00DE5FD3" w:rsidP="00B52A42">
      <w:pPr>
        <w:numPr>
          <w:ilvl w:val="0"/>
          <w:numId w:val="3"/>
        </w:numPr>
        <w:spacing w:before="240"/>
        <w:jc w:val="both"/>
        <w:rPr>
          <w:rFonts w:ascii="Book Antiqua" w:hAnsi="Book Antiqua" w:cs="Arial"/>
        </w:rPr>
      </w:pPr>
      <w:r>
        <w:rPr>
          <w:rFonts w:ascii="Book Antiqua" w:hAnsi="Book Antiqua" w:cs="Arial"/>
        </w:rPr>
        <w:t xml:space="preserve">The judge </w:t>
      </w:r>
      <w:r w:rsidR="00106FD4">
        <w:rPr>
          <w:rFonts w:ascii="Book Antiqua" w:hAnsi="Book Antiqua" w:cs="Arial"/>
        </w:rPr>
        <w:t>found (</w:t>
      </w:r>
      <w:r w:rsidR="00A805F6">
        <w:rPr>
          <w:rFonts w:ascii="Book Antiqua" w:hAnsi="Book Antiqua" w:cs="Arial"/>
        </w:rPr>
        <w:t xml:space="preserve">paragraph 106) that if the Sponsor had been able to apply </w:t>
      </w:r>
      <w:r w:rsidR="000F4E55">
        <w:rPr>
          <w:rFonts w:ascii="Book Antiqua" w:hAnsi="Book Antiqua" w:cs="Arial"/>
        </w:rPr>
        <w:t>earlier he</w:t>
      </w:r>
      <w:r w:rsidR="00A805F6">
        <w:rPr>
          <w:rFonts w:ascii="Book Antiqua" w:hAnsi="Book Antiqua" w:cs="Arial"/>
        </w:rPr>
        <w:t xml:space="preserve"> would have done so at a time when the Ap</w:t>
      </w:r>
      <w:r w:rsidR="000E0620">
        <w:rPr>
          <w:rFonts w:ascii="Book Antiqua" w:hAnsi="Book Antiqua" w:cs="Arial"/>
        </w:rPr>
        <w:t>pellants would have been depende</w:t>
      </w:r>
      <w:r w:rsidR="00A805F6">
        <w:rPr>
          <w:rFonts w:ascii="Book Antiqua" w:hAnsi="Book Antiqua" w:cs="Arial"/>
        </w:rPr>
        <w:t>nt children.  She noted</w:t>
      </w:r>
      <w:r w:rsidR="00D034AB">
        <w:rPr>
          <w:rFonts w:ascii="Book Antiqua" w:hAnsi="Book Antiqua" w:cs="Arial"/>
        </w:rPr>
        <w:t xml:space="preserve"> that</w:t>
      </w:r>
      <w:r w:rsidR="00A805F6">
        <w:rPr>
          <w:rFonts w:ascii="Book Antiqua" w:hAnsi="Book Antiqua" w:cs="Arial"/>
        </w:rPr>
        <w:t xml:space="preserve"> the Appellants had only lived apart from the Sponsor for more than two years because </w:t>
      </w:r>
      <w:r w:rsidR="00D034AB">
        <w:rPr>
          <w:rFonts w:ascii="Book Antiqua" w:hAnsi="Book Antiqua" w:cs="Arial"/>
        </w:rPr>
        <w:t>there had</w:t>
      </w:r>
      <w:r w:rsidR="00A805F6">
        <w:rPr>
          <w:rFonts w:ascii="Book Antiqua" w:hAnsi="Book Antiqua" w:cs="Arial"/>
        </w:rPr>
        <w:t xml:space="preserve"> be</w:t>
      </w:r>
      <w:r w:rsidR="00D034AB">
        <w:rPr>
          <w:rFonts w:ascii="Book Antiqua" w:hAnsi="Book Antiqua" w:cs="Arial"/>
        </w:rPr>
        <w:t xml:space="preserve">en no provision in </w:t>
      </w:r>
      <w:r w:rsidR="00A805F6">
        <w:rPr>
          <w:rFonts w:ascii="Book Antiqua" w:hAnsi="Book Antiqua" w:cs="Arial"/>
        </w:rPr>
        <w:t xml:space="preserve">place to allow entry to </w:t>
      </w:r>
      <w:r w:rsidR="0021654E">
        <w:rPr>
          <w:rFonts w:ascii="Book Antiqua" w:hAnsi="Book Antiqua" w:cs="Arial"/>
        </w:rPr>
        <w:t xml:space="preserve">the </w:t>
      </w:r>
      <w:r w:rsidR="00A805F6">
        <w:rPr>
          <w:rFonts w:ascii="Book Antiqua" w:hAnsi="Book Antiqua" w:cs="Arial"/>
        </w:rPr>
        <w:t>adult children of Gurkhas at the time the Sponsor and his wife</w:t>
      </w:r>
      <w:r w:rsidR="0021654E">
        <w:rPr>
          <w:rFonts w:ascii="Book Antiqua" w:hAnsi="Book Antiqua" w:cs="Arial"/>
        </w:rPr>
        <w:t xml:space="preserve"> had been</w:t>
      </w:r>
      <w:r w:rsidR="00A805F6">
        <w:rPr>
          <w:rFonts w:ascii="Book Antiqua" w:hAnsi="Book Antiqua" w:cs="Arial"/>
        </w:rPr>
        <w:t xml:space="preserve"> allowed entry here.  </w:t>
      </w:r>
    </w:p>
    <w:p w:rsidR="00A805F6" w:rsidRDefault="00A805F6" w:rsidP="00B52A42">
      <w:pPr>
        <w:numPr>
          <w:ilvl w:val="0"/>
          <w:numId w:val="3"/>
        </w:numPr>
        <w:spacing w:before="240"/>
        <w:jc w:val="both"/>
        <w:rPr>
          <w:rFonts w:ascii="Book Antiqua" w:hAnsi="Book Antiqua" w:cs="Arial"/>
        </w:rPr>
      </w:pPr>
      <w:r>
        <w:rPr>
          <w:rFonts w:ascii="Book Antiqua" w:hAnsi="Book Antiqua" w:cs="Arial"/>
        </w:rPr>
        <w:t xml:space="preserve">The judge gave clear reasons why she found family life to exist in this case.  She went on to allow the appeal on human rights grounds. </w:t>
      </w:r>
    </w:p>
    <w:p w:rsidR="00A805F6" w:rsidRDefault="00A805F6" w:rsidP="00B52A42">
      <w:pPr>
        <w:numPr>
          <w:ilvl w:val="0"/>
          <w:numId w:val="3"/>
        </w:numPr>
        <w:spacing w:before="240"/>
        <w:jc w:val="both"/>
        <w:rPr>
          <w:rFonts w:ascii="Book Antiqua" w:hAnsi="Book Antiqua" w:cs="Arial"/>
        </w:rPr>
      </w:pPr>
      <w:r>
        <w:rPr>
          <w:rFonts w:ascii="Book Antiqua" w:hAnsi="Book Antiqua" w:cs="Arial"/>
        </w:rPr>
        <w:t xml:space="preserve">The challenge to the judge’s decision is now a slender one and in my </w:t>
      </w:r>
      <w:r w:rsidR="00A3343D">
        <w:rPr>
          <w:rFonts w:ascii="Book Antiqua" w:hAnsi="Book Antiqua" w:cs="Arial"/>
        </w:rPr>
        <w:t>view,</w:t>
      </w:r>
      <w:r>
        <w:rPr>
          <w:rFonts w:ascii="Book Antiqua" w:hAnsi="Book Antiqua" w:cs="Arial"/>
        </w:rPr>
        <w:t xml:space="preserve"> is not sustainable because the judge has given full reasons why family life existed between the Sponsor and the Appellants.  The judge was entitled to make those findings and there is no question of </w:t>
      </w:r>
      <w:r w:rsidR="001F07C1">
        <w:rPr>
          <w:rFonts w:ascii="Book Antiqua" w:hAnsi="Book Antiqua" w:cs="Arial"/>
        </w:rPr>
        <w:t xml:space="preserve">a </w:t>
      </w:r>
      <w:r>
        <w:rPr>
          <w:rFonts w:ascii="Book Antiqua" w:hAnsi="Book Antiqua" w:cs="Arial"/>
        </w:rPr>
        <w:t>credibility</w:t>
      </w:r>
      <w:r w:rsidR="003849BD">
        <w:rPr>
          <w:rFonts w:ascii="Book Antiqua" w:hAnsi="Book Antiqua" w:cs="Arial"/>
        </w:rPr>
        <w:t xml:space="preserve"> negative </w:t>
      </w:r>
      <w:r>
        <w:rPr>
          <w:rFonts w:ascii="Book Antiqua" w:hAnsi="Book Antiqua" w:cs="Arial"/>
        </w:rPr>
        <w:t>finding against the Sponsor.</w:t>
      </w:r>
    </w:p>
    <w:p w:rsidR="00A805F6" w:rsidRPr="00A805F6" w:rsidRDefault="00A805F6" w:rsidP="00A805F6">
      <w:pPr>
        <w:numPr>
          <w:ilvl w:val="0"/>
          <w:numId w:val="3"/>
        </w:numPr>
        <w:spacing w:before="240"/>
        <w:jc w:val="both"/>
        <w:rPr>
          <w:rFonts w:ascii="Book Antiqua" w:hAnsi="Book Antiqua" w:cs="Arial"/>
        </w:rPr>
      </w:pPr>
      <w:r>
        <w:rPr>
          <w:rFonts w:ascii="Book Antiqua" w:hAnsi="Book Antiqua" w:cs="Arial"/>
        </w:rPr>
        <w:t>As such there is no error of law in the judge’s decision which must stand.</w:t>
      </w: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r w:rsidRPr="009F518E">
        <w:rPr>
          <w:rFonts w:ascii="Book Antiqua" w:hAnsi="Book Antiqua" w:cs="Arial"/>
        </w:rPr>
        <w:t>The</w:t>
      </w:r>
      <w:r w:rsidR="00A805F6">
        <w:rPr>
          <w:rFonts w:ascii="Book Antiqua" w:hAnsi="Book Antiqua" w:cs="Arial"/>
        </w:rPr>
        <w:t xml:space="preserve"> making of the decision of the First-tier Tribunal did not involve the making of an error </w:t>
      </w:r>
      <w:r w:rsidR="00557E9E">
        <w:rPr>
          <w:rFonts w:ascii="Book Antiqua" w:hAnsi="Book Antiqua" w:cs="Arial"/>
        </w:rPr>
        <w:t xml:space="preserve">on a point of </w:t>
      </w:r>
      <w:r w:rsidR="00A805F6">
        <w:rPr>
          <w:rFonts w:ascii="Book Antiqua" w:hAnsi="Book Antiqua" w:cs="Arial"/>
        </w:rPr>
        <w:t xml:space="preserve">law.  </w:t>
      </w:r>
    </w:p>
    <w:p w:rsidR="00A805F6" w:rsidRDefault="00A805F6" w:rsidP="009F518E">
      <w:pPr>
        <w:jc w:val="both"/>
        <w:rPr>
          <w:rFonts w:ascii="Book Antiqua" w:hAnsi="Book Antiqua" w:cs="Arial"/>
        </w:rPr>
      </w:pPr>
    </w:p>
    <w:p w:rsidR="009F518E" w:rsidRPr="009F518E" w:rsidRDefault="00A805F6" w:rsidP="009F518E">
      <w:pPr>
        <w:jc w:val="both"/>
        <w:rPr>
          <w:rFonts w:ascii="Book Antiqua" w:hAnsi="Book Antiqua" w:cs="Arial"/>
        </w:rPr>
      </w:pPr>
      <w:r>
        <w:rPr>
          <w:rFonts w:ascii="Book Antiqua" w:hAnsi="Book Antiqua" w:cs="Arial"/>
        </w:rPr>
        <w:t xml:space="preserve">I do not set aside the decision.  </w:t>
      </w:r>
    </w:p>
    <w:p w:rsidR="009918CC" w:rsidRDefault="009918CC"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532E7D">
        <w:rPr>
          <w:rFonts w:ascii="Book Antiqua" w:hAnsi="Book Antiqua" w:cs="Arial"/>
        </w:rPr>
        <w:t>order</w:t>
      </w:r>
      <w:r w:rsidRPr="009F518E">
        <w:rPr>
          <w:rFonts w:ascii="Book Antiqua" w:hAnsi="Book Antiqua" w:cs="Arial"/>
        </w:rPr>
        <w:t xml:space="preserve"> is made.</w:t>
      </w:r>
    </w:p>
    <w:p w:rsidR="000369F5"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C03D3A">
        <w:rPr>
          <w:rFonts w:ascii="Book Antiqua" w:hAnsi="Book Antiqua" w:cs="Arial"/>
        </w:rPr>
        <w:t xml:space="preserve">   </w:t>
      </w:r>
      <w:r w:rsidR="00C03D3A" w:rsidRPr="00C03D3A">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E03C5">
        <w:rPr>
          <w:rFonts w:ascii="Book Antiqua" w:hAnsi="Book Antiqua" w:cs="Arial"/>
        </w:rPr>
        <w:t>d</w:t>
      </w:r>
      <w:r w:rsidR="00C03D3A">
        <w:rPr>
          <w:rFonts w:ascii="Book Antiqua" w:hAnsi="Book Antiqua" w:cs="Arial"/>
        </w:rPr>
        <w:t xml:space="preserve">   </w:t>
      </w:r>
      <w:r w:rsidR="00106FD4">
        <w:rPr>
          <w:rFonts w:ascii="Book Antiqua" w:hAnsi="Book Antiqua" w:cs="Arial"/>
        </w:rPr>
        <w:t>11</w:t>
      </w:r>
      <w:r w:rsidR="00106FD4" w:rsidRPr="00106FD4">
        <w:rPr>
          <w:rFonts w:ascii="Book Antiqua" w:hAnsi="Book Antiqua" w:cs="Arial"/>
          <w:vertAlign w:val="superscript"/>
        </w:rPr>
        <w:t>th</w:t>
      </w:r>
      <w:r w:rsidR="00106FD4">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5B7789" w:rsidRPr="00573290" w:rsidRDefault="00255071" w:rsidP="00573290">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w:t>
      </w:r>
      <w:r w:rsidR="00573290">
        <w:rPr>
          <w:rFonts w:ascii="Book Antiqua" w:hAnsi="Book Antiqua" w:cs="Arial"/>
        </w:rPr>
        <w:t xml:space="preserve">d </w:t>
      </w:r>
    </w:p>
    <w:sectPr w:rsidR="005B7789" w:rsidRPr="0057329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487" w:rsidRDefault="00FB1487">
      <w:r>
        <w:separator/>
      </w:r>
    </w:p>
  </w:endnote>
  <w:endnote w:type="continuationSeparator" w:id="0">
    <w:p w:rsidR="00FB1487" w:rsidRDefault="00FB1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43C39">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487" w:rsidRDefault="00FB1487">
      <w:r>
        <w:separator/>
      </w:r>
    </w:p>
  </w:footnote>
  <w:footnote w:type="continuationSeparator" w:id="0">
    <w:p w:rsidR="00FB1487" w:rsidRDefault="00FB1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35028E">
      <w:rPr>
        <w:rFonts w:ascii="Book Antiqua" w:hAnsi="Book Antiqua" w:cs="Arial"/>
        <w:sz w:val="16"/>
        <w:szCs w:val="16"/>
      </w:rPr>
      <w:t>s</w:t>
    </w:r>
    <w:r w:rsidRPr="00F5664C">
      <w:rPr>
        <w:rFonts w:ascii="Book Antiqua" w:hAnsi="Book Antiqua" w:cs="Arial"/>
        <w:sz w:val="16"/>
        <w:szCs w:val="16"/>
      </w:rPr>
      <w:t>:</w:t>
    </w:r>
    <w:r w:rsidR="000369F5" w:rsidRPr="00F5664C">
      <w:rPr>
        <w:rFonts w:ascii="Book Antiqua" w:hAnsi="Book Antiqua" w:cs="Arial"/>
        <w:sz w:val="16"/>
        <w:szCs w:val="16"/>
      </w:rPr>
      <w:t xml:space="preserve"> </w:t>
    </w:r>
    <w:r w:rsidR="0035028E">
      <w:rPr>
        <w:rFonts w:ascii="Book Antiqua" w:hAnsi="Book Antiqua" w:cs="Arial"/>
        <w:sz w:val="16"/>
        <w:szCs w:val="16"/>
      </w:rPr>
      <w:t>HU/06204/2016</w:t>
    </w:r>
  </w:p>
  <w:p w:rsidR="0035028E" w:rsidRPr="00F5664C" w:rsidRDefault="0035028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HU/06205/2016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47"/>
    <w:rsid w:val="00000621"/>
    <w:rsid w:val="000036C2"/>
    <w:rsid w:val="0000647E"/>
    <w:rsid w:val="00033D3D"/>
    <w:rsid w:val="000369F5"/>
    <w:rsid w:val="00071A7E"/>
    <w:rsid w:val="000746C0"/>
    <w:rsid w:val="00074D1D"/>
    <w:rsid w:val="00077227"/>
    <w:rsid w:val="00092580"/>
    <w:rsid w:val="000A54CB"/>
    <w:rsid w:val="000A5ADA"/>
    <w:rsid w:val="000D01C9"/>
    <w:rsid w:val="000D5D94"/>
    <w:rsid w:val="000E03C5"/>
    <w:rsid w:val="000E0620"/>
    <w:rsid w:val="000E0CD7"/>
    <w:rsid w:val="000F4E55"/>
    <w:rsid w:val="00105E3E"/>
    <w:rsid w:val="00105FA1"/>
    <w:rsid w:val="00106FD4"/>
    <w:rsid w:val="00114F8B"/>
    <w:rsid w:val="001165A7"/>
    <w:rsid w:val="0013622D"/>
    <w:rsid w:val="001507A0"/>
    <w:rsid w:val="00151BB7"/>
    <w:rsid w:val="00167D3A"/>
    <w:rsid w:val="00172A08"/>
    <w:rsid w:val="001A1E2C"/>
    <w:rsid w:val="001D4397"/>
    <w:rsid w:val="001E6D6D"/>
    <w:rsid w:val="001F07C1"/>
    <w:rsid w:val="001F2716"/>
    <w:rsid w:val="001F5E68"/>
    <w:rsid w:val="0020133A"/>
    <w:rsid w:val="00204FF6"/>
    <w:rsid w:val="00207617"/>
    <w:rsid w:val="0021654E"/>
    <w:rsid w:val="002247F6"/>
    <w:rsid w:val="00255071"/>
    <w:rsid w:val="00270C5D"/>
    <w:rsid w:val="00283659"/>
    <w:rsid w:val="002C4E73"/>
    <w:rsid w:val="002D5A7F"/>
    <w:rsid w:val="002D68BF"/>
    <w:rsid w:val="002E75DE"/>
    <w:rsid w:val="0030070F"/>
    <w:rsid w:val="00313337"/>
    <w:rsid w:val="00336CBF"/>
    <w:rsid w:val="003370B2"/>
    <w:rsid w:val="0035028E"/>
    <w:rsid w:val="003546C8"/>
    <w:rsid w:val="003849BD"/>
    <w:rsid w:val="003A7CF2"/>
    <w:rsid w:val="003C5CE5"/>
    <w:rsid w:val="003E267B"/>
    <w:rsid w:val="003E7CD1"/>
    <w:rsid w:val="00402B9E"/>
    <w:rsid w:val="004061C2"/>
    <w:rsid w:val="00406304"/>
    <w:rsid w:val="0041360E"/>
    <w:rsid w:val="00423932"/>
    <w:rsid w:val="004249CB"/>
    <w:rsid w:val="0044127D"/>
    <w:rsid w:val="004448DB"/>
    <w:rsid w:val="00446C9A"/>
    <w:rsid w:val="00477193"/>
    <w:rsid w:val="00497BC3"/>
    <w:rsid w:val="004A1848"/>
    <w:rsid w:val="004B401F"/>
    <w:rsid w:val="004E19C5"/>
    <w:rsid w:val="00507FEC"/>
    <w:rsid w:val="00510F0E"/>
    <w:rsid w:val="00530B04"/>
    <w:rsid w:val="00532E7D"/>
    <w:rsid w:val="00536239"/>
    <w:rsid w:val="00536AEB"/>
    <w:rsid w:val="005408F5"/>
    <w:rsid w:val="00542DB1"/>
    <w:rsid w:val="005479E1"/>
    <w:rsid w:val="005570FD"/>
    <w:rsid w:val="005575EA"/>
    <w:rsid w:val="00557E9E"/>
    <w:rsid w:val="00563587"/>
    <w:rsid w:val="00573290"/>
    <w:rsid w:val="0057790C"/>
    <w:rsid w:val="00593795"/>
    <w:rsid w:val="005A75FF"/>
    <w:rsid w:val="005B7789"/>
    <w:rsid w:val="005E3347"/>
    <w:rsid w:val="00625C24"/>
    <w:rsid w:val="006342DD"/>
    <w:rsid w:val="00643C39"/>
    <w:rsid w:val="00646648"/>
    <w:rsid w:val="0065791C"/>
    <w:rsid w:val="006803E1"/>
    <w:rsid w:val="00690B8A"/>
    <w:rsid w:val="0069257B"/>
    <w:rsid w:val="006D1DFA"/>
    <w:rsid w:val="006D506B"/>
    <w:rsid w:val="006E3C90"/>
    <w:rsid w:val="00704B61"/>
    <w:rsid w:val="00707DB1"/>
    <w:rsid w:val="00734BD8"/>
    <w:rsid w:val="007353BB"/>
    <w:rsid w:val="00742A8D"/>
    <w:rsid w:val="007552A9"/>
    <w:rsid w:val="00761858"/>
    <w:rsid w:val="00767D59"/>
    <w:rsid w:val="00776DAA"/>
    <w:rsid w:val="00776E97"/>
    <w:rsid w:val="00780FD7"/>
    <w:rsid w:val="007825AE"/>
    <w:rsid w:val="0078703A"/>
    <w:rsid w:val="007912AD"/>
    <w:rsid w:val="007A1F28"/>
    <w:rsid w:val="007A485B"/>
    <w:rsid w:val="007B0824"/>
    <w:rsid w:val="00822B03"/>
    <w:rsid w:val="008303B8"/>
    <w:rsid w:val="00833DCE"/>
    <w:rsid w:val="00842418"/>
    <w:rsid w:val="008533CF"/>
    <w:rsid w:val="008634DB"/>
    <w:rsid w:val="00871D34"/>
    <w:rsid w:val="00886D47"/>
    <w:rsid w:val="008A5E6D"/>
    <w:rsid w:val="008B270C"/>
    <w:rsid w:val="008C3D3D"/>
    <w:rsid w:val="008D4131"/>
    <w:rsid w:val="008F1932"/>
    <w:rsid w:val="008F294D"/>
    <w:rsid w:val="00921062"/>
    <w:rsid w:val="0092618D"/>
    <w:rsid w:val="0093083E"/>
    <w:rsid w:val="0093333B"/>
    <w:rsid w:val="00966ECF"/>
    <w:rsid w:val="009727A3"/>
    <w:rsid w:val="00987774"/>
    <w:rsid w:val="009918CC"/>
    <w:rsid w:val="00995B53"/>
    <w:rsid w:val="009A11E8"/>
    <w:rsid w:val="009E4E62"/>
    <w:rsid w:val="009F3147"/>
    <w:rsid w:val="009F43BC"/>
    <w:rsid w:val="009F518E"/>
    <w:rsid w:val="009F5220"/>
    <w:rsid w:val="009F7C4D"/>
    <w:rsid w:val="00A15234"/>
    <w:rsid w:val="00A201AB"/>
    <w:rsid w:val="00A31C8B"/>
    <w:rsid w:val="00A3343D"/>
    <w:rsid w:val="00A50806"/>
    <w:rsid w:val="00A75965"/>
    <w:rsid w:val="00A805F6"/>
    <w:rsid w:val="00A845DC"/>
    <w:rsid w:val="00A97AEE"/>
    <w:rsid w:val="00AC5CF6"/>
    <w:rsid w:val="00B144FA"/>
    <w:rsid w:val="00B16F58"/>
    <w:rsid w:val="00B30648"/>
    <w:rsid w:val="00B3524D"/>
    <w:rsid w:val="00B35AF6"/>
    <w:rsid w:val="00B40F69"/>
    <w:rsid w:val="00B46616"/>
    <w:rsid w:val="00B52A42"/>
    <w:rsid w:val="00B610E3"/>
    <w:rsid w:val="00B61205"/>
    <w:rsid w:val="00B61578"/>
    <w:rsid w:val="00B617C4"/>
    <w:rsid w:val="00B626FA"/>
    <w:rsid w:val="00B7040A"/>
    <w:rsid w:val="00B96FA0"/>
    <w:rsid w:val="00BC42D3"/>
    <w:rsid w:val="00BD1A13"/>
    <w:rsid w:val="00BD4196"/>
    <w:rsid w:val="00BF22CA"/>
    <w:rsid w:val="00C03D3A"/>
    <w:rsid w:val="00C26032"/>
    <w:rsid w:val="00C265B0"/>
    <w:rsid w:val="00C321B5"/>
    <w:rsid w:val="00C345E1"/>
    <w:rsid w:val="00C36A07"/>
    <w:rsid w:val="00C977BA"/>
    <w:rsid w:val="00CB6E35"/>
    <w:rsid w:val="00CC2839"/>
    <w:rsid w:val="00CE1A46"/>
    <w:rsid w:val="00CE26B2"/>
    <w:rsid w:val="00CE6AFA"/>
    <w:rsid w:val="00CF01A8"/>
    <w:rsid w:val="00CF253F"/>
    <w:rsid w:val="00CF56B4"/>
    <w:rsid w:val="00D034AB"/>
    <w:rsid w:val="00D20F09"/>
    <w:rsid w:val="00D22636"/>
    <w:rsid w:val="00D22FA8"/>
    <w:rsid w:val="00D24A9C"/>
    <w:rsid w:val="00D3003C"/>
    <w:rsid w:val="00D40FD9"/>
    <w:rsid w:val="00D42A15"/>
    <w:rsid w:val="00D53769"/>
    <w:rsid w:val="00D54C53"/>
    <w:rsid w:val="00D562ED"/>
    <w:rsid w:val="00D63446"/>
    <w:rsid w:val="00D647F9"/>
    <w:rsid w:val="00D65912"/>
    <w:rsid w:val="00D70FCF"/>
    <w:rsid w:val="00D85AA4"/>
    <w:rsid w:val="00D85C13"/>
    <w:rsid w:val="00D877E9"/>
    <w:rsid w:val="00D91BE3"/>
    <w:rsid w:val="00D94AFC"/>
    <w:rsid w:val="00DB6072"/>
    <w:rsid w:val="00DB70AE"/>
    <w:rsid w:val="00DB7231"/>
    <w:rsid w:val="00DD1252"/>
    <w:rsid w:val="00DD5071"/>
    <w:rsid w:val="00DD5C39"/>
    <w:rsid w:val="00DE26AF"/>
    <w:rsid w:val="00DE5FD3"/>
    <w:rsid w:val="00DE7DB7"/>
    <w:rsid w:val="00E00A0A"/>
    <w:rsid w:val="00E068E7"/>
    <w:rsid w:val="00E07F57"/>
    <w:rsid w:val="00E1040E"/>
    <w:rsid w:val="00E50BCE"/>
    <w:rsid w:val="00E61292"/>
    <w:rsid w:val="00E76309"/>
    <w:rsid w:val="00E77C4D"/>
    <w:rsid w:val="00E81D01"/>
    <w:rsid w:val="00EA161D"/>
    <w:rsid w:val="00EE45D8"/>
    <w:rsid w:val="00F004CD"/>
    <w:rsid w:val="00F22A22"/>
    <w:rsid w:val="00F22EDA"/>
    <w:rsid w:val="00F26B54"/>
    <w:rsid w:val="00F3224D"/>
    <w:rsid w:val="00F33E0E"/>
    <w:rsid w:val="00F541B5"/>
    <w:rsid w:val="00F54B00"/>
    <w:rsid w:val="00F5664C"/>
    <w:rsid w:val="00F72BCD"/>
    <w:rsid w:val="00F8705D"/>
    <w:rsid w:val="00FB1487"/>
    <w:rsid w:val="00FB7E80"/>
    <w:rsid w:val="00FE5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1065</Words>
  <Characters>5247</Characters>
  <Application>Microsoft Office Word</Application>
  <DocSecurity>0</DocSecurity>
  <Lines>43</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2018-07-09T13:51:00Z</dcterms:created>
  <dcterms:modified xsi:type="dcterms:W3CDTF">2018-07-09T13:51:00Z</dcterms:modified>
</cp:coreProperties>
</file>