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5F7F41" w:rsidP="0050388A">
      <w:pPr>
        <w:jc w:val="center"/>
        <w:rPr>
          <w:rFonts w:ascii="Book Antiqua" w:hAnsi="Book Antiqua" w:cs="Arial"/>
          <w:caps/>
          <w:color w:val="000000"/>
          <w:sz w:val="16"/>
          <w:szCs w:val="16"/>
        </w:rPr>
      </w:pPr>
      <w:r>
        <w:rPr>
          <w:noProof/>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CF01DA"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CF01DA">
        <w:rPr>
          <w:rFonts w:ascii="Book Antiqua" w:hAnsi="Book Antiqua" w:cs="Arial"/>
          <w:b/>
          <w:color w:val="000000"/>
        </w:rPr>
        <w:t xml:space="preserve">   </w:t>
      </w:r>
      <w:proofErr w:type="gramEnd"/>
      <w:r w:rsidR="00CF01DA">
        <w:rPr>
          <w:rFonts w:ascii="Book Antiqua" w:hAnsi="Book Antiqua" w:cs="Arial"/>
          <w:b/>
          <w:color w:val="000000"/>
        </w:rPr>
        <w:t xml:space="preserve">                   </w:t>
      </w:r>
      <w:r w:rsidR="00B3524D" w:rsidRPr="00CF01DA">
        <w:rPr>
          <w:rFonts w:ascii="Book Antiqua" w:hAnsi="Book Antiqua" w:cs="Arial"/>
          <w:b/>
          <w:color w:val="000000"/>
        </w:rPr>
        <w:t>Appeal Number</w:t>
      </w:r>
      <w:r w:rsidR="00D53769" w:rsidRPr="00CF01DA">
        <w:rPr>
          <w:rFonts w:ascii="Book Antiqua" w:hAnsi="Book Antiqua" w:cs="Arial"/>
          <w:b/>
          <w:color w:val="000000"/>
        </w:rPr>
        <w:t>:</w:t>
      </w:r>
      <w:r w:rsidR="00B3524D" w:rsidRPr="00CF01DA">
        <w:rPr>
          <w:rFonts w:ascii="Book Antiqua" w:hAnsi="Book Antiqua" w:cs="Arial"/>
          <w:b/>
          <w:color w:val="000000"/>
        </w:rPr>
        <w:t xml:space="preserve"> </w:t>
      </w:r>
      <w:r w:rsidR="000B48F8" w:rsidRPr="00CF01DA">
        <w:rPr>
          <w:rFonts w:ascii="Book Antiqua" w:hAnsi="Book Antiqua" w:cs="Arial"/>
          <w:b/>
          <w:caps/>
          <w:color w:val="000000"/>
        </w:rPr>
        <w:t>HU/06237/2017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393"/>
      </w:tblGrid>
      <w:tr w:rsidR="00D22636" w:rsidRPr="00AE6DDE" w:rsidTr="00CF01DA">
        <w:tc>
          <w:tcPr>
            <w:tcW w:w="5245"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0B48F8">
              <w:rPr>
                <w:rFonts w:ascii="Book Antiqua" w:hAnsi="Book Antiqua" w:cs="Arial"/>
                <w:b/>
              </w:rPr>
              <w:t>Field House</w:t>
            </w:r>
          </w:p>
        </w:tc>
        <w:tc>
          <w:tcPr>
            <w:tcW w:w="4393" w:type="dxa"/>
          </w:tcPr>
          <w:p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CF01DA">
        <w:tc>
          <w:tcPr>
            <w:tcW w:w="5245"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0B48F8">
              <w:rPr>
                <w:rFonts w:ascii="Book Antiqua" w:hAnsi="Book Antiqua" w:cs="Arial"/>
                <w:b/>
              </w:rPr>
              <w:t>12 June 2018</w:t>
            </w:r>
          </w:p>
        </w:tc>
        <w:tc>
          <w:tcPr>
            <w:tcW w:w="4393" w:type="dxa"/>
          </w:tcPr>
          <w:p w:rsidR="00D22636" w:rsidRPr="00AE6DDE" w:rsidRDefault="003D4346" w:rsidP="004A1848">
            <w:pPr>
              <w:jc w:val="both"/>
              <w:rPr>
                <w:rFonts w:ascii="Book Antiqua" w:hAnsi="Book Antiqua" w:cs="Arial"/>
                <w:b/>
              </w:rPr>
            </w:pPr>
            <w:r>
              <w:rPr>
                <w:rFonts w:ascii="Book Antiqua" w:hAnsi="Book Antiqua" w:cs="Arial"/>
                <w:b/>
              </w:rPr>
              <w:t>On 27 June 2018</w:t>
            </w:r>
          </w:p>
        </w:tc>
      </w:tr>
      <w:tr w:rsidR="00D22636" w:rsidRPr="00AE6DDE" w:rsidTr="00CF01DA">
        <w:tc>
          <w:tcPr>
            <w:tcW w:w="5245" w:type="dxa"/>
          </w:tcPr>
          <w:p w:rsidR="00D22636" w:rsidRPr="00AE6DDE" w:rsidRDefault="00D22636" w:rsidP="004A1848">
            <w:pPr>
              <w:jc w:val="both"/>
              <w:rPr>
                <w:rFonts w:ascii="Book Antiqua" w:hAnsi="Book Antiqua" w:cs="Arial"/>
                <w:b/>
              </w:rPr>
            </w:pPr>
          </w:p>
        </w:tc>
        <w:tc>
          <w:tcPr>
            <w:tcW w:w="4393" w:type="dxa"/>
          </w:tcPr>
          <w:p w:rsidR="00D22636" w:rsidRPr="00AE6DDE" w:rsidRDefault="00D22636" w:rsidP="004A1848">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347A9C" w:rsidP="000B48F8">
      <w:pPr>
        <w:jc w:val="center"/>
        <w:rPr>
          <w:rFonts w:ascii="Book Antiqua" w:hAnsi="Book Antiqua" w:cs="Arial"/>
          <w:b/>
          <w:color w:val="000000"/>
        </w:rPr>
      </w:pPr>
      <w:r>
        <w:rPr>
          <w:rFonts w:ascii="Book Antiqua" w:hAnsi="Book Antiqua" w:cs="Arial"/>
          <w:b/>
          <w:color w:val="000000"/>
        </w:rPr>
        <w:t xml:space="preserve">DEPUTY UPPER TRIBUNAL </w:t>
      </w:r>
      <w:r w:rsidR="00F91A14">
        <w:rPr>
          <w:rFonts w:ascii="Book Antiqua" w:hAnsi="Book Antiqua" w:cs="Arial"/>
          <w:b/>
          <w:color w:val="000000"/>
        </w:rPr>
        <w:t>JUDGE</w:t>
      </w:r>
      <w:r>
        <w:rPr>
          <w:rFonts w:ascii="Book Antiqua" w:hAnsi="Book Antiqua" w:cs="Arial"/>
          <w:b/>
          <w:color w:val="000000"/>
        </w:rPr>
        <w:t xml:space="preserve"> </w:t>
      </w:r>
      <w:r w:rsidR="00C520FF">
        <w:rPr>
          <w:rFonts w:ascii="Book Antiqua" w:hAnsi="Book Antiqua" w:cs="Arial"/>
          <w:b/>
          <w:color w:val="000000"/>
        </w:rPr>
        <w:t>CHAMBERLAIN</w:t>
      </w:r>
    </w:p>
    <w:p w:rsidR="00A845DC" w:rsidRPr="00AE6DDE"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AE6DDE">
        <w:rPr>
          <w:rFonts w:ascii="Book Antiqua" w:hAnsi="Book Antiqua" w:cs="Arial"/>
          <w:b/>
        </w:rPr>
        <w:t>Between</w:t>
      </w:r>
    </w:p>
    <w:p w:rsidR="00F91A14" w:rsidRPr="00AE6DDE" w:rsidRDefault="00F91A14" w:rsidP="00A15234">
      <w:pPr>
        <w:jc w:val="center"/>
        <w:rPr>
          <w:rFonts w:ascii="Book Antiqua" w:hAnsi="Book Antiqua" w:cs="Arial"/>
          <w:b/>
        </w:rPr>
      </w:pPr>
    </w:p>
    <w:p w:rsidR="00A845DC" w:rsidRDefault="00CF01DA" w:rsidP="00A15234">
      <w:pPr>
        <w:jc w:val="center"/>
        <w:rPr>
          <w:rFonts w:ascii="Book Antiqua" w:hAnsi="Book Antiqua" w:cs="Arial"/>
          <w:b/>
        </w:rPr>
      </w:pPr>
      <w:r>
        <w:rPr>
          <w:rFonts w:ascii="Book Antiqua" w:hAnsi="Book Antiqua" w:cs="Arial"/>
          <w:b/>
        </w:rPr>
        <w:t>THE SECRETARY OF STATE FOR THE HOME DEPARTMENT</w:t>
      </w:r>
    </w:p>
    <w:p w:rsidR="00704B61" w:rsidRPr="00AE6DDE" w:rsidRDefault="00F91A14" w:rsidP="00704B61">
      <w:pPr>
        <w:jc w:val="right"/>
        <w:rPr>
          <w:rFonts w:ascii="Book Antiqua" w:hAnsi="Book Antiqua" w:cs="Arial"/>
          <w:u w:val="single"/>
        </w:rPr>
      </w:pPr>
      <w:r>
        <w:rPr>
          <w:rFonts w:ascii="Book Antiqua" w:hAnsi="Book Antiqua" w:cs="Arial"/>
          <w:u w:val="single"/>
        </w:rPr>
        <w:t>Appellant</w:t>
      </w:r>
    </w:p>
    <w:p w:rsidR="00CF01DA" w:rsidRDefault="00CF01DA"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0B48F8">
      <w:pPr>
        <w:rPr>
          <w:rFonts w:ascii="Book Antiqua" w:hAnsi="Book Antiqua" w:cs="Arial"/>
          <w:b/>
        </w:rPr>
      </w:pPr>
      <w:bookmarkStart w:id="0" w:name="_Hlk516740683"/>
    </w:p>
    <w:bookmarkEnd w:id="0"/>
    <w:p w:rsidR="000B48F8" w:rsidRDefault="000B48F8" w:rsidP="000B48F8">
      <w:pPr>
        <w:jc w:val="center"/>
        <w:rPr>
          <w:rFonts w:ascii="Book Antiqua" w:hAnsi="Book Antiqua" w:cs="Arial"/>
          <w:b/>
          <w:caps/>
        </w:rPr>
      </w:pPr>
      <w:r>
        <w:rPr>
          <w:rFonts w:ascii="Book Antiqua" w:hAnsi="Book Antiqua" w:cs="Arial"/>
          <w:b/>
          <w:caps/>
        </w:rPr>
        <w:t>manpreet singh</w:t>
      </w:r>
    </w:p>
    <w:p w:rsidR="00DD5071" w:rsidRPr="00CF01DA" w:rsidRDefault="000B48F8" w:rsidP="001E51B9">
      <w:pPr>
        <w:jc w:val="center"/>
        <w:rPr>
          <w:rFonts w:ascii="Book Antiqua" w:hAnsi="Book Antiqua" w:cs="Arial"/>
          <w:caps/>
        </w:rPr>
      </w:pPr>
      <w:r w:rsidRPr="00CF01DA">
        <w:rPr>
          <w:rFonts w:ascii="Book Antiqua" w:hAnsi="Book Antiqua" w:cs="Arial"/>
          <w:caps/>
        </w:rPr>
        <w:t xml:space="preserve">(anonymity direction </w:t>
      </w:r>
      <w:r w:rsidR="00F91A14" w:rsidRPr="00CF01DA">
        <w:rPr>
          <w:rFonts w:ascii="Book Antiqua" w:hAnsi="Book Antiqua" w:cs="Arial"/>
          <w:caps/>
        </w:rPr>
        <w:t>NOT MADE</w:t>
      </w:r>
      <w:r w:rsidRPr="00CF01DA">
        <w:rPr>
          <w:rFonts w:ascii="Book Antiqua" w:hAnsi="Book Antiqua" w:cs="Arial"/>
          <w:caps/>
        </w:rPr>
        <w:t>)</w:t>
      </w:r>
    </w:p>
    <w:p w:rsidR="00DD5071" w:rsidRPr="00AE6DDE" w:rsidRDefault="00F91A14"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F91A14" w:rsidRDefault="00DE7DB7" w:rsidP="00F91A14">
      <w:pPr>
        <w:tabs>
          <w:tab w:val="left" w:pos="2520"/>
        </w:tabs>
        <w:rPr>
          <w:rFonts w:ascii="Book Antiqua" w:hAnsi="Book Antiqua" w:cs="Arial"/>
        </w:rPr>
      </w:pPr>
      <w:r w:rsidRPr="00AE6DDE">
        <w:rPr>
          <w:rFonts w:ascii="Book Antiqua" w:hAnsi="Book Antiqua" w:cs="Arial"/>
        </w:rPr>
        <w:t xml:space="preserve">For the </w:t>
      </w:r>
      <w:r w:rsidR="00F91A14">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F91A14">
        <w:rPr>
          <w:rFonts w:ascii="Book Antiqua" w:hAnsi="Book Antiqua" w:cs="Arial"/>
        </w:rPr>
        <w:t xml:space="preserve">Mr. T. Melvin, Home Office Presenting Officer </w:t>
      </w:r>
    </w:p>
    <w:p w:rsidR="00F91A14" w:rsidRPr="00AE6DDE" w:rsidRDefault="00DE7DB7" w:rsidP="00F91A14">
      <w:pPr>
        <w:tabs>
          <w:tab w:val="left" w:pos="2520"/>
        </w:tabs>
        <w:rPr>
          <w:rFonts w:ascii="Book Antiqua" w:hAnsi="Book Antiqua" w:cs="Arial"/>
        </w:rPr>
      </w:pPr>
      <w:r w:rsidRPr="00AE6DDE">
        <w:rPr>
          <w:rFonts w:ascii="Book Antiqua" w:hAnsi="Book Antiqua" w:cs="Arial"/>
        </w:rPr>
        <w:t xml:space="preserve">For the </w:t>
      </w:r>
      <w:r w:rsidR="00F91A14">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F91A14">
        <w:rPr>
          <w:rFonts w:ascii="Book Antiqua" w:hAnsi="Book Antiqua" w:cs="Arial"/>
        </w:rPr>
        <w:t>Miss. F. Shaw, Counsel instructed by Charles Simmons Solicitors</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F91A14" w:rsidRDefault="000B48F8" w:rsidP="00F91A14">
      <w:pPr>
        <w:pStyle w:val="ListParagraph"/>
        <w:numPr>
          <w:ilvl w:val="0"/>
          <w:numId w:val="1"/>
        </w:numPr>
        <w:jc w:val="both"/>
        <w:rPr>
          <w:rFonts w:ascii="Book Antiqua" w:hAnsi="Book Antiqua" w:cs="Arial"/>
        </w:rPr>
      </w:pPr>
      <w:r w:rsidRPr="00F91A14">
        <w:rPr>
          <w:rFonts w:ascii="Book Antiqua" w:hAnsi="Book Antiqua" w:cs="Arial"/>
        </w:rPr>
        <w:t>This is an appeal by the Secretary of State against the decision of First-tier Tribunal Anthony</w:t>
      </w:r>
      <w:r w:rsidR="00F91A14" w:rsidRPr="00F91A14">
        <w:rPr>
          <w:rFonts w:ascii="Book Antiqua" w:hAnsi="Book Antiqua" w:cs="Arial"/>
        </w:rPr>
        <w:t>,</w:t>
      </w:r>
      <w:r w:rsidRPr="00F91A14">
        <w:rPr>
          <w:rFonts w:ascii="Book Antiqua" w:hAnsi="Book Antiqua" w:cs="Arial"/>
        </w:rPr>
        <w:t xml:space="preserve"> promulgated on 24 November 2017 in which she allowed Mr</w:t>
      </w:r>
      <w:r w:rsidR="00F91A14">
        <w:rPr>
          <w:rFonts w:ascii="Book Antiqua" w:hAnsi="Book Antiqua" w:cs="Arial"/>
        </w:rPr>
        <w:t xml:space="preserve">. </w:t>
      </w:r>
      <w:r w:rsidRPr="00F91A14">
        <w:rPr>
          <w:rFonts w:ascii="Book Antiqua" w:hAnsi="Book Antiqua" w:cs="Arial"/>
        </w:rPr>
        <w:t xml:space="preserve">Singh’s appeal against the Secretary of State’s decision to refuse to grant further leave to remain. </w:t>
      </w:r>
    </w:p>
    <w:p w:rsidR="003F6085" w:rsidRPr="003F6085" w:rsidRDefault="003F6085" w:rsidP="003F6085">
      <w:pPr>
        <w:jc w:val="both"/>
        <w:rPr>
          <w:rFonts w:ascii="Book Antiqua" w:hAnsi="Book Antiqua" w:cs="Arial"/>
        </w:rPr>
      </w:pPr>
      <w:bookmarkStart w:id="1" w:name="_GoBack"/>
      <w:bookmarkEnd w:id="1"/>
    </w:p>
    <w:p w:rsidR="00BF23BB" w:rsidRPr="00F91A14" w:rsidRDefault="000B48F8" w:rsidP="00F91A14">
      <w:pPr>
        <w:pStyle w:val="ListParagraph"/>
        <w:numPr>
          <w:ilvl w:val="0"/>
          <w:numId w:val="1"/>
        </w:numPr>
        <w:jc w:val="both"/>
        <w:rPr>
          <w:rFonts w:ascii="Book Antiqua" w:hAnsi="Book Antiqua" w:cs="Arial"/>
        </w:rPr>
      </w:pPr>
      <w:r w:rsidRPr="00F91A14">
        <w:rPr>
          <w:rFonts w:ascii="Book Antiqua" w:hAnsi="Book Antiqua" w:cs="Arial"/>
        </w:rPr>
        <w:t xml:space="preserve">For the purposes of this decision I refer to the Secretary of State as the </w:t>
      </w:r>
      <w:r w:rsidR="00F91A14">
        <w:rPr>
          <w:rFonts w:ascii="Book Antiqua" w:hAnsi="Book Antiqua" w:cs="Arial"/>
        </w:rPr>
        <w:t>Respondent</w:t>
      </w:r>
      <w:r w:rsidRPr="00F91A14">
        <w:rPr>
          <w:rFonts w:ascii="Book Antiqua" w:hAnsi="Book Antiqua" w:cs="Arial"/>
        </w:rPr>
        <w:t xml:space="preserve"> and to Mr</w:t>
      </w:r>
      <w:r w:rsidR="00F91A14">
        <w:rPr>
          <w:rFonts w:ascii="Book Antiqua" w:hAnsi="Book Antiqua" w:cs="Arial"/>
        </w:rPr>
        <w:t>.</w:t>
      </w:r>
      <w:r w:rsidRPr="00F91A14">
        <w:rPr>
          <w:rFonts w:ascii="Book Antiqua" w:hAnsi="Book Antiqua" w:cs="Arial"/>
        </w:rPr>
        <w:t xml:space="preserve"> Singh as the </w:t>
      </w:r>
      <w:r w:rsidR="00F91A14">
        <w:rPr>
          <w:rFonts w:ascii="Book Antiqua" w:hAnsi="Book Antiqua" w:cs="Arial"/>
        </w:rPr>
        <w:t>Appellant</w:t>
      </w:r>
      <w:r w:rsidR="000260D7">
        <w:rPr>
          <w:rFonts w:ascii="Book Antiqua" w:hAnsi="Book Antiqua" w:cs="Arial"/>
        </w:rPr>
        <w:t>,</w:t>
      </w:r>
      <w:r w:rsidR="002073A9" w:rsidRPr="00F91A14">
        <w:rPr>
          <w:rFonts w:ascii="Book Antiqua" w:hAnsi="Book Antiqua" w:cs="Arial"/>
        </w:rPr>
        <w:t xml:space="preserve"> reflecting their positions as they were before the First-tier Tribunal.</w:t>
      </w:r>
    </w:p>
    <w:p w:rsidR="001E51B9" w:rsidRDefault="001E51B9" w:rsidP="00847259">
      <w:pPr>
        <w:ind w:left="567" w:hanging="567"/>
        <w:jc w:val="both"/>
        <w:rPr>
          <w:rFonts w:ascii="Book Antiqua" w:hAnsi="Book Antiqua" w:cs="Arial"/>
        </w:rPr>
      </w:pPr>
    </w:p>
    <w:p w:rsidR="00F91A14" w:rsidRPr="00F91A14" w:rsidRDefault="001E51B9" w:rsidP="00F91A14">
      <w:pPr>
        <w:pStyle w:val="ListParagraph"/>
        <w:numPr>
          <w:ilvl w:val="0"/>
          <w:numId w:val="1"/>
        </w:numPr>
        <w:jc w:val="both"/>
        <w:rPr>
          <w:rFonts w:ascii="Book Antiqua" w:hAnsi="Book Antiqua" w:cs="Arial"/>
        </w:rPr>
      </w:pPr>
      <w:r w:rsidRPr="00F91A14">
        <w:rPr>
          <w:rFonts w:ascii="Book Antiqua" w:hAnsi="Book Antiqua" w:cs="Arial"/>
        </w:rPr>
        <w:t xml:space="preserve">Permission </w:t>
      </w:r>
      <w:r w:rsidR="00063D49" w:rsidRPr="00F91A14">
        <w:rPr>
          <w:rFonts w:ascii="Book Antiqua" w:hAnsi="Book Antiqua" w:cs="Arial"/>
        </w:rPr>
        <w:t>to appeal was granted as follows:</w:t>
      </w:r>
    </w:p>
    <w:p w:rsidR="00F91A14" w:rsidRPr="00F91A14" w:rsidRDefault="00F91A14" w:rsidP="00F91A14">
      <w:pPr>
        <w:pStyle w:val="ListParagraph"/>
        <w:rPr>
          <w:rFonts w:ascii="Book Antiqua" w:hAnsi="Book Antiqua" w:cs="Arial"/>
        </w:rPr>
      </w:pPr>
    </w:p>
    <w:p w:rsidR="00F91A14" w:rsidRDefault="00063D49" w:rsidP="00306974">
      <w:pPr>
        <w:pStyle w:val="ListParagraph"/>
        <w:ind w:left="570"/>
        <w:jc w:val="both"/>
        <w:rPr>
          <w:rFonts w:ascii="Book Antiqua" w:hAnsi="Book Antiqua" w:cs="Arial"/>
        </w:rPr>
      </w:pPr>
      <w:r w:rsidRPr="00F91A14">
        <w:rPr>
          <w:rFonts w:ascii="Book Antiqua" w:hAnsi="Book Antiqua" w:cs="Arial"/>
        </w:rPr>
        <w:lastRenderedPageBreak/>
        <w:t>“It is arguable that</w:t>
      </w:r>
      <w:r w:rsidR="00F91A14">
        <w:rPr>
          <w:rFonts w:ascii="Book Antiqua" w:hAnsi="Book Antiqua" w:cs="Arial"/>
        </w:rPr>
        <w:t>,</w:t>
      </w:r>
      <w:r w:rsidRPr="00F91A14">
        <w:rPr>
          <w:rFonts w:ascii="Book Antiqua" w:hAnsi="Book Antiqua" w:cs="Arial"/>
        </w:rPr>
        <w:t xml:space="preserve"> contrary to the </w:t>
      </w:r>
      <w:r w:rsidR="00F91A14" w:rsidRPr="00F91A14">
        <w:rPr>
          <w:rFonts w:ascii="Book Antiqua" w:hAnsi="Book Antiqua" w:cs="Arial"/>
        </w:rPr>
        <w:t>Judge</w:t>
      </w:r>
      <w:r w:rsidRPr="00F91A14">
        <w:rPr>
          <w:rFonts w:ascii="Book Antiqua" w:hAnsi="Book Antiqua" w:cs="Arial"/>
        </w:rPr>
        <w:t>’s finding</w:t>
      </w:r>
      <w:r w:rsidR="00F91A14">
        <w:rPr>
          <w:rFonts w:ascii="Book Antiqua" w:hAnsi="Book Antiqua" w:cs="Arial"/>
        </w:rPr>
        <w:t>,</w:t>
      </w:r>
      <w:r w:rsidRPr="00F91A14">
        <w:rPr>
          <w:rFonts w:ascii="Book Antiqua" w:hAnsi="Book Antiqua" w:cs="Arial"/>
        </w:rPr>
        <w:t xml:space="preserve"> the </w:t>
      </w:r>
      <w:r w:rsidR="00F91A14">
        <w:rPr>
          <w:rFonts w:ascii="Book Antiqua" w:hAnsi="Book Antiqua" w:cs="Arial"/>
        </w:rPr>
        <w:t>r</w:t>
      </w:r>
      <w:r w:rsidR="00F91A14" w:rsidRPr="00F91A14">
        <w:rPr>
          <w:rFonts w:ascii="Book Antiqua" w:hAnsi="Book Antiqua" w:cs="Arial"/>
        </w:rPr>
        <w:t>espondent</w:t>
      </w:r>
      <w:r w:rsidRPr="00F91A14">
        <w:rPr>
          <w:rFonts w:ascii="Book Antiqua" w:hAnsi="Book Antiqua" w:cs="Arial"/>
        </w:rPr>
        <w:t>’s evidential burden was met with regard to the TOEIC certificate which was cancelled on the basis of test administration irregularity as set out in the statement of Peter Millington at [47].  Further</w:t>
      </w:r>
      <w:r w:rsidR="00F91A14">
        <w:rPr>
          <w:rFonts w:ascii="Book Antiqua" w:hAnsi="Book Antiqua" w:cs="Arial"/>
        </w:rPr>
        <w:t>,</w:t>
      </w:r>
      <w:r w:rsidRPr="00F91A14">
        <w:rPr>
          <w:rFonts w:ascii="Book Antiqua" w:hAnsi="Book Antiqua" w:cs="Arial"/>
        </w:rPr>
        <w:t xml:space="preserve"> although the </w:t>
      </w:r>
      <w:r w:rsidR="00F91A14">
        <w:rPr>
          <w:rFonts w:ascii="Book Antiqua" w:hAnsi="Book Antiqua" w:cs="Arial"/>
        </w:rPr>
        <w:t>a</w:t>
      </w:r>
      <w:r w:rsidR="00F91A14" w:rsidRPr="00F91A14">
        <w:rPr>
          <w:rFonts w:ascii="Book Antiqua" w:hAnsi="Book Antiqua" w:cs="Arial"/>
        </w:rPr>
        <w:t>ppellant</w:t>
      </w:r>
      <w:r w:rsidRPr="00F91A14">
        <w:rPr>
          <w:rFonts w:ascii="Book Antiqua" w:hAnsi="Book Antiqua" w:cs="Arial"/>
        </w:rPr>
        <w:t>’s grounds of appeal were restricted to human rights only</w:t>
      </w:r>
      <w:r w:rsidR="00F91A14">
        <w:rPr>
          <w:rFonts w:ascii="Book Antiqua" w:hAnsi="Book Antiqua" w:cs="Arial"/>
        </w:rPr>
        <w:t>,</w:t>
      </w:r>
      <w:r w:rsidRPr="00F91A14">
        <w:rPr>
          <w:rFonts w:ascii="Book Antiqua" w:hAnsi="Book Antiqua" w:cs="Arial"/>
        </w:rPr>
        <w:t xml:space="preserve"> it is arguable that no proper assessment was undertaken under Article 8 of the Human Rights Convention.”  </w:t>
      </w:r>
    </w:p>
    <w:p w:rsidR="00F91A14" w:rsidRPr="00F91A14" w:rsidRDefault="00F91A14" w:rsidP="00F91A14">
      <w:pPr>
        <w:pStyle w:val="ListParagraph"/>
        <w:rPr>
          <w:rFonts w:ascii="Book Antiqua" w:hAnsi="Book Antiqua" w:cs="Arial"/>
        </w:rPr>
      </w:pPr>
    </w:p>
    <w:p w:rsidR="00F91A14" w:rsidRDefault="00063D49" w:rsidP="00F91A14">
      <w:pPr>
        <w:pStyle w:val="ListParagraph"/>
        <w:numPr>
          <w:ilvl w:val="0"/>
          <w:numId w:val="1"/>
        </w:numPr>
        <w:jc w:val="both"/>
        <w:rPr>
          <w:rFonts w:ascii="Book Antiqua" w:hAnsi="Book Antiqua" w:cs="Arial"/>
        </w:rPr>
      </w:pPr>
      <w:r w:rsidRPr="00F91A14">
        <w:rPr>
          <w:rFonts w:ascii="Book Antiqua" w:hAnsi="Book Antiqua" w:cs="Arial"/>
        </w:rPr>
        <w:t xml:space="preserve">The </w:t>
      </w:r>
      <w:r w:rsidR="00F91A14" w:rsidRPr="00F91A14">
        <w:rPr>
          <w:rFonts w:ascii="Book Antiqua" w:hAnsi="Book Antiqua" w:cs="Arial"/>
        </w:rPr>
        <w:t>Appellant</w:t>
      </w:r>
      <w:r w:rsidRPr="00F91A14">
        <w:rPr>
          <w:rFonts w:ascii="Book Antiqua" w:hAnsi="Book Antiqua" w:cs="Arial"/>
        </w:rPr>
        <w:t xml:space="preserve"> attended the appeal.  I heard submissio</w:t>
      </w:r>
      <w:r w:rsidR="00F91A14" w:rsidRPr="00F91A14">
        <w:rPr>
          <w:rFonts w:ascii="Book Antiqua" w:hAnsi="Book Antiqua" w:cs="Arial"/>
        </w:rPr>
        <w:t xml:space="preserve">ns from both representatives </w:t>
      </w:r>
      <w:r w:rsidRPr="00F91A14">
        <w:rPr>
          <w:rFonts w:ascii="Book Antiqua" w:hAnsi="Book Antiqua" w:cs="Arial"/>
        </w:rPr>
        <w:t>followi</w:t>
      </w:r>
      <w:r w:rsidR="00F91A14">
        <w:rPr>
          <w:rFonts w:ascii="Book Antiqua" w:hAnsi="Book Antiqua" w:cs="Arial"/>
        </w:rPr>
        <w:t>ng which I reserved my decision.</w:t>
      </w:r>
    </w:p>
    <w:p w:rsidR="00F91A14" w:rsidRPr="00F91A14" w:rsidRDefault="00F91A14" w:rsidP="00F91A14">
      <w:pPr>
        <w:pStyle w:val="ListParagraph"/>
        <w:rPr>
          <w:rFonts w:ascii="Book Antiqua" w:hAnsi="Book Antiqua" w:cs="Arial"/>
          <w:b/>
          <w:u w:val="single"/>
        </w:rPr>
      </w:pPr>
    </w:p>
    <w:p w:rsidR="00F91A14" w:rsidRPr="00F91A14" w:rsidRDefault="00063D49" w:rsidP="00F91A14">
      <w:pPr>
        <w:jc w:val="both"/>
        <w:rPr>
          <w:rFonts w:ascii="Book Antiqua" w:hAnsi="Book Antiqua" w:cs="Arial"/>
        </w:rPr>
      </w:pPr>
      <w:r w:rsidRPr="00F91A14">
        <w:rPr>
          <w:rFonts w:ascii="Book Antiqua" w:hAnsi="Book Antiqua" w:cs="Arial"/>
          <w:b/>
          <w:u w:val="single"/>
        </w:rPr>
        <w:t>Error of Law</w:t>
      </w:r>
    </w:p>
    <w:p w:rsidR="00F91A14" w:rsidRPr="00F91A14" w:rsidRDefault="00F91A14" w:rsidP="00F91A14">
      <w:pPr>
        <w:pStyle w:val="ListParagraph"/>
        <w:rPr>
          <w:rFonts w:ascii="Book Antiqua" w:hAnsi="Book Antiqua" w:cs="Arial"/>
        </w:rPr>
      </w:pPr>
    </w:p>
    <w:p w:rsidR="00F91A14" w:rsidRDefault="00F91A14" w:rsidP="00F91A14">
      <w:pPr>
        <w:pStyle w:val="ListParagraph"/>
        <w:numPr>
          <w:ilvl w:val="0"/>
          <w:numId w:val="1"/>
        </w:numPr>
        <w:jc w:val="both"/>
        <w:rPr>
          <w:rFonts w:ascii="Book Antiqua" w:hAnsi="Book Antiqua" w:cs="Arial"/>
        </w:rPr>
      </w:pPr>
      <w:r>
        <w:rPr>
          <w:rFonts w:ascii="Book Antiqua" w:hAnsi="Book Antiqua" w:cs="Arial"/>
        </w:rPr>
        <w:t>G</w:t>
      </w:r>
      <w:r w:rsidR="00063D49" w:rsidRPr="00F91A14">
        <w:rPr>
          <w:rFonts w:ascii="Book Antiqua" w:hAnsi="Book Antiqua" w:cs="Arial"/>
        </w:rPr>
        <w:t xml:space="preserve">round 1 </w:t>
      </w:r>
      <w:r>
        <w:rPr>
          <w:rFonts w:ascii="Book Antiqua" w:hAnsi="Book Antiqua" w:cs="Arial"/>
        </w:rPr>
        <w:t xml:space="preserve">submits that the </w:t>
      </w:r>
      <w:r w:rsidRPr="00F91A14">
        <w:rPr>
          <w:rFonts w:ascii="Book Antiqua" w:hAnsi="Book Antiqua" w:cs="Arial"/>
        </w:rPr>
        <w:t>Judge</w:t>
      </w:r>
      <w:r w:rsidR="00063D49" w:rsidRPr="00F91A14">
        <w:rPr>
          <w:rFonts w:ascii="Book Antiqua" w:hAnsi="Book Antiqua" w:cs="Arial"/>
        </w:rPr>
        <w:t xml:space="preserve"> </w:t>
      </w:r>
      <w:r>
        <w:rPr>
          <w:rFonts w:ascii="Book Antiqua" w:hAnsi="Book Antiqua" w:cs="Arial"/>
        </w:rPr>
        <w:t xml:space="preserve">erred in </w:t>
      </w:r>
      <w:r w:rsidR="00063D49" w:rsidRPr="00F91A14">
        <w:rPr>
          <w:rFonts w:ascii="Book Antiqua" w:hAnsi="Book Antiqua" w:cs="Arial"/>
        </w:rPr>
        <w:t>find</w:t>
      </w:r>
      <w:r>
        <w:rPr>
          <w:rFonts w:ascii="Book Antiqua" w:hAnsi="Book Antiqua" w:cs="Arial"/>
        </w:rPr>
        <w:t>ing</w:t>
      </w:r>
      <w:r w:rsidR="00063D49" w:rsidRPr="00F91A14">
        <w:rPr>
          <w:rFonts w:ascii="Book Antiqua" w:hAnsi="Book Antiqua" w:cs="Arial"/>
        </w:rPr>
        <w:t xml:space="preserve"> that the </w:t>
      </w:r>
      <w:r w:rsidRPr="00F91A14">
        <w:rPr>
          <w:rFonts w:ascii="Book Antiqua" w:hAnsi="Book Antiqua" w:cs="Arial"/>
        </w:rPr>
        <w:t>Respondent</w:t>
      </w:r>
      <w:r w:rsidR="00063D49" w:rsidRPr="00F91A14">
        <w:rPr>
          <w:rFonts w:ascii="Book Antiqua" w:hAnsi="Book Antiqua" w:cs="Arial"/>
        </w:rPr>
        <w:t xml:space="preserve"> had failed to discharge the evidential burden.  At </w:t>
      </w:r>
      <w:r>
        <w:rPr>
          <w:rFonts w:ascii="Book Antiqua" w:hAnsi="Book Antiqua" w:cs="Arial"/>
        </w:rPr>
        <w:t>[</w:t>
      </w:r>
      <w:r w:rsidR="00063D49" w:rsidRPr="00F91A14">
        <w:rPr>
          <w:rFonts w:ascii="Book Antiqua" w:hAnsi="Book Antiqua" w:cs="Arial"/>
        </w:rPr>
        <w:t>20</w:t>
      </w:r>
      <w:r>
        <w:rPr>
          <w:rFonts w:ascii="Book Antiqua" w:hAnsi="Book Antiqua" w:cs="Arial"/>
        </w:rPr>
        <w:t>]</w:t>
      </w:r>
      <w:r w:rsidR="00063D49" w:rsidRPr="00F91A14">
        <w:rPr>
          <w:rFonts w:ascii="Book Antiqua" w:hAnsi="Book Antiqua" w:cs="Arial"/>
        </w:rPr>
        <w:t xml:space="preserve"> the </w:t>
      </w:r>
      <w:r w:rsidRPr="00F91A14">
        <w:rPr>
          <w:rFonts w:ascii="Book Antiqua" w:hAnsi="Book Antiqua" w:cs="Arial"/>
        </w:rPr>
        <w:t>Judge</w:t>
      </w:r>
      <w:r w:rsidR="00063D49" w:rsidRPr="00F91A14">
        <w:rPr>
          <w:rFonts w:ascii="Book Antiqua" w:hAnsi="Book Antiqua" w:cs="Arial"/>
        </w:rPr>
        <w:t xml:space="preserve"> states</w:t>
      </w:r>
      <w:r>
        <w:rPr>
          <w:rFonts w:ascii="Book Antiqua" w:hAnsi="Book Antiqua" w:cs="Arial"/>
        </w:rPr>
        <w:t>:</w:t>
      </w:r>
      <w:r w:rsidR="00063D49" w:rsidRPr="00F91A14">
        <w:rPr>
          <w:rFonts w:ascii="Book Antiqua" w:hAnsi="Book Antiqua" w:cs="Arial"/>
        </w:rPr>
        <w:t xml:space="preserve"> </w:t>
      </w:r>
    </w:p>
    <w:p w:rsidR="00F91A14" w:rsidRDefault="00F91A14" w:rsidP="00F91A14">
      <w:pPr>
        <w:pStyle w:val="ListParagraph"/>
        <w:ind w:left="570"/>
        <w:jc w:val="both"/>
        <w:rPr>
          <w:rFonts w:ascii="Book Antiqua" w:hAnsi="Book Antiqua" w:cs="Arial"/>
        </w:rPr>
      </w:pPr>
    </w:p>
    <w:p w:rsidR="00F91A14" w:rsidRDefault="00063D49" w:rsidP="00F91A14">
      <w:pPr>
        <w:pStyle w:val="ListParagraph"/>
        <w:ind w:left="570"/>
        <w:jc w:val="both"/>
        <w:rPr>
          <w:rFonts w:ascii="Book Antiqua" w:hAnsi="Book Antiqua" w:cs="Arial"/>
        </w:rPr>
      </w:pPr>
      <w:r w:rsidRPr="00F91A14">
        <w:rPr>
          <w:rFonts w:ascii="Book Antiqua" w:hAnsi="Book Antiqua" w:cs="Arial"/>
        </w:rPr>
        <w:t xml:space="preserve">“I find the </w:t>
      </w:r>
      <w:r w:rsidR="00F91A14">
        <w:rPr>
          <w:rFonts w:ascii="Book Antiqua" w:hAnsi="Book Antiqua" w:cs="Arial"/>
        </w:rPr>
        <w:t>r</w:t>
      </w:r>
      <w:r w:rsidR="00F91A14" w:rsidRPr="00F91A14">
        <w:rPr>
          <w:rFonts w:ascii="Book Antiqua" w:hAnsi="Book Antiqua" w:cs="Arial"/>
        </w:rPr>
        <w:t>espondent</w:t>
      </w:r>
      <w:r w:rsidRPr="00F91A14">
        <w:rPr>
          <w:rFonts w:ascii="Book Antiqua" w:hAnsi="Book Antiqua" w:cs="Arial"/>
        </w:rPr>
        <w:t xml:space="preserve"> has failed to discharge the initial burden of proof in demonstrating that the </w:t>
      </w:r>
      <w:r w:rsidR="00F91A14">
        <w:rPr>
          <w:rFonts w:ascii="Book Antiqua" w:hAnsi="Book Antiqua" w:cs="Arial"/>
        </w:rPr>
        <w:t>a</w:t>
      </w:r>
      <w:r w:rsidR="00F91A14" w:rsidRPr="00F91A14">
        <w:rPr>
          <w:rFonts w:ascii="Book Antiqua" w:hAnsi="Book Antiqua" w:cs="Arial"/>
        </w:rPr>
        <w:t>ppellant</w:t>
      </w:r>
      <w:r w:rsidRPr="00F91A14">
        <w:rPr>
          <w:rFonts w:ascii="Book Antiqua" w:hAnsi="Book Antiqua" w:cs="Arial"/>
        </w:rPr>
        <w:t xml:space="preserve"> is a dishonest </w:t>
      </w:r>
      <w:r w:rsidR="00F91A14">
        <w:rPr>
          <w:rFonts w:ascii="Book Antiqua" w:hAnsi="Book Antiqua" w:cs="Arial"/>
        </w:rPr>
        <w:t>a</w:t>
      </w:r>
      <w:r w:rsidR="00F91A14" w:rsidRPr="00F91A14">
        <w:rPr>
          <w:rFonts w:ascii="Book Antiqua" w:hAnsi="Book Antiqua" w:cs="Arial"/>
        </w:rPr>
        <w:t>ppellant</w:t>
      </w:r>
      <w:r w:rsidR="00F91A14">
        <w:rPr>
          <w:rFonts w:ascii="Book Antiqua" w:hAnsi="Book Antiqua" w:cs="Arial"/>
        </w:rPr>
        <w:t>,</w:t>
      </w:r>
      <w:r w:rsidRPr="00F91A14">
        <w:rPr>
          <w:rFonts w:ascii="Book Antiqua" w:hAnsi="Book Antiqua" w:cs="Arial"/>
        </w:rPr>
        <w:t xml:space="preserve"> particularly in light of the fact that his test schools were not declared invalid and there was no evidence of a proxy test taker in the </w:t>
      </w:r>
      <w:r w:rsidR="00F91A14">
        <w:rPr>
          <w:rFonts w:ascii="Book Antiqua" w:hAnsi="Book Antiqua" w:cs="Arial"/>
        </w:rPr>
        <w:t>a</w:t>
      </w:r>
      <w:r w:rsidR="00F91A14" w:rsidRPr="00F91A14">
        <w:rPr>
          <w:rFonts w:ascii="Book Antiqua" w:hAnsi="Book Antiqua" w:cs="Arial"/>
        </w:rPr>
        <w:t>ppellant</w:t>
      </w:r>
      <w:r w:rsidRPr="00F91A14">
        <w:rPr>
          <w:rFonts w:ascii="Book Antiqua" w:hAnsi="Book Antiqua" w:cs="Arial"/>
        </w:rPr>
        <w:t>’s speaking test.”</w:t>
      </w:r>
    </w:p>
    <w:p w:rsidR="00F91A14" w:rsidRPr="00F91A14" w:rsidRDefault="00F91A14" w:rsidP="00F91A14">
      <w:pPr>
        <w:pStyle w:val="ListParagraph"/>
        <w:rPr>
          <w:rFonts w:ascii="Book Antiqua" w:hAnsi="Book Antiqua" w:cs="Arial"/>
        </w:rPr>
      </w:pPr>
    </w:p>
    <w:p w:rsidR="00063D49" w:rsidRDefault="00063D49" w:rsidP="00F91A14">
      <w:pPr>
        <w:pStyle w:val="ListParagraph"/>
        <w:numPr>
          <w:ilvl w:val="0"/>
          <w:numId w:val="1"/>
        </w:numPr>
        <w:jc w:val="both"/>
        <w:rPr>
          <w:rFonts w:ascii="Book Antiqua" w:hAnsi="Book Antiqua" w:cs="Arial"/>
        </w:rPr>
      </w:pPr>
      <w:r w:rsidRPr="00F91A14">
        <w:rPr>
          <w:rFonts w:ascii="Book Antiqua" w:hAnsi="Book Antiqua" w:cs="Arial"/>
        </w:rPr>
        <w:t xml:space="preserve">It was </w:t>
      </w:r>
      <w:r w:rsidR="00F91A14">
        <w:rPr>
          <w:rFonts w:ascii="Book Antiqua" w:hAnsi="Book Antiqua" w:cs="Arial"/>
        </w:rPr>
        <w:t xml:space="preserve">submitted </w:t>
      </w:r>
      <w:r w:rsidRPr="00F91A14">
        <w:rPr>
          <w:rFonts w:ascii="Book Antiqua" w:hAnsi="Book Antiqua" w:cs="Arial"/>
        </w:rPr>
        <w:t>by Mr</w:t>
      </w:r>
      <w:r w:rsidR="00F91A14">
        <w:rPr>
          <w:rFonts w:ascii="Book Antiqua" w:hAnsi="Book Antiqua" w:cs="Arial"/>
        </w:rPr>
        <w:t>.</w:t>
      </w:r>
      <w:r w:rsidRPr="00F91A14">
        <w:rPr>
          <w:rFonts w:ascii="Book Antiqua" w:hAnsi="Book Antiqua" w:cs="Arial"/>
        </w:rPr>
        <w:t xml:space="preserve"> Melvin that the evidence provided by the </w:t>
      </w:r>
      <w:r w:rsidR="00F91A14" w:rsidRPr="00F91A14">
        <w:rPr>
          <w:rFonts w:ascii="Book Antiqua" w:hAnsi="Book Antiqua" w:cs="Arial"/>
        </w:rPr>
        <w:t>Respondent</w:t>
      </w:r>
      <w:r w:rsidRPr="00F91A14">
        <w:rPr>
          <w:rFonts w:ascii="Book Antiqua" w:hAnsi="Book Antiqua" w:cs="Arial"/>
        </w:rPr>
        <w:t xml:space="preserve"> was sufficient to meet the evidential burden</w:t>
      </w:r>
      <w:r w:rsidR="00F91A14">
        <w:rPr>
          <w:rFonts w:ascii="Book Antiqua" w:hAnsi="Book Antiqua" w:cs="Arial"/>
        </w:rPr>
        <w:t>,</w:t>
      </w:r>
      <w:r w:rsidRPr="00F91A14">
        <w:rPr>
          <w:rFonts w:ascii="Book Antiqua" w:hAnsi="Book Antiqua" w:cs="Arial"/>
        </w:rPr>
        <w:t xml:space="preserve"> and that therefore the burden of proof shifted to the </w:t>
      </w:r>
      <w:r w:rsidR="00F91A14" w:rsidRPr="00F91A14">
        <w:rPr>
          <w:rFonts w:ascii="Book Antiqua" w:hAnsi="Book Antiqua" w:cs="Arial"/>
        </w:rPr>
        <w:t>Appellant</w:t>
      </w:r>
      <w:r w:rsidR="00306974">
        <w:rPr>
          <w:rFonts w:ascii="Book Antiqua" w:hAnsi="Book Antiqua" w:cs="Arial"/>
        </w:rPr>
        <w:t xml:space="preserve"> who </w:t>
      </w:r>
      <w:r w:rsidRPr="00F91A14">
        <w:rPr>
          <w:rFonts w:ascii="Book Antiqua" w:hAnsi="Book Antiqua" w:cs="Arial"/>
        </w:rPr>
        <w:t xml:space="preserve">was then required to provide evidence to rebut the </w:t>
      </w:r>
      <w:r w:rsidR="00F91A14" w:rsidRPr="00F91A14">
        <w:rPr>
          <w:rFonts w:ascii="Book Antiqua" w:hAnsi="Book Antiqua" w:cs="Arial"/>
        </w:rPr>
        <w:t>Respondent</w:t>
      </w:r>
      <w:r w:rsidRPr="00F91A14">
        <w:rPr>
          <w:rFonts w:ascii="Book Antiqua" w:hAnsi="Book Antiqua" w:cs="Arial"/>
        </w:rPr>
        <w:t xml:space="preserve">’s allegation of deception. </w:t>
      </w:r>
      <w:r w:rsidR="00306974">
        <w:rPr>
          <w:rFonts w:ascii="Book Antiqua" w:hAnsi="Book Antiqua" w:cs="Arial"/>
        </w:rPr>
        <w:t xml:space="preserve"> He</w:t>
      </w:r>
      <w:r w:rsidRPr="00F91A14">
        <w:rPr>
          <w:rFonts w:ascii="Book Antiqua" w:hAnsi="Book Antiqua" w:cs="Arial"/>
        </w:rPr>
        <w:t xml:space="preserve"> submitted that ETS </w:t>
      </w:r>
      <w:r w:rsidR="00D310C6" w:rsidRPr="00F91A14">
        <w:rPr>
          <w:rFonts w:ascii="Book Antiqua" w:hAnsi="Book Antiqua" w:cs="Arial"/>
        </w:rPr>
        <w:t xml:space="preserve">had </w:t>
      </w:r>
      <w:r w:rsidRPr="00F91A14">
        <w:rPr>
          <w:rFonts w:ascii="Book Antiqua" w:hAnsi="Book Antiqua" w:cs="Arial"/>
        </w:rPr>
        <w:t>cancelled the test</w:t>
      </w:r>
      <w:r w:rsidR="00F91A14">
        <w:rPr>
          <w:rFonts w:ascii="Book Antiqua" w:hAnsi="Book Antiqua" w:cs="Arial"/>
        </w:rPr>
        <w:t xml:space="preserve">.  The </w:t>
      </w:r>
      <w:r w:rsidRPr="00F91A14">
        <w:rPr>
          <w:rFonts w:ascii="Book Antiqua" w:hAnsi="Book Antiqua" w:cs="Arial"/>
        </w:rPr>
        <w:t>recent case law showed that there was no difference between an invalid and a questionable result</w:t>
      </w:r>
      <w:r w:rsidR="00F91A14">
        <w:rPr>
          <w:rFonts w:ascii="Book Antiqua" w:hAnsi="Book Antiqua" w:cs="Arial"/>
        </w:rPr>
        <w:t>, and that</w:t>
      </w:r>
      <w:r w:rsidRPr="00F91A14">
        <w:rPr>
          <w:rFonts w:ascii="Book Antiqua" w:hAnsi="Book Antiqua" w:cs="Arial"/>
        </w:rPr>
        <w:t xml:space="preserve"> both of these were </w:t>
      </w:r>
      <w:r w:rsidR="00F91A14">
        <w:rPr>
          <w:rFonts w:ascii="Book Antiqua" w:hAnsi="Book Antiqua" w:cs="Arial"/>
        </w:rPr>
        <w:t>“</w:t>
      </w:r>
      <w:r w:rsidRPr="00F91A14">
        <w:rPr>
          <w:rFonts w:ascii="Book Antiqua" w:hAnsi="Book Antiqua" w:cs="Arial"/>
        </w:rPr>
        <w:t>cancelled</w:t>
      </w:r>
      <w:r w:rsidR="00F91A14">
        <w:rPr>
          <w:rFonts w:ascii="Book Antiqua" w:hAnsi="Book Antiqua" w:cs="Arial"/>
        </w:rPr>
        <w:t>”</w:t>
      </w:r>
      <w:r w:rsidRPr="00F91A14">
        <w:rPr>
          <w:rFonts w:ascii="Book Antiqua" w:hAnsi="Book Antiqua" w:cs="Arial"/>
        </w:rPr>
        <w:t xml:space="preserve"> by ETS</w:t>
      </w:r>
      <w:r w:rsidR="00F91A14">
        <w:rPr>
          <w:rFonts w:ascii="Book Antiqua" w:hAnsi="Book Antiqua" w:cs="Arial"/>
        </w:rPr>
        <w:t>.  I</w:t>
      </w:r>
      <w:r w:rsidRPr="00F91A14">
        <w:rPr>
          <w:rFonts w:ascii="Book Antiqua" w:hAnsi="Book Antiqua" w:cs="Arial"/>
        </w:rPr>
        <w:t xml:space="preserve">t was </w:t>
      </w:r>
      <w:r w:rsidR="00F91A14">
        <w:rPr>
          <w:rFonts w:ascii="Book Antiqua" w:hAnsi="Book Antiqua" w:cs="Arial"/>
        </w:rPr>
        <w:t xml:space="preserve">therefore </w:t>
      </w:r>
      <w:r w:rsidRPr="00F91A14">
        <w:rPr>
          <w:rFonts w:ascii="Book Antiqua" w:hAnsi="Book Antiqua" w:cs="Arial"/>
        </w:rPr>
        <w:t>not of any relevance whether a case had been held to be invalid or questionable.</w:t>
      </w:r>
      <w:r w:rsidR="007411D6" w:rsidRPr="00F91A14">
        <w:rPr>
          <w:rFonts w:ascii="Book Antiqua" w:hAnsi="Book Antiqua" w:cs="Arial"/>
        </w:rPr>
        <w:t xml:space="preserve">  </w:t>
      </w:r>
    </w:p>
    <w:p w:rsidR="00F91A14" w:rsidRDefault="00F91A14" w:rsidP="00F91A14">
      <w:pPr>
        <w:pStyle w:val="ListParagraph"/>
        <w:ind w:left="570"/>
        <w:jc w:val="both"/>
        <w:rPr>
          <w:rFonts w:ascii="Book Antiqua" w:hAnsi="Book Antiqua" w:cs="Arial"/>
        </w:rPr>
      </w:pPr>
    </w:p>
    <w:p w:rsidR="00F91A14" w:rsidRDefault="001C60D4" w:rsidP="00F91A14">
      <w:pPr>
        <w:pStyle w:val="ListParagraph"/>
        <w:numPr>
          <w:ilvl w:val="0"/>
          <w:numId w:val="1"/>
        </w:numPr>
        <w:jc w:val="both"/>
        <w:rPr>
          <w:rFonts w:ascii="Book Antiqua" w:hAnsi="Book Antiqua" w:cs="Arial"/>
        </w:rPr>
      </w:pPr>
      <w:r w:rsidRPr="00F91A14">
        <w:rPr>
          <w:rFonts w:ascii="Book Antiqua" w:hAnsi="Book Antiqua" w:cs="Arial"/>
        </w:rPr>
        <w:t xml:space="preserve">I was referred </w:t>
      </w:r>
      <w:r w:rsidR="00EF01EE" w:rsidRPr="00F91A14">
        <w:rPr>
          <w:rFonts w:ascii="Book Antiqua" w:hAnsi="Book Antiqua" w:cs="Arial"/>
        </w:rPr>
        <w:t xml:space="preserve">to the cases of </w:t>
      </w:r>
      <w:r w:rsidR="00EF01EE" w:rsidRPr="00F91A14">
        <w:rPr>
          <w:rFonts w:ascii="Book Antiqua" w:hAnsi="Book Antiqua" w:cs="Arial"/>
          <w:u w:val="single"/>
        </w:rPr>
        <w:t>Ahsan</w:t>
      </w:r>
      <w:r w:rsidR="00EF01EE" w:rsidRPr="00F91A14">
        <w:rPr>
          <w:rFonts w:ascii="Book Antiqua" w:hAnsi="Book Antiqua" w:cs="Arial"/>
        </w:rPr>
        <w:t xml:space="preserve"> [2017] EWCA </w:t>
      </w:r>
      <w:proofErr w:type="spellStart"/>
      <w:r w:rsidR="00EF01EE" w:rsidRPr="00F91A14">
        <w:rPr>
          <w:rFonts w:ascii="Book Antiqua" w:hAnsi="Book Antiqua" w:cs="Arial"/>
        </w:rPr>
        <w:t>Civ</w:t>
      </w:r>
      <w:proofErr w:type="spellEnd"/>
      <w:r w:rsidR="00EF01EE" w:rsidRPr="00F91A14">
        <w:rPr>
          <w:rFonts w:ascii="Book Antiqua" w:hAnsi="Book Antiqua" w:cs="Arial"/>
        </w:rPr>
        <w:t xml:space="preserve"> 2009, </w:t>
      </w:r>
      <w:proofErr w:type="spellStart"/>
      <w:r w:rsidR="00EF01EE" w:rsidRPr="00F91A14">
        <w:rPr>
          <w:rFonts w:ascii="Book Antiqua" w:hAnsi="Book Antiqua" w:cs="Arial"/>
          <w:u w:val="single"/>
        </w:rPr>
        <w:t>Gaogalalwe</w:t>
      </w:r>
      <w:proofErr w:type="spellEnd"/>
      <w:r w:rsidR="00EF01EE" w:rsidRPr="00F91A14">
        <w:rPr>
          <w:rFonts w:ascii="Book Antiqua" w:hAnsi="Book Antiqua" w:cs="Arial"/>
        </w:rPr>
        <w:t xml:space="preserve"> [2017] EWHC 1709 (Admin), </w:t>
      </w:r>
      <w:r w:rsidR="00EF01EE" w:rsidRPr="00F91A14">
        <w:rPr>
          <w:rFonts w:ascii="Book Antiqua" w:hAnsi="Book Antiqua" w:cs="Arial"/>
          <w:u w:val="single"/>
        </w:rPr>
        <w:t>Nawaz (ETS</w:t>
      </w:r>
      <w:r w:rsidR="00F91A14" w:rsidRPr="00F91A14">
        <w:rPr>
          <w:rFonts w:ascii="Book Antiqua" w:hAnsi="Book Antiqua" w:cs="Arial"/>
          <w:u w:val="single"/>
        </w:rPr>
        <w:t>: review standard/</w:t>
      </w:r>
      <w:r w:rsidR="00EF01EE" w:rsidRPr="00F91A14">
        <w:rPr>
          <w:rFonts w:ascii="Book Antiqua" w:hAnsi="Book Antiqua" w:cs="Arial"/>
          <w:u w:val="single"/>
        </w:rPr>
        <w:t>evidential basis)</w:t>
      </w:r>
      <w:r w:rsidR="00EF01EE" w:rsidRPr="00F91A14">
        <w:rPr>
          <w:rFonts w:ascii="Book Antiqua" w:hAnsi="Book Antiqua" w:cs="Arial"/>
        </w:rPr>
        <w:t xml:space="preserve"> [2017] UKUT 00288 (IAC), </w:t>
      </w:r>
      <w:r w:rsidR="00EF01EE" w:rsidRPr="00F91A14">
        <w:rPr>
          <w:rFonts w:ascii="Book Antiqua" w:hAnsi="Book Antiqua" w:cs="Arial"/>
          <w:u w:val="single"/>
        </w:rPr>
        <w:t xml:space="preserve">KS </w:t>
      </w:r>
      <w:r w:rsidR="00F91A14" w:rsidRPr="00F91A14">
        <w:rPr>
          <w:rFonts w:ascii="Book Antiqua" w:hAnsi="Book Antiqua" w:cs="Arial"/>
          <w:u w:val="single"/>
        </w:rPr>
        <w:t>(India)</w:t>
      </w:r>
      <w:r w:rsidR="00F91A14" w:rsidRPr="00F91A14">
        <w:rPr>
          <w:rFonts w:ascii="Book Antiqua" w:hAnsi="Book Antiqua" w:cs="Arial"/>
        </w:rPr>
        <w:t xml:space="preserve"> </w:t>
      </w:r>
      <w:r w:rsidR="00EF01EE" w:rsidRPr="00F91A14">
        <w:rPr>
          <w:rFonts w:ascii="Book Antiqua" w:hAnsi="Book Antiqua" w:cs="Arial"/>
        </w:rPr>
        <w:t xml:space="preserve">[2018] EWCA </w:t>
      </w:r>
      <w:proofErr w:type="spellStart"/>
      <w:r w:rsidR="00EF01EE" w:rsidRPr="00F91A14">
        <w:rPr>
          <w:rFonts w:ascii="Book Antiqua" w:hAnsi="Book Antiqua" w:cs="Arial"/>
        </w:rPr>
        <w:t>Civ</w:t>
      </w:r>
      <w:proofErr w:type="spellEnd"/>
      <w:r w:rsidR="00EF01EE" w:rsidRPr="00F91A14">
        <w:rPr>
          <w:rFonts w:ascii="Book Antiqua" w:hAnsi="Book Antiqua" w:cs="Arial"/>
        </w:rPr>
        <w:t xml:space="preserve"> 836</w:t>
      </w:r>
      <w:r w:rsidR="00F91A14">
        <w:t xml:space="preserve">.  </w:t>
      </w:r>
      <w:r w:rsidR="00F91A14">
        <w:rPr>
          <w:rFonts w:ascii="Book Antiqua" w:hAnsi="Book Antiqua" w:cs="Arial"/>
        </w:rPr>
        <w:t xml:space="preserve"> Miss. Shaw </w:t>
      </w:r>
      <w:r w:rsidR="00EF01EE" w:rsidRPr="00F91A14">
        <w:rPr>
          <w:rFonts w:ascii="Book Antiqua" w:hAnsi="Book Antiqua" w:cs="Arial"/>
        </w:rPr>
        <w:t xml:space="preserve">referred </w:t>
      </w:r>
      <w:r w:rsidR="00F91A14">
        <w:rPr>
          <w:rFonts w:ascii="Book Antiqua" w:hAnsi="Book Antiqua" w:cs="Arial"/>
        </w:rPr>
        <w:t xml:space="preserve">me </w:t>
      </w:r>
      <w:r w:rsidR="00EF01EE" w:rsidRPr="00F91A14">
        <w:rPr>
          <w:rFonts w:ascii="Book Antiqua" w:hAnsi="Book Antiqua" w:cs="Arial"/>
        </w:rPr>
        <w:t xml:space="preserve">to the case of </w:t>
      </w:r>
      <w:r w:rsidR="000260D7">
        <w:rPr>
          <w:rFonts w:ascii="Book Antiqua" w:hAnsi="Book Antiqua" w:cs="Arial"/>
          <w:u w:val="single"/>
        </w:rPr>
        <w:t>Shehzad and Chowdhu</w:t>
      </w:r>
      <w:r w:rsidR="00EF01EE" w:rsidRPr="00F91A14">
        <w:rPr>
          <w:rFonts w:ascii="Book Antiqua" w:hAnsi="Book Antiqua" w:cs="Arial"/>
          <w:u w:val="single"/>
        </w:rPr>
        <w:t>ry</w:t>
      </w:r>
      <w:r w:rsidR="00EF01EE" w:rsidRPr="00F91A14">
        <w:rPr>
          <w:rFonts w:ascii="Book Antiqua" w:hAnsi="Book Antiqua" w:cs="Arial"/>
        </w:rPr>
        <w:t xml:space="preserve"> [2016] EWCA </w:t>
      </w:r>
      <w:proofErr w:type="spellStart"/>
      <w:r w:rsidR="00EF01EE" w:rsidRPr="00F91A14">
        <w:rPr>
          <w:rFonts w:ascii="Book Antiqua" w:hAnsi="Book Antiqua" w:cs="Arial"/>
        </w:rPr>
        <w:t>Civ</w:t>
      </w:r>
      <w:proofErr w:type="spellEnd"/>
      <w:r w:rsidR="00EF01EE" w:rsidRPr="00F91A14">
        <w:rPr>
          <w:rFonts w:ascii="Book Antiqua" w:hAnsi="Book Antiqua" w:cs="Arial"/>
        </w:rPr>
        <w:t xml:space="preserve"> 615.</w:t>
      </w:r>
      <w:r w:rsidR="009776B6" w:rsidRPr="00F91A14">
        <w:rPr>
          <w:rFonts w:ascii="Book Antiqua" w:hAnsi="Book Antiqua" w:cs="Arial"/>
        </w:rPr>
        <w:t xml:space="preserve">  It is this latter case on which the </w:t>
      </w:r>
      <w:r w:rsidR="00F91A14" w:rsidRPr="00F91A14">
        <w:rPr>
          <w:rFonts w:ascii="Book Antiqua" w:hAnsi="Book Antiqua" w:cs="Arial"/>
        </w:rPr>
        <w:t>Judge</w:t>
      </w:r>
      <w:r w:rsidR="009776B6" w:rsidRPr="00F91A14">
        <w:rPr>
          <w:rFonts w:ascii="Book Antiqua" w:hAnsi="Book Antiqua" w:cs="Arial"/>
        </w:rPr>
        <w:t xml:space="preserve"> relied when at [12] she </w:t>
      </w:r>
      <w:r w:rsidR="00F91A14">
        <w:rPr>
          <w:rFonts w:ascii="Book Antiqua" w:hAnsi="Book Antiqua" w:cs="Arial"/>
        </w:rPr>
        <w:t xml:space="preserve">stated that it </w:t>
      </w:r>
      <w:r w:rsidR="009776B6" w:rsidRPr="00F91A14">
        <w:rPr>
          <w:rFonts w:ascii="Book Antiqua" w:hAnsi="Book Antiqua" w:cs="Arial"/>
        </w:rPr>
        <w:t xml:space="preserve">had held that </w:t>
      </w:r>
      <w:r w:rsidR="00F91A14">
        <w:rPr>
          <w:rFonts w:ascii="Book Antiqua" w:hAnsi="Book Antiqua" w:cs="Arial"/>
        </w:rPr>
        <w:t>“</w:t>
      </w:r>
      <w:r w:rsidR="009776B6" w:rsidRPr="00F91A14">
        <w:rPr>
          <w:rFonts w:ascii="Book Antiqua" w:hAnsi="Book Antiqua" w:cs="Arial"/>
        </w:rPr>
        <w:t xml:space="preserve">it was acknowledged that in </w:t>
      </w:r>
      <w:r w:rsidR="00F91A14">
        <w:rPr>
          <w:rFonts w:ascii="Book Antiqua" w:hAnsi="Book Antiqua" w:cs="Arial"/>
        </w:rPr>
        <w:t>“</w:t>
      </w:r>
      <w:r w:rsidR="009776B6" w:rsidRPr="00F91A14">
        <w:rPr>
          <w:rFonts w:ascii="Book Antiqua" w:hAnsi="Book Antiqua" w:cs="Arial"/>
        </w:rPr>
        <w:t>questionable</w:t>
      </w:r>
      <w:r w:rsidR="00F91A14">
        <w:rPr>
          <w:rFonts w:ascii="Book Antiqua" w:hAnsi="Book Antiqua" w:cs="Arial"/>
        </w:rPr>
        <w:t>”</w:t>
      </w:r>
      <w:r w:rsidR="009776B6" w:rsidRPr="00F91A14">
        <w:rPr>
          <w:rFonts w:ascii="Book Antiqua" w:hAnsi="Book Antiqua" w:cs="Arial"/>
        </w:rPr>
        <w:t xml:space="preserve"> cases</w:t>
      </w:r>
      <w:r w:rsidR="00F91A14">
        <w:rPr>
          <w:rFonts w:ascii="Book Antiqua" w:hAnsi="Book Antiqua" w:cs="Arial"/>
        </w:rPr>
        <w:t>,</w:t>
      </w:r>
      <w:r w:rsidR="009776B6" w:rsidRPr="00F91A14">
        <w:rPr>
          <w:rFonts w:ascii="Book Antiqua" w:hAnsi="Book Antiqua" w:cs="Arial"/>
        </w:rPr>
        <w:t xml:space="preserve"> there may not have been deception</w:t>
      </w:r>
      <w:r w:rsidR="00F91A14">
        <w:rPr>
          <w:rFonts w:ascii="Book Antiqua" w:hAnsi="Book Antiqua" w:cs="Arial"/>
        </w:rPr>
        <w:t>” [25]</w:t>
      </w:r>
      <w:r w:rsidR="009776B6" w:rsidRPr="00F91A14">
        <w:rPr>
          <w:rFonts w:ascii="Book Antiqua" w:hAnsi="Book Antiqua" w:cs="Arial"/>
        </w:rPr>
        <w:t xml:space="preserve">.  </w:t>
      </w:r>
    </w:p>
    <w:p w:rsidR="00F91A14" w:rsidRPr="00F91A14" w:rsidRDefault="00F91A14" w:rsidP="00F91A14">
      <w:pPr>
        <w:pStyle w:val="ListParagraph"/>
        <w:rPr>
          <w:rFonts w:ascii="Book Antiqua" w:hAnsi="Book Antiqua" w:cs="Arial"/>
        </w:rPr>
      </w:pPr>
    </w:p>
    <w:p w:rsidR="00F91A14" w:rsidRDefault="00F91A14" w:rsidP="00F91A14">
      <w:pPr>
        <w:pStyle w:val="ListParagraph"/>
        <w:numPr>
          <w:ilvl w:val="0"/>
          <w:numId w:val="1"/>
        </w:numPr>
        <w:jc w:val="both"/>
        <w:rPr>
          <w:rFonts w:ascii="Book Antiqua" w:hAnsi="Book Antiqua" w:cs="Arial"/>
        </w:rPr>
      </w:pPr>
      <w:r>
        <w:rPr>
          <w:rFonts w:ascii="Book Antiqua" w:hAnsi="Book Antiqua" w:cs="Arial"/>
        </w:rPr>
        <w:t xml:space="preserve">I have carefully considered the </w:t>
      </w:r>
      <w:r w:rsidR="009776B6" w:rsidRPr="00F91A14">
        <w:rPr>
          <w:rFonts w:ascii="Book Antiqua" w:hAnsi="Book Antiqua" w:cs="Arial"/>
        </w:rPr>
        <w:t>case</w:t>
      </w:r>
      <w:r>
        <w:rPr>
          <w:rFonts w:ascii="Book Antiqua" w:hAnsi="Book Antiqua" w:cs="Arial"/>
        </w:rPr>
        <w:t>law provided,</w:t>
      </w:r>
      <w:r w:rsidR="009776B6" w:rsidRPr="00F91A14">
        <w:rPr>
          <w:rFonts w:ascii="Book Antiqua" w:hAnsi="Book Antiqua" w:cs="Arial"/>
        </w:rPr>
        <w:t xml:space="preserve"> in particular </w:t>
      </w:r>
      <w:r>
        <w:rPr>
          <w:rFonts w:ascii="Book Antiqua" w:hAnsi="Book Antiqua" w:cs="Arial"/>
        </w:rPr>
        <w:t xml:space="preserve">the case of </w:t>
      </w:r>
      <w:r w:rsidR="009776B6" w:rsidRPr="00F91A14">
        <w:rPr>
          <w:rFonts w:ascii="Book Antiqua" w:hAnsi="Book Antiqua" w:cs="Arial"/>
          <w:u w:val="single"/>
        </w:rPr>
        <w:t>Ahsan</w:t>
      </w:r>
      <w:r w:rsidR="009776B6" w:rsidRPr="00F91A14">
        <w:rPr>
          <w:rFonts w:ascii="Book Antiqua" w:hAnsi="Book Antiqua" w:cs="Arial"/>
        </w:rPr>
        <w:t xml:space="preserve"> whi</w:t>
      </w:r>
      <w:r w:rsidR="0001296B" w:rsidRPr="00F91A14">
        <w:rPr>
          <w:rFonts w:ascii="Book Antiqua" w:hAnsi="Book Antiqua" w:cs="Arial"/>
        </w:rPr>
        <w:t>ch set</w:t>
      </w:r>
      <w:r w:rsidR="009776B6" w:rsidRPr="00F91A14">
        <w:rPr>
          <w:rFonts w:ascii="Book Antiqua" w:hAnsi="Book Antiqua" w:cs="Arial"/>
        </w:rPr>
        <w:t xml:space="preserve"> out a summary of the TOEIC litigation to date</w:t>
      </w:r>
      <w:r w:rsidRPr="00F91A14">
        <w:rPr>
          <w:rFonts w:ascii="Book Antiqua" w:hAnsi="Book Antiqua" w:cs="Arial"/>
        </w:rPr>
        <w:t xml:space="preserve"> </w:t>
      </w:r>
      <w:r>
        <w:rPr>
          <w:rFonts w:ascii="Book Antiqua" w:hAnsi="Book Antiqua" w:cs="Arial"/>
        </w:rPr>
        <w:t>at [22]</w:t>
      </w:r>
      <w:r w:rsidRPr="00F91A14">
        <w:rPr>
          <w:rFonts w:ascii="Book Antiqua" w:hAnsi="Book Antiqua" w:cs="Arial"/>
        </w:rPr>
        <w:t xml:space="preserve"> to </w:t>
      </w:r>
      <w:r>
        <w:rPr>
          <w:rFonts w:ascii="Book Antiqua" w:hAnsi="Book Antiqua" w:cs="Arial"/>
        </w:rPr>
        <w:t>[</w:t>
      </w:r>
      <w:r w:rsidRPr="00F91A14">
        <w:rPr>
          <w:rFonts w:ascii="Book Antiqua" w:hAnsi="Book Antiqua" w:cs="Arial"/>
        </w:rPr>
        <w:t>33</w:t>
      </w:r>
      <w:r>
        <w:rPr>
          <w:rFonts w:ascii="Book Antiqua" w:hAnsi="Book Antiqua" w:cs="Arial"/>
        </w:rPr>
        <w:t>]</w:t>
      </w:r>
      <w:r w:rsidR="009776B6" w:rsidRPr="00F91A14">
        <w:rPr>
          <w:rFonts w:ascii="Book Antiqua" w:hAnsi="Book Antiqua" w:cs="Arial"/>
        </w:rPr>
        <w:t xml:space="preserve">.  </w:t>
      </w:r>
      <w:r>
        <w:rPr>
          <w:rFonts w:ascii="Book Antiqua" w:hAnsi="Book Antiqua" w:cs="Arial"/>
        </w:rPr>
        <w:t xml:space="preserve">Taking all of caselaw into account, </w:t>
      </w:r>
      <w:r w:rsidR="009776B6" w:rsidRPr="00F91A14">
        <w:rPr>
          <w:rFonts w:ascii="Book Antiqua" w:hAnsi="Book Antiqua" w:cs="Arial"/>
        </w:rPr>
        <w:t xml:space="preserve">I find that the evidence provided by the </w:t>
      </w:r>
      <w:r w:rsidRPr="00F91A14">
        <w:rPr>
          <w:rFonts w:ascii="Book Antiqua" w:hAnsi="Book Antiqua" w:cs="Arial"/>
        </w:rPr>
        <w:t>Respondent</w:t>
      </w:r>
      <w:r w:rsidR="009776B6" w:rsidRPr="00F91A14">
        <w:rPr>
          <w:rFonts w:ascii="Book Antiqua" w:hAnsi="Book Antiqua" w:cs="Arial"/>
        </w:rPr>
        <w:t xml:space="preserve"> was sufficient to discharge the evidential burden upon her.  </w:t>
      </w:r>
    </w:p>
    <w:p w:rsidR="00F91A14" w:rsidRPr="00815DFF" w:rsidRDefault="00F91A14" w:rsidP="00F91A14">
      <w:pPr>
        <w:pStyle w:val="ListParagraph"/>
        <w:rPr>
          <w:rFonts w:ascii="Book Antiqua" w:hAnsi="Book Antiqua" w:cs="Arial"/>
        </w:rPr>
      </w:pPr>
    </w:p>
    <w:p w:rsidR="00306974" w:rsidRPr="00306974" w:rsidRDefault="000260D7" w:rsidP="00306974">
      <w:pPr>
        <w:pStyle w:val="ListParagraph"/>
        <w:numPr>
          <w:ilvl w:val="0"/>
          <w:numId w:val="1"/>
        </w:numPr>
        <w:jc w:val="both"/>
        <w:rPr>
          <w:rFonts w:ascii="Book Antiqua" w:hAnsi="Book Antiqua" w:cs="Arial"/>
        </w:rPr>
      </w:pPr>
      <w:bookmarkStart w:id="2" w:name="para23"/>
      <w:r>
        <w:rPr>
          <w:rFonts w:ascii="Book Antiqua" w:hAnsi="Book Antiqua"/>
          <w:color w:val="000000"/>
        </w:rPr>
        <w:t>While I do not intend to repeat it all, i</w:t>
      </w:r>
      <w:r w:rsidR="00306974" w:rsidRPr="00306974">
        <w:rPr>
          <w:rFonts w:ascii="Book Antiqua" w:hAnsi="Book Antiqua"/>
          <w:color w:val="000000"/>
        </w:rPr>
        <w:t xml:space="preserve">t is useful to set out some of the summary </w:t>
      </w:r>
      <w:r w:rsidR="00306974">
        <w:rPr>
          <w:rFonts w:ascii="Book Antiqua" w:hAnsi="Book Antiqua"/>
          <w:color w:val="000000"/>
        </w:rPr>
        <w:t xml:space="preserve">of the caselaw </w:t>
      </w:r>
      <w:r w:rsidR="00306974" w:rsidRPr="00306974">
        <w:rPr>
          <w:rFonts w:ascii="Book Antiqua" w:hAnsi="Book Antiqua"/>
          <w:color w:val="000000"/>
        </w:rPr>
        <w:t xml:space="preserve">set out in </w:t>
      </w:r>
      <w:r w:rsidR="00815DFF" w:rsidRPr="00306974">
        <w:rPr>
          <w:rFonts w:ascii="Book Antiqua" w:hAnsi="Book Antiqua"/>
          <w:color w:val="000000"/>
          <w:u w:val="single"/>
        </w:rPr>
        <w:t>Ahsan</w:t>
      </w:r>
      <w:r w:rsidR="00306974" w:rsidRPr="00306974">
        <w:rPr>
          <w:rFonts w:ascii="Book Antiqua" w:hAnsi="Book Antiqua"/>
          <w:i/>
          <w:color w:val="000000"/>
        </w:rPr>
        <w:t xml:space="preserve">.  </w:t>
      </w:r>
      <w:r w:rsidR="00306974">
        <w:rPr>
          <w:rFonts w:ascii="Book Antiqua" w:hAnsi="Book Antiqua"/>
          <w:color w:val="000000"/>
        </w:rPr>
        <w:t>In relation to the Respondent’s evidential burden it states at [23]:</w:t>
      </w:r>
    </w:p>
    <w:p w:rsidR="00306974" w:rsidRPr="00306974" w:rsidRDefault="00306974" w:rsidP="00306974">
      <w:pPr>
        <w:pStyle w:val="ListParagraph"/>
        <w:rPr>
          <w:rFonts w:ascii="Book Antiqua" w:hAnsi="Book Antiqua"/>
          <w:color w:val="000000"/>
        </w:rPr>
      </w:pPr>
    </w:p>
    <w:p w:rsidR="00306974" w:rsidRPr="00306974" w:rsidRDefault="00815DFF" w:rsidP="000260D7">
      <w:pPr>
        <w:pStyle w:val="ListParagraph"/>
        <w:ind w:left="570"/>
        <w:jc w:val="both"/>
        <w:rPr>
          <w:rFonts w:ascii="Book Antiqua" w:hAnsi="Book Antiqua" w:cs="Arial"/>
        </w:rPr>
      </w:pPr>
      <w:r w:rsidRPr="00306974">
        <w:rPr>
          <w:rFonts w:ascii="Book Antiqua" w:hAnsi="Book Antiqua"/>
          <w:color w:val="000000"/>
        </w:rPr>
        <w:t xml:space="preserve">“The evidence supplied by the Secretary of State in the substantive TOEIC cases has developed over the course of the litigation.  In the earlier cases she sought to rely essentially on (a) generic evidence, given by two Home Office officials, Rebecca </w:t>
      </w:r>
      <w:r w:rsidRPr="00306974">
        <w:rPr>
          <w:rFonts w:ascii="Book Antiqua" w:hAnsi="Book Antiqua"/>
          <w:color w:val="000000"/>
        </w:rPr>
        <w:lastRenderedPageBreak/>
        <w:t>Collings and Peter Millington, about the reports received from ETS identifying results as “invalid” or “questionable”, and the methodology underlying those reports; and (b) the use of an “ETS Look Up Tool” to marry up those reports with the case of the individual appellant.  These cases were not always well-prepared, and in some the look-up tool evidence was not provided at all, or was provided so late that it was not admitted.  In more recent cases, however, the Secretary of State has supplemented that evidence by a report from another Home Office official, Adam Sewell, who has analysed the test results from a number of test centres in London.  On the basis of his evidence the Home Office case now is that certain centres were “fraud factories” and that all test results from those centres, generally or on certain dates, are bogus.  The centres in question include Elizabeth College, which has also been the result of a criminal investigation, under the name Project Façade.</w:t>
      </w:r>
      <w:bookmarkEnd w:id="2"/>
      <w:r w:rsidR="00306974" w:rsidRPr="00306974">
        <w:rPr>
          <w:rFonts w:ascii="Book Antiqua" w:hAnsi="Book Antiqua"/>
          <w:color w:val="000000"/>
        </w:rPr>
        <w:t>”</w:t>
      </w:r>
      <w:r w:rsidRPr="00306974">
        <w:rPr>
          <w:rFonts w:ascii="Book Antiqua" w:hAnsi="Book Antiqua"/>
          <w:color w:val="000000"/>
        </w:rPr>
        <w:t xml:space="preserve"> </w:t>
      </w:r>
    </w:p>
    <w:p w:rsidR="00306974" w:rsidRDefault="00306974" w:rsidP="00306974">
      <w:pPr>
        <w:pStyle w:val="ListParagraph"/>
        <w:ind w:left="570"/>
        <w:jc w:val="both"/>
        <w:rPr>
          <w:rFonts w:ascii="Book Antiqua" w:hAnsi="Book Antiqua" w:cs="Arial"/>
        </w:rPr>
      </w:pPr>
    </w:p>
    <w:p w:rsidR="00815DFF" w:rsidRPr="00306974" w:rsidRDefault="00815DFF" w:rsidP="00306974">
      <w:pPr>
        <w:pStyle w:val="ListParagraph"/>
        <w:numPr>
          <w:ilvl w:val="0"/>
          <w:numId w:val="1"/>
        </w:numPr>
        <w:jc w:val="both"/>
        <w:rPr>
          <w:rFonts w:ascii="Book Antiqua" w:hAnsi="Book Antiqua" w:cs="Arial"/>
        </w:rPr>
      </w:pPr>
      <w:r w:rsidRPr="00306974">
        <w:rPr>
          <w:rFonts w:ascii="Book Antiqua" w:hAnsi="Book Antiqua" w:cs="Arial"/>
        </w:rPr>
        <w:t xml:space="preserve">At [26] </w:t>
      </w:r>
      <w:r w:rsidRPr="00306974">
        <w:rPr>
          <w:rFonts w:ascii="Book Antiqua" w:hAnsi="Book Antiqua" w:cs="Arial"/>
          <w:u w:val="single"/>
        </w:rPr>
        <w:t>Ahsan</w:t>
      </w:r>
      <w:r w:rsidRPr="00306974">
        <w:rPr>
          <w:rFonts w:ascii="Book Antiqua" w:hAnsi="Book Antiqua" w:cs="Arial"/>
        </w:rPr>
        <w:t xml:space="preserve"> states, with reference to the case of </w:t>
      </w:r>
      <w:r w:rsidRPr="00306974">
        <w:rPr>
          <w:rFonts w:ascii="Book Antiqua" w:hAnsi="Book Antiqua" w:cs="Arial"/>
          <w:u w:val="single"/>
        </w:rPr>
        <w:t xml:space="preserve">SM and </w:t>
      </w:r>
      <w:proofErr w:type="spellStart"/>
      <w:r w:rsidRPr="00306974">
        <w:rPr>
          <w:rFonts w:ascii="Book Antiqua" w:hAnsi="Book Antiqua" w:cs="Arial"/>
          <w:u w:val="single"/>
        </w:rPr>
        <w:t>Qadir</w:t>
      </w:r>
      <w:proofErr w:type="spellEnd"/>
      <w:r w:rsidRPr="00306974">
        <w:rPr>
          <w:rFonts w:ascii="Book Antiqua" w:hAnsi="Book Antiqua" w:cs="Arial"/>
        </w:rPr>
        <w:t xml:space="preserve"> [2016] UKUT 229 (IAC):</w:t>
      </w:r>
    </w:p>
    <w:p w:rsidR="00815DFF" w:rsidRPr="00815DFF" w:rsidRDefault="00815DFF" w:rsidP="00815DFF">
      <w:pPr>
        <w:pStyle w:val="ListParagraph"/>
        <w:ind w:left="570"/>
        <w:jc w:val="both"/>
        <w:rPr>
          <w:rFonts w:ascii="Book Antiqua" w:hAnsi="Book Antiqua" w:cs="Arial"/>
        </w:rPr>
      </w:pPr>
    </w:p>
    <w:p w:rsidR="00AA4871" w:rsidRPr="00AA4871" w:rsidRDefault="00815DFF" w:rsidP="00306974">
      <w:pPr>
        <w:pStyle w:val="ListParagraph"/>
        <w:ind w:left="570"/>
        <w:jc w:val="both"/>
        <w:rPr>
          <w:rFonts w:ascii="Book Antiqua" w:hAnsi="Book Antiqua" w:cs="Arial"/>
        </w:rPr>
      </w:pPr>
      <w:r w:rsidRPr="00815DFF">
        <w:rPr>
          <w:rFonts w:ascii="Book Antiqua" w:hAnsi="Book Antiqua"/>
          <w:color w:val="000000"/>
        </w:rPr>
        <w:t xml:space="preserve">“The evidence of Ms Collings and Mr Middleton was criticised by the UT as displaying “multiple frailties”, which left open the possibility that false positive results might have arisen.  </w:t>
      </w:r>
      <w:proofErr w:type="gramStart"/>
      <w:r w:rsidRPr="00815DFF">
        <w:rPr>
          <w:rFonts w:ascii="Book Antiqua" w:hAnsi="Book Antiqua"/>
          <w:color w:val="000000"/>
        </w:rPr>
        <w:t>Nevertheless</w:t>
      </w:r>
      <w:proofErr w:type="gramEnd"/>
      <w:r w:rsidRPr="00815DFF">
        <w:rPr>
          <w:rFonts w:ascii="Book Antiqua" w:hAnsi="Book Antiqua"/>
          <w:color w:val="000000"/>
        </w:rPr>
        <w:t xml:space="preserve"> it was held to be (just) sufficient to transfer the evidential burden to the appellants to show that they had not cheated.</w:t>
      </w:r>
      <w:r w:rsidR="00AA4871">
        <w:rPr>
          <w:rFonts w:ascii="Book Antiqua" w:hAnsi="Book Antiqua"/>
          <w:color w:val="000000"/>
        </w:rPr>
        <w:t>”</w:t>
      </w:r>
    </w:p>
    <w:p w:rsidR="00AA4871" w:rsidRPr="00AA4871" w:rsidRDefault="00AA4871" w:rsidP="00AA4871">
      <w:pPr>
        <w:pStyle w:val="ListParagraph"/>
        <w:rPr>
          <w:rFonts w:ascii="Book Antiqua" w:hAnsi="Book Antiqua"/>
          <w:color w:val="000000"/>
        </w:rPr>
      </w:pPr>
    </w:p>
    <w:p w:rsidR="00AA4871" w:rsidRPr="00AA4871" w:rsidRDefault="00AA4871" w:rsidP="00550C22">
      <w:pPr>
        <w:pStyle w:val="ListParagraph"/>
        <w:numPr>
          <w:ilvl w:val="0"/>
          <w:numId w:val="1"/>
        </w:numPr>
        <w:jc w:val="both"/>
        <w:rPr>
          <w:rFonts w:ascii="Book Antiqua" w:hAnsi="Book Antiqua" w:cs="Arial"/>
        </w:rPr>
      </w:pPr>
      <w:r>
        <w:rPr>
          <w:rFonts w:ascii="Book Antiqua" w:hAnsi="Book Antiqua"/>
          <w:color w:val="000000"/>
        </w:rPr>
        <w:t xml:space="preserve">At [27] with reference to the case of </w:t>
      </w:r>
      <w:r w:rsidRPr="00AA4871">
        <w:rPr>
          <w:rFonts w:ascii="Book Antiqua" w:hAnsi="Book Antiqua"/>
          <w:color w:val="000000"/>
          <w:u w:val="single"/>
        </w:rPr>
        <w:t>Shehzad and Chowdhury</w:t>
      </w:r>
      <w:r>
        <w:rPr>
          <w:rFonts w:ascii="Book Antiqua" w:hAnsi="Book Antiqua"/>
          <w:color w:val="000000"/>
        </w:rPr>
        <w:t xml:space="preserve"> it states:</w:t>
      </w:r>
    </w:p>
    <w:p w:rsidR="00AA4871" w:rsidRPr="00AA4871" w:rsidRDefault="00AA4871" w:rsidP="00AA4871">
      <w:pPr>
        <w:pStyle w:val="ListParagraph"/>
        <w:rPr>
          <w:rFonts w:ascii="Book Antiqua" w:hAnsi="Book Antiqua"/>
          <w:color w:val="000000"/>
        </w:rPr>
      </w:pPr>
    </w:p>
    <w:p w:rsidR="00550C22" w:rsidRPr="00C25A28" w:rsidRDefault="00AA4871" w:rsidP="00306974">
      <w:pPr>
        <w:pStyle w:val="ListParagraph"/>
        <w:ind w:left="570"/>
        <w:jc w:val="both"/>
        <w:rPr>
          <w:rFonts w:ascii="Book Antiqua" w:hAnsi="Book Antiqua" w:cs="Arial"/>
        </w:rPr>
      </w:pPr>
      <w:r w:rsidRPr="00C25A28">
        <w:rPr>
          <w:rFonts w:ascii="Book Antiqua" w:hAnsi="Book Antiqua"/>
          <w:color w:val="000000"/>
        </w:rPr>
        <w:t>“The appeal in Mr Chowdhury’s case (brought from out of country) was allowed because the FTT had wrongly held that the Secretary of State’s evidence did not establish a </w:t>
      </w:r>
      <w:r w:rsidRPr="00C25A28">
        <w:rPr>
          <w:rFonts w:ascii="Book Antiqua" w:hAnsi="Book Antiqua"/>
          <w:i/>
          <w:iCs/>
          <w:color w:val="000000"/>
        </w:rPr>
        <w:t>prima facie</w:t>
      </w:r>
      <w:r w:rsidRPr="00C25A28">
        <w:rPr>
          <w:rFonts w:ascii="Book Antiqua" w:hAnsi="Book Antiqua"/>
          <w:color w:val="000000"/>
        </w:rPr>
        <w:t> case, and the appeal was remitted for a hearing to consider Mr Chowdhury’s evidence in answer.”</w:t>
      </w:r>
    </w:p>
    <w:p w:rsidR="00C25A28" w:rsidRPr="00C25A28" w:rsidRDefault="00C25A28" w:rsidP="00C25A28">
      <w:pPr>
        <w:pStyle w:val="ListParagraph"/>
        <w:rPr>
          <w:rFonts w:ascii="Book Antiqua" w:hAnsi="Book Antiqua" w:cs="Arial"/>
        </w:rPr>
      </w:pPr>
    </w:p>
    <w:p w:rsidR="00306974" w:rsidRDefault="00C25A28" w:rsidP="005F459C">
      <w:pPr>
        <w:pStyle w:val="ListParagraph"/>
        <w:numPr>
          <w:ilvl w:val="0"/>
          <w:numId w:val="1"/>
        </w:numPr>
        <w:ind w:left="567" w:hanging="567"/>
        <w:jc w:val="both"/>
        <w:rPr>
          <w:rFonts w:ascii="Book Antiqua" w:hAnsi="Book Antiqua" w:cs="Arial"/>
        </w:rPr>
      </w:pPr>
      <w:r>
        <w:rPr>
          <w:rFonts w:ascii="Book Antiqua" w:hAnsi="Book Antiqua" w:cs="Arial"/>
        </w:rPr>
        <w:t xml:space="preserve">I find that </w:t>
      </w:r>
      <w:r w:rsidRPr="00306974">
        <w:rPr>
          <w:rFonts w:ascii="Book Antiqua" w:hAnsi="Book Antiqua" w:cs="Arial"/>
          <w:u w:val="single"/>
        </w:rPr>
        <w:t>Ahsan</w:t>
      </w:r>
      <w:r>
        <w:rPr>
          <w:rFonts w:ascii="Book Antiqua" w:hAnsi="Book Antiqua" w:cs="Arial"/>
        </w:rPr>
        <w:t xml:space="preserve"> confirms</w:t>
      </w:r>
      <w:r w:rsidR="00306974">
        <w:rPr>
          <w:rFonts w:ascii="Book Antiqua" w:hAnsi="Book Antiqua" w:cs="Arial"/>
        </w:rPr>
        <w:t xml:space="preserve"> what the </w:t>
      </w:r>
      <w:r w:rsidR="000260D7">
        <w:rPr>
          <w:rFonts w:ascii="Book Antiqua" w:hAnsi="Book Antiqua" w:cs="Arial"/>
        </w:rPr>
        <w:t xml:space="preserve">earlier caselaw had established, </w:t>
      </w:r>
      <w:r>
        <w:rPr>
          <w:rFonts w:ascii="Book Antiqua" w:hAnsi="Book Antiqua" w:cs="Arial"/>
        </w:rPr>
        <w:t xml:space="preserve">that the </w:t>
      </w:r>
      <w:r w:rsidR="000260D7">
        <w:rPr>
          <w:rFonts w:ascii="Book Antiqua" w:hAnsi="Book Antiqua" w:cs="Arial"/>
        </w:rPr>
        <w:t xml:space="preserve">“generic </w:t>
      </w:r>
      <w:r>
        <w:rPr>
          <w:rFonts w:ascii="Book Antiqua" w:hAnsi="Book Antiqua" w:cs="Arial"/>
        </w:rPr>
        <w:t>evidence</w:t>
      </w:r>
      <w:r w:rsidR="000260D7">
        <w:rPr>
          <w:rFonts w:ascii="Book Antiqua" w:hAnsi="Book Antiqua" w:cs="Arial"/>
        </w:rPr>
        <w:t xml:space="preserve">” submitted by </w:t>
      </w:r>
      <w:r>
        <w:rPr>
          <w:rFonts w:ascii="Book Antiqua" w:hAnsi="Book Antiqua" w:cs="Arial"/>
        </w:rPr>
        <w:t xml:space="preserve">the Respondent is sufficient to discharge the initial evidential burden of proof.  </w:t>
      </w:r>
    </w:p>
    <w:p w:rsidR="000260D7" w:rsidRDefault="000260D7" w:rsidP="000260D7">
      <w:pPr>
        <w:jc w:val="both"/>
        <w:rPr>
          <w:rFonts w:ascii="Book Antiqua" w:hAnsi="Book Antiqua" w:cs="Arial"/>
        </w:rPr>
      </w:pPr>
    </w:p>
    <w:p w:rsidR="000260D7" w:rsidRDefault="000260D7" w:rsidP="000260D7">
      <w:pPr>
        <w:pStyle w:val="ListParagraph"/>
        <w:numPr>
          <w:ilvl w:val="0"/>
          <w:numId w:val="1"/>
        </w:numPr>
        <w:jc w:val="both"/>
        <w:rPr>
          <w:rFonts w:ascii="Book Antiqua" w:hAnsi="Book Antiqua" w:cs="Arial"/>
        </w:rPr>
      </w:pPr>
      <w:r>
        <w:rPr>
          <w:rFonts w:ascii="Book Antiqua" w:hAnsi="Book Antiqua" w:cs="Arial"/>
        </w:rPr>
        <w:t>T</w:t>
      </w:r>
      <w:r w:rsidRPr="00550C22">
        <w:rPr>
          <w:rFonts w:ascii="Book Antiqua" w:hAnsi="Book Antiqua" w:cs="Arial"/>
        </w:rPr>
        <w:t xml:space="preserve">he Judge </w:t>
      </w:r>
      <w:r>
        <w:rPr>
          <w:rFonts w:ascii="Book Antiqua" w:hAnsi="Book Antiqua" w:cs="Arial"/>
        </w:rPr>
        <w:t>pointed</w:t>
      </w:r>
      <w:r w:rsidRPr="00550C22">
        <w:rPr>
          <w:rFonts w:ascii="Book Antiqua" w:hAnsi="Book Antiqua" w:cs="Arial"/>
        </w:rPr>
        <w:t xml:space="preserve"> out </w:t>
      </w:r>
      <w:r>
        <w:rPr>
          <w:rFonts w:ascii="Book Antiqua" w:hAnsi="Book Antiqua" w:cs="Arial"/>
        </w:rPr>
        <w:t xml:space="preserve">the </w:t>
      </w:r>
      <w:r w:rsidRPr="00550C22">
        <w:rPr>
          <w:rFonts w:ascii="Book Antiqua" w:hAnsi="Book Antiqua" w:cs="Arial"/>
        </w:rPr>
        <w:t xml:space="preserve">discrepancies between the evidence provided </w:t>
      </w:r>
      <w:r>
        <w:rPr>
          <w:rFonts w:ascii="Book Antiqua" w:hAnsi="Book Antiqua" w:cs="Arial"/>
        </w:rPr>
        <w:t xml:space="preserve">by the Respondent </w:t>
      </w:r>
      <w:r w:rsidRPr="00550C22">
        <w:rPr>
          <w:rFonts w:ascii="Book Antiqua" w:hAnsi="Book Antiqua" w:cs="Arial"/>
        </w:rPr>
        <w:t xml:space="preserve">and </w:t>
      </w:r>
      <w:r>
        <w:rPr>
          <w:rFonts w:ascii="Book Antiqua" w:hAnsi="Book Antiqua" w:cs="Arial"/>
        </w:rPr>
        <w:t xml:space="preserve">the allegation in </w:t>
      </w:r>
      <w:r w:rsidRPr="00550C22">
        <w:rPr>
          <w:rFonts w:ascii="Book Antiqua" w:hAnsi="Book Antiqua" w:cs="Arial"/>
        </w:rPr>
        <w:t>the Reasons for Refusal Letter</w:t>
      </w:r>
      <w:r>
        <w:rPr>
          <w:rFonts w:ascii="Book Antiqua" w:hAnsi="Book Antiqua" w:cs="Arial"/>
        </w:rPr>
        <w:t xml:space="preserve"> [9].  However, irrespective of any discrepancy, </w:t>
      </w:r>
      <w:r w:rsidRPr="00550C22">
        <w:rPr>
          <w:rFonts w:ascii="Book Antiqua" w:hAnsi="Book Antiqua" w:cs="Arial"/>
        </w:rPr>
        <w:t xml:space="preserve">the Respondent </w:t>
      </w:r>
      <w:r>
        <w:rPr>
          <w:rFonts w:ascii="Book Antiqua" w:hAnsi="Book Antiqua" w:cs="Arial"/>
        </w:rPr>
        <w:t xml:space="preserve">had </w:t>
      </w:r>
      <w:r w:rsidRPr="00550C22">
        <w:rPr>
          <w:rFonts w:ascii="Book Antiqua" w:hAnsi="Book Antiqua" w:cs="Arial"/>
        </w:rPr>
        <w:t>provided evidence that the Appellant’s test had been cancelled by ETS as the result was questionable.</w:t>
      </w:r>
      <w:r>
        <w:rPr>
          <w:rFonts w:ascii="Book Antiqua" w:hAnsi="Book Antiqua" w:cs="Arial"/>
        </w:rPr>
        <w:t xml:space="preserve">  The evidence provided by the Respondent consisted of the statement of </w:t>
      </w:r>
      <w:proofErr w:type="spellStart"/>
      <w:r>
        <w:rPr>
          <w:rFonts w:ascii="Book Antiqua" w:hAnsi="Book Antiqua" w:cs="Arial"/>
        </w:rPr>
        <w:t>Jagdev</w:t>
      </w:r>
      <w:proofErr w:type="spellEnd"/>
      <w:r>
        <w:rPr>
          <w:rFonts w:ascii="Book Antiqua" w:hAnsi="Book Antiqua" w:cs="Arial"/>
        </w:rPr>
        <w:t xml:space="preserve"> Singh, the “look up tool”, evidence that all of the results from the test centres where the Appellant carried out the test were either questionable or invalid, the witness statements of Peter Millington and Rebecca Collings, the report of Professor French, and the record of an interview carried out with the Appellant.</w:t>
      </w:r>
      <w:r w:rsidRPr="00550C22">
        <w:rPr>
          <w:rFonts w:ascii="Book Antiqua" w:hAnsi="Book Antiqua" w:cs="Arial"/>
        </w:rPr>
        <w:t xml:space="preserve">  </w:t>
      </w:r>
    </w:p>
    <w:p w:rsidR="000260D7" w:rsidRPr="00550C22" w:rsidRDefault="000260D7" w:rsidP="000260D7">
      <w:pPr>
        <w:pStyle w:val="ListParagraph"/>
        <w:rPr>
          <w:rFonts w:ascii="Book Antiqua" w:hAnsi="Book Antiqua" w:cs="Arial"/>
        </w:rPr>
      </w:pPr>
    </w:p>
    <w:p w:rsidR="000260D7" w:rsidRDefault="000260D7" w:rsidP="000260D7">
      <w:pPr>
        <w:pStyle w:val="ListParagraph"/>
        <w:numPr>
          <w:ilvl w:val="0"/>
          <w:numId w:val="1"/>
        </w:numPr>
        <w:jc w:val="both"/>
        <w:rPr>
          <w:rFonts w:ascii="Book Antiqua" w:hAnsi="Book Antiqua" w:cs="Arial"/>
        </w:rPr>
      </w:pPr>
      <w:r>
        <w:rPr>
          <w:rFonts w:ascii="Book Antiqua" w:hAnsi="Book Antiqua" w:cs="Arial"/>
        </w:rPr>
        <w:t xml:space="preserve">I find that the </w:t>
      </w:r>
      <w:r w:rsidRPr="00550C22">
        <w:rPr>
          <w:rFonts w:ascii="Book Antiqua" w:hAnsi="Book Antiqua" w:cs="Arial"/>
        </w:rPr>
        <w:t xml:space="preserve">Respondent had provided both the </w:t>
      </w:r>
      <w:r>
        <w:rPr>
          <w:rFonts w:ascii="Book Antiqua" w:hAnsi="Book Antiqua" w:cs="Arial"/>
        </w:rPr>
        <w:t>“</w:t>
      </w:r>
      <w:r w:rsidRPr="00550C22">
        <w:rPr>
          <w:rFonts w:ascii="Book Antiqua" w:hAnsi="Book Antiqua" w:cs="Arial"/>
        </w:rPr>
        <w:t>generic evidence</w:t>
      </w:r>
      <w:r>
        <w:rPr>
          <w:rFonts w:ascii="Book Antiqua" w:hAnsi="Book Antiqua" w:cs="Arial"/>
        </w:rPr>
        <w:t>”</w:t>
      </w:r>
      <w:r w:rsidRPr="00550C22">
        <w:rPr>
          <w:rFonts w:ascii="Book Antiqua" w:hAnsi="Book Antiqua" w:cs="Arial"/>
        </w:rPr>
        <w:t xml:space="preserve"> as well as the witness statement of Mr</w:t>
      </w:r>
      <w:r>
        <w:rPr>
          <w:rFonts w:ascii="Book Antiqua" w:hAnsi="Book Antiqua" w:cs="Arial"/>
        </w:rPr>
        <w:t>.</w:t>
      </w:r>
      <w:r w:rsidRPr="00550C22">
        <w:rPr>
          <w:rFonts w:ascii="Book Antiqua" w:hAnsi="Book Antiqua" w:cs="Arial"/>
        </w:rPr>
        <w:t xml:space="preserve"> </w:t>
      </w:r>
      <w:proofErr w:type="spellStart"/>
      <w:r w:rsidRPr="00550C22">
        <w:rPr>
          <w:rFonts w:ascii="Book Antiqua" w:hAnsi="Book Antiqua" w:cs="Arial"/>
        </w:rPr>
        <w:t>Jagdev</w:t>
      </w:r>
      <w:proofErr w:type="spellEnd"/>
      <w:r w:rsidRPr="00550C22">
        <w:rPr>
          <w:rFonts w:ascii="Book Antiqua" w:hAnsi="Book Antiqua" w:cs="Arial"/>
        </w:rPr>
        <w:t xml:space="preserve"> Singh.  </w:t>
      </w:r>
      <w:r>
        <w:rPr>
          <w:rFonts w:ascii="Book Antiqua" w:hAnsi="Book Antiqua" w:cs="Arial"/>
        </w:rPr>
        <w:t>T</w:t>
      </w:r>
      <w:r w:rsidRPr="00550C22">
        <w:rPr>
          <w:rFonts w:ascii="Book Antiqua" w:hAnsi="Book Antiqua" w:cs="Arial"/>
        </w:rPr>
        <w:t xml:space="preserve">he Respondent </w:t>
      </w:r>
      <w:r>
        <w:rPr>
          <w:rFonts w:ascii="Book Antiqua" w:hAnsi="Book Antiqua" w:cs="Arial"/>
        </w:rPr>
        <w:t>did not provide</w:t>
      </w:r>
      <w:r w:rsidRPr="00550C22">
        <w:rPr>
          <w:rFonts w:ascii="Book Antiqua" w:hAnsi="Book Antiqua" w:cs="Arial"/>
        </w:rPr>
        <w:t xml:space="preserve"> any voice recordings </w:t>
      </w:r>
      <w:r>
        <w:rPr>
          <w:rFonts w:ascii="Book Antiqua" w:hAnsi="Book Antiqua" w:cs="Arial"/>
        </w:rPr>
        <w:t xml:space="preserve">but, </w:t>
      </w:r>
      <w:r w:rsidRPr="00550C22">
        <w:rPr>
          <w:rFonts w:ascii="Book Antiqua" w:hAnsi="Book Antiqua" w:cs="Arial"/>
        </w:rPr>
        <w:t xml:space="preserve">as is made clear in the case of </w:t>
      </w:r>
      <w:r w:rsidRPr="005F459C">
        <w:rPr>
          <w:rFonts w:ascii="Book Antiqua" w:hAnsi="Book Antiqua" w:cs="Arial"/>
          <w:u w:val="single"/>
        </w:rPr>
        <w:t>Ahsan</w:t>
      </w:r>
      <w:r w:rsidRPr="005F459C">
        <w:rPr>
          <w:rFonts w:ascii="Book Antiqua" w:hAnsi="Book Antiqua" w:cs="Arial"/>
        </w:rPr>
        <w:t>,</w:t>
      </w:r>
      <w:r w:rsidRPr="00550C22">
        <w:rPr>
          <w:rFonts w:ascii="Book Antiqua" w:hAnsi="Book Antiqua" w:cs="Arial"/>
        </w:rPr>
        <w:t xml:space="preserve"> now that those are available</w:t>
      </w:r>
      <w:r>
        <w:rPr>
          <w:rFonts w:ascii="Book Antiqua" w:hAnsi="Book Antiqua" w:cs="Arial"/>
        </w:rPr>
        <w:t>,</w:t>
      </w:r>
      <w:r w:rsidRPr="00550C22">
        <w:rPr>
          <w:rFonts w:ascii="Book Antiqua" w:hAnsi="Book Antiqua" w:cs="Arial"/>
        </w:rPr>
        <w:t xml:space="preserve"> it is for the Appellant to </w:t>
      </w:r>
      <w:r>
        <w:rPr>
          <w:rFonts w:ascii="Book Antiqua" w:hAnsi="Book Antiqua" w:cs="Arial"/>
        </w:rPr>
        <w:t>request his</w:t>
      </w:r>
      <w:r w:rsidRPr="00550C22">
        <w:rPr>
          <w:rFonts w:ascii="Book Antiqua" w:hAnsi="Book Antiqua" w:cs="Arial"/>
        </w:rPr>
        <w:t>.  At [</w:t>
      </w:r>
      <w:r>
        <w:rPr>
          <w:rFonts w:ascii="Book Antiqua" w:hAnsi="Book Antiqua" w:cs="Arial"/>
        </w:rPr>
        <w:t>25</w:t>
      </w:r>
      <w:r w:rsidRPr="00550C22">
        <w:rPr>
          <w:rFonts w:ascii="Book Antiqua" w:hAnsi="Book Antiqua" w:cs="Arial"/>
        </w:rPr>
        <w:t xml:space="preserve">] </w:t>
      </w:r>
      <w:r>
        <w:rPr>
          <w:rFonts w:ascii="Book Antiqua" w:hAnsi="Book Antiqua" w:cs="Arial"/>
        </w:rPr>
        <w:t xml:space="preserve">of </w:t>
      </w:r>
      <w:r w:rsidRPr="005F459C">
        <w:rPr>
          <w:rFonts w:ascii="Book Antiqua" w:hAnsi="Book Antiqua" w:cs="Arial"/>
          <w:u w:val="single"/>
        </w:rPr>
        <w:t>Ahsan</w:t>
      </w:r>
      <w:r>
        <w:rPr>
          <w:rFonts w:ascii="Book Antiqua" w:hAnsi="Book Antiqua" w:cs="Arial"/>
        </w:rPr>
        <w:t xml:space="preserve"> </w:t>
      </w:r>
      <w:r w:rsidRPr="00550C22">
        <w:rPr>
          <w:rFonts w:ascii="Book Antiqua" w:hAnsi="Book Antiqua" w:cs="Arial"/>
        </w:rPr>
        <w:t xml:space="preserve">it states: </w:t>
      </w:r>
    </w:p>
    <w:p w:rsidR="000260D7" w:rsidRPr="00815DFF" w:rsidRDefault="000260D7" w:rsidP="000260D7">
      <w:pPr>
        <w:pStyle w:val="paralevel1"/>
        <w:spacing w:before="240" w:beforeAutospacing="0" w:after="240" w:afterAutospacing="0"/>
        <w:ind w:left="570"/>
        <w:jc w:val="both"/>
        <w:rPr>
          <w:rFonts w:ascii="Book Antiqua" w:hAnsi="Book Antiqua"/>
          <w:color w:val="000000"/>
        </w:rPr>
      </w:pPr>
      <w:bookmarkStart w:id="3" w:name="para25"/>
      <w:r>
        <w:rPr>
          <w:rFonts w:ascii="Book Antiqua" w:hAnsi="Book Antiqua"/>
          <w:color w:val="000000"/>
        </w:rPr>
        <w:lastRenderedPageBreak/>
        <w:t>“</w:t>
      </w:r>
      <w:r w:rsidRPr="00815DFF">
        <w:rPr>
          <w:rFonts w:ascii="Book Antiqua" w:hAnsi="Book Antiqua"/>
          <w:color w:val="000000"/>
        </w:rPr>
        <w:t>One other development that I should mention is that it in due course became known that ETS has retained copies of the individual voice recordings which it has identified as showing the use of a proxy, and that a copy can be obtained (without charge) on application.  This will allow the person concerned to listen for themselves to check if the recorded voice is their own.  If they believe it is, they can seek confirmation from an independent expert: the Secretary of State’s practice is to agree in such a case to the instruction of a joint expert.  However, even where the voice appears to be someone else’s that is not necessarily accepted by applicants/appellants as conclusive.  There have been challenges to the accuracy of the system for storing and retrieving the relevant file; and it has been argued that even if a test centre submitted a batch of recordings made by a proxy that was done in its own interests and without the knowledge of the person taking the test.</w:t>
      </w:r>
      <w:bookmarkEnd w:id="3"/>
      <w:r>
        <w:rPr>
          <w:rFonts w:ascii="Book Antiqua" w:hAnsi="Book Antiqua"/>
          <w:color w:val="000000"/>
        </w:rPr>
        <w:t xml:space="preserve">” </w:t>
      </w:r>
    </w:p>
    <w:p w:rsidR="000260D7" w:rsidRDefault="000260D7" w:rsidP="000260D7">
      <w:pPr>
        <w:pStyle w:val="ListParagraph"/>
        <w:numPr>
          <w:ilvl w:val="0"/>
          <w:numId w:val="1"/>
        </w:numPr>
        <w:jc w:val="both"/>
        <w:rPr>
          <w:rFonts w:ascii="Book Antiqua" w:hAnsi="Book Antiqua" w:cs="Arial"/>
        </w:rPr>
      </w:pPr>
      <w:r>
        <w:rPr>
          <w:rFonts w:ascii="Book Antiqua" w:hAnsi="Book Antiqua" w:cs="Arial"/>
        </w:rPr>
        <w:t>Later it states at [33]:</w:t>
      </w:r>
    </w:p>
    <w:p w:rsidR="000260D7" w:rsidRDefault="000260D7" w:rsidP="000260D7">
      <w:pPr>
        <w:pStyle w:val="ListParagraph"/>
        <w:ind w:left="570"/>
        <w:jc w:val="both"/>
        <w:rPr>
          <w:rFonts w:ascii="Book Antiqua" w:hAnsi="Book Antiqua" w:cs="Arial"/>
        </w:rPr>
      </w:pPr>
      <w:r>
        <w:rPr>
          <w:rFonts w:ascii="Book Antiqua" w:hAnsi="Book Antiqua" w:cs="Arial"/>
        </w:rPr>
        <w:t xml:space="preserve"> </w:t>
      </w:r>
    </w:p>
    <w:p w:rsidR="000260D7" w:rsidRDefault="000260D7" w:rsidP="000260D7">
      <w:pPr>
        <w:pStyle w:val="ListParagraph"/>
        <w:ind w:left="570"/>
        <w:jc w:val="both"/>
        <w:rPr>
          <w:rFonts w:ascii="Book Antiqua" w:hAnsi="Book Antiqua" w:cs="Arial"/>
        </w:rPr>
      </w:pPr>
      <w:r w:rsidRPr="005F459C">
        <w:rPr>
          <w:rFonts w:ascii="Book Antiqua" w:hAnsi="Book Antiqua" w:cs="Arial"/>
        </w:rPr>
        <w:t>“Wher</w:t>
      </w:r>
      <w:r>
        <w:rPr>
          <w:rFonts w:ascii="Book Antiqua" w:hAnsi="Book Antiqua" w:cs="Arial"/>
        </w:rPr>
        <w:t>e the im</w:t>
      </w:r>
      <w:r w:rsidRPr="005F459C">
        <w:rPr>
          <w:rFonts w:ascii="Book Antiqua" w:hAnsi="Book Antiqua" w:cs="Arial"/>
        </w:rPr>
        <w:t>pugned test was taken at an established fraud factory such as Elizabeth College</w:t>
      </w:r>
      <w:r>
        <w:rPr>
          <w:rFonts w:ascii="Book Antiqua" w:hAnsi="Book Antiqua" w:cs="Arial"/>
        </w:rPr>
        <w:t>,</w:t>
      </w:r>
      <w:r w:rsidRPr="005F459C">
        <w:rPr>
          <w:rFonts w:ascii="Book Antiqua" w:hAnsi="Book Antiqua" w:cs="Arial"/>
        </w:rPr>
        <w:t xml:space="preserve"> and also where the voice</w:t>
      </w:r>
      <w:r>
        <w:rPr>
          <w:rFonts w:ascii="Book Antiqua" w:hAnsi="Book Antiqua" w:cs="Arial"/>
        </w:rPr>
        <w:t>-</w:t>
      </w:r>
      <w:r w:rsidRPr="005F459C">
        <w:rPr>
          <w:rFonts w:ascii="Book Antiqua" w:hAnsi="Book Antiqua" w:cs="Arial"/>
        </w:rPr>
        <w:t>file does not record the applicant’s voice (or no attempt has been made to obtain it)</w:t>
      </w:r>
      <w:r>
        <w:rPr>
          <w:rFonts w:ascii="Book Antiqua" w:hAnsi="Book Antiqua" w:cs="Arial"/>
        </w:rPr>
        <w:t>,</w:t>
      </w:r>
      <w:r w:rsidRPr="005F459C">
        <w:rPr>
          <w:rFonts w:ascii="Book Antiqua" w:hAnsi="Book Antiqua" w:cs="Arial"/>
        </w:rPr>
        <w:t xml:space="preserve"> the case that he or she cheated will be hard to resist”.  </w:t>
      </w:r>
    </w:p>
    <w:p w:rsidR="000260D7" w:rsidRPr="005F459C" w:rsidRDefault="000260D7" w:rsidP="000260D7">
      <w:pPr>
        <w:pStyle w:val="ListParagraph"/>
        <w:rPr>
          <w:rFonts w:ascii="Book Antiqua" w:hAnsi="Book Antiqua" w:cs="Arial"/>
        </w:rPr>
      </w:pPr>
    </w:p>
    <w:p w:rsidR="000260D7" w:rsidRDefault="000260D7" w:rsidP="000260D7">
      <w:pPr>
        <w:pStyle w:val="ListParagraph"/>
        <w:numPr>
          <w:ilvl w:val="0"/>
          <w:numId w:val="1"/>
        </w:numPr>
        <w:jc w:val="both"/>
        <w:rPr>
          <w:rFonts w:ascii="Book Antiqua" w:hAnsi="Book Antiqua" w:cs="Arial"/>
        </w:rPr>
      </w:pPr>
      <w:r w:rsidRPr="005F459C">
        <w:rPr>
          <w:rFonts w:ascii="Book Antiqua" w:hAnsi="Book Antiqua" w:cs="Arial"/>
        </w:rPr>
        <w:t>The Appellant</w:t>
      </w:r>
      <w:r>
        <w:rPr>
          <w:rFonts w:ascii="Book Antiqua" w:hAnsi="Book Antiqua" w:cs="Arial"/>
        </w:rPr>
        <w:t xml:space="preserve"> has</w:t>
      </w:r>
      <w:r w:rsidRPr="005F459C">
        <w:rPr>
          <w:rFonts w:ascii="Book Antiqua" w:hAnsi="Book Antiqua" w:cs="Arial"/>
        </w:rPr>
        <w:t xml:space="preserve"> not attempted to obtain </w:t>
      </w:r>
      <w:r>
        <w:rPr>
          <w:rFonts w:ascii="Book Antiqua" w:hAnsi="Book Antiqua" w:cs="Arial"/>
        </w:rPr>
        <w:t xml:space="preserve">the </w:t>
      </w:r>
      <w:r w:rsidRPr="005F459C">
        <w:rPr>
          <w:rFonts w:ascii="Book Antiqua" w:hAnsi="Book Antiqua" w:cs="Arial"/>
        </w:rPr>
        <w:t xml:space="preserve">voice recording of his test.  At the college where he took the </w:t>
      </w:r>
      <w:r>
        <w:rPr>
          <w:rFonts w:ascii="Book Antiqua" w:hAnsi="Book Antiqua" w:cs="Arial"/>
        </w:rPr>
        <w:t xml:space="preserve">test, </w:t>
      </w:r>
      <w:r w:rsidRPr="005F459C">
        <w:rPr>
          <w:rFonts w:ascii="Book Antiqua" w:hAnsi="Book Antiqua" w:cs="Arial"/>
        </w:rPr>
        <w:t>75% of the tests were declared invalid and 25% questionable</w:t>
      </w:r>
      <w:r>
        <w:rPr>
          <w:rFonts w:ascii="Book Antiqua" w:hAnsi="Book Antiqua" w:cs="Arial"/>
        </w:rPr>
        <w:t>,</w:t>
      </w:r>
      <w:r w:rsidRPr="005F459C">
        <w:rPr>
          <w:rFonts w:ascii="Book Antiqua" w:hAnsi="Book Antiqua" w:cs="Arial"/>
        </w:rPr>
        <w:t xml:space="preserve"> thus indicating that none of the tests from that college were sustained by ETS as being safe and reliable.  </w:t>
      </w:r>
    </w:p>
    <w:p w:rsidR="000260D7" w:rsidRPr="005F459C" w:rsidRDefault="000260D7" w:rsidP="000260D7">
      <w:pPr>
        <w:pStyle w:val="ListParagraph"/>
        <w:rPr>
          <w:rFonts w:ascii="Book Antiqua" w:hAnsi="Book Antiqua" w:cs="Arial"/>
        </w:rPr>
      </w:pPr>
    </w:p>
    <w:p w:rsidR="000260D7" w:rsidRDefault="000260D7" w:rsidP="000260D7">
      <w:pPr>
        <w:pStyle w:val="ListParagraph"/>
        <w:numPr>
          <w:ilvl w:val="0"/>
          <w:numId w:val="1"/>
        </w:numPr>
        <w:jc w:val="both"/>
        <w:rPr>
          <w:rFonts w:ascii="Book Antiqua" w:hAnsi="Book Antiqua" w:cs="Arial"/>
        </w:rPr>
      </w:pPr>
      <w:r w:rsidRPr="005F459C">
        <w:rPr>
          <w:rFonts w:ascii="Book Antiqua" w:hAnsi="Book Antiqua" w:cs="Arial"/>
        </w:rPr>
        <w:t xml:space="preserve">I find that the Judge has erred in finding that the evidence provided by the Respondent was not sufficient to meet the evidential burden.  </w:t>
      </w:r>
      <w:r>
        <w:rPr>
          <w:rFonts w:ascii="Book Antiqua" w:hAnsi="Book Antiqua" w:cs="Arial"/>
        </w:rPr>
        <w:t xml:space="preserve">Had she </w:t>
      </w:r>
      <w:r w:rsidRPr="005F459C">
        <w:rPr>
          <w:rFonts w:ascii="Book Antiqua" w:hAnsi="Book Antiqua" w:cs="Arial"/>
        </w:rPr>
        <w:t xml:space="preserve">found that the evidential burden </w:t>
      </w:r>
      <w:r>
        <w:rPr>
          <w:rFonts w:ascii="Book Antiqua" w:hAnsi="Book Antiqua" w:cs="Arial"/>
        </w:rPr>
        <w:t xml:space="preserve">had been </w:t>
      </w:r>
      <w:r w:rsidRPr="005F459C">
        <w:rPr>
          <w:rFonts w:ascii="Book Antiqua" w:hAnsi="Book Antiqua" w:cs="Arial"/>
        </w:rPr>
        <w:t>met</w:t>
      </w:r>
      <w:r>
        <w:rPr>
          <w:rFonts w:ascii="Book Antiqua" w:hAnsi="Book Antiqua" w:cs="Arial"/>
        </w:rPr>
        <w:t>,</w:t>
      </w:r>
      <w:r w:rsidRPr="005F459C">
        <w:rPr>
          <w:rFonts w:ascii="Book Antiqua" w:hAnsi="Book Antiqua" w:cs="Arial"/>
        </w:rPr>
        <w:t xml:space="preserve"> it was then open to her to </w:t>
      </w:r>
      <w:r>
        <w:rPr>
          <w:rFonts w:ascii="Book Antiqua" w:hAnsi="Book Antiqua" w:cs="Arial"/>
        </w:rPr>
        <w:t xml:space="preserve">proceed to consider </w:t>
      </w:r>
      <w:r w:rsidRPr="005F459C">
        <w:rPr>
          <w:rFonts w:ascii="Book Antiqua" w:hAnsi="Book Antiqua" w:cs="Arial"/>
        </w:rPr>
        <w:t xml:space="preserve">the rebuttal evidence </w:t>
      </w:r>
      <w:r>
        <w:rPr>
          <w:rFonts w:ascii="Book Antiqua" w:hAnsi="Book Antiqua" w:cs="Arial"/>
        </w:rPr>
        <w:t xml:space="preserve">and the </w:t>
      </w:r>
      <w:r w:rsidRPr="005F459C">
        <w:rPr>
          <w:rFonts w:ascii="Book Antiqua" w:hAnsi="Book Antiqua" w:cs="Arial"/>
        </w:rPr>
        <w:t xml:space="preserve">extent to which </w:t>
      </w:r>
      <w:r>
        <w:rPr>
          <w:rFonts w:ascii="Book Antiqua" w:hAnsi="Book Antiqua" w:cs="Arial"/>
        </w:rPr>
        <w:t xml:space="preserve">it addressed </w:t>
      </w:r>
      <w:r w:rsidRPr="005F459C">
        <w:rPr>
          <w:rFonts w:ascii="Book Antiqua" w:hAnsi="Book Antiqua" w:cs="Arial"/>
        </w:rPr>
        <w:t>the Respondent’s concerns</w:t>
      </w:r>
      <w:r>
        <w:rPr>
          <w:rFonts w:ascii="Book Antiqua" w:hAnsi="Book Antiqua" w:cs="Arial"/>
        </w:rPr>
        <w:t xml:space="preserve">.  </w:t>
      </w:r>
    </w:p>
    <w:p w:rsidR="000260D7" w:rsidRPr="000260D7" w:rsidRDefault="000260D7" w:rsidP="000260D7">
      <w:pPr>
        <w:jc w:val="both"/>
        <w:rPr>
          <w:rFonts w:ascii="Book Antiqua" w:hAnsi="Book Antiqua" w:cs="Arial"/>
        </w:rPr>
      </w:pPr>
    </w:p>
    <w:p w:rsidR="00306974" w:rsidRPr="000260D7" w:rsidRDefault="009776B6" w:rsidP="00EC1429">
      <w:pPr>
        <w:pStyle w:val="ListParagraph"/>
        <w:numPr>
          <w:ilvl w:val="0"/>
          <w:numId w:val="1"/>
        </w:numPr>
        <w:ind w:left="567" w:hanging="567"/>
        <w:jc w:val="both"/>
        <w:rPr>
          <w:rFonts w:ascii="Book Antiqua" w:hAnsi="Book Antiqua" w:cs="Arial"/>
        </w:rPr>
      </w:pPr>
      <w:r w:rsidRPr="000260D7">
        <w:rPr>
          <w:rFonts w:ascii="Book Antiqua" w:hAnsi="Book Antiqua" w:cs="Arial"/>
        </w:rPr>
        <w:t>It was argued by Miss</w:t>
      </w:r>
      <w:r w:rsidR="00550C22" w:rsidRPr="000260D7">
        <w:rPr>
          <w:rFonts w:ascii="Book Antiqua" w:hAnsi="Book Antiqua" w:cs="Arial"/>
        </w:rPr>
        <w:t>.</w:t>
      </w:r>
      <w:r w:rsidRPr="000260D7">
        <w:rPr>
          <w:rFonts w:ascii="Book Antiqua" w:hAnsi="Book Antiqua" w:cs="Arial"/>
        </w:rPr>
        <w:t xml:space="preserve"> Shaw that the </w:t>
      </w:r>
      <w:r w:rsidR="00F91A14" w:rsidRPr="000260D7">
        <w:rPr>
          <w:rFonts w:ascii="Book Antiqua" w:hAnsi="Book Antiqua" w:cs="Arial"/>
        </w:rPr>
        <w:t>Judge</w:t>
      </w:r>
      <w:r w:rsidRPr="000260D7">
        <w:rPr>
          <w:rFonts w:ascii="Book Antiqua" w:hAnsi="Book Antiqua" w:cs="Arial"/>
        </w:rPr>
        <w:t xml:space="preserve"> had considered the rebuttal evidence</w:t>
      </w:r>
      <w:r w:rsidR="00550C22" w:rsidRPr="000260D7">
        <w:rPr>
          <w:rFonts w:ascii="Book Antiqua" w:hAnsi="Book Antiqua" w:cs="Arial"/>
        </w:rPr>
        <w:t>,</w:t>
      </w:r>
      <w:r w:rsidRPr="000260D7">
        <w:rPr>
          <w:rFonts w:ascii="Book Antiqua" w:hAnsi="Book Antiqua" w:cs="Arial"/>
        </w:rPr>
        <w:t xml:space="preserve"> and in fact her submissions began by referring me to that evidence</w:t>
      </w:r>
      <w:r w:rsidR="00306974" w:rsidRPr="000260D7">
        <w:rPr>
          <w:rFonts w:ascii="Book Antiqua" w:hAnsi="Book Antiqua" w:cs="Arial"/>
        </w:rPr>
        <w:t xml:space="preserve">.  However she confirmed that she was not accepting </w:t>
      </w:r>
      <w:r w:rsidR="00550C22" w:rsidRPr="000260D7">
        <w:rPr>
          <w:rFonts w:ascii="Book Antiqua" w:hAnsi="Book Antiqua" w:cs="Arial"/>
        </w:rPr>
        <w:t xml:space="preserve">that the Respondent had discharged </w:t>
      </w:r>
      <w:r w:rsidR="000260D7" w:rsidRPr="000260D7">
        <w:rPr>
          <w:rFonts w:ascii="Book Antiqua" w:hAnsi="Book Antiqua" w:cs="Arial"/>
        </w:rPr>
        <w:t xml:space="preserve">the evidential </w:t>
      </w:r>
      <w:r w:rsidR="00550C22" w:rsidRPr="000260D7">
        <w:rPr>
          <w:rFonts w:ascii="Book Antiqua" w:hAnsi="Book Antiqua" w:cs="Arial"/>
        </w:rPr>
        <w:t>burden</w:t>
      </w:r>
      <w:r w:rsidRPr="000260D7">
        <w:rPr>
          <w:rFonts w:ascii="Book Antiqua" w:hAnsi="Book Antiqua" w:cs="Arial"/>
        </w:rPr>
        <w:t xml:space="preserve">.  </w:t>
      </w:r>
      <w:r w:rsidR="000260D7" w:rsidRPr="000260D7">
        <w:rPr>
          <w:rFonts w:ascii="Book Antiqua" w:hAnsi="Book Antiqua" w:cs="Arial"/>
        </w:rPr>
        <w:t xml:space="preserve">A </w:t>
      </w:r>
      <w:r w:rsidR="00F91A14" w:rsidRPr="000260D7">
        <w:rPr>
          <w:rFonts w:ascii="Book Antiqua" w:hAnsi="Book Antiqua" w:cs="Arial"/>
        </w:rPr>
        <w:t>Judge</w:t>
      </w:r>
      <w:r w:rsidRPr="000260D7">
        <w:rPr>
          <w:rFonts w:ascii="Book Antiqua" w:hAnsi="Book Antiqua" w:cs="Arial"/>
        </w:rPr>
        <w:t xml:space="preserve"> </w:t>
      </w:r>
      <w:r w:rsidR="00550C22" w:rsidRPr="000260D7">
        <w:rPr>
          <w:rFonts w:ascii="Book Antiqua" w:hAnsi="Book Antiqua" w:cs="Arial"/>
        </w:rPr>
        <w:t xml:space="preserve">must </w:t>
      </w:r>
      <w:r w:rsidR="00306974" w:rsidRPr="000260D7">
        <w:rPr>
          <w:rFonts w:ascii="Book Antiqua" w:hAnsi="Book Antiqua" w:cs="Arial"/>
        </w:rPr>
        <w:t xml:space="preserve">first </w:t>
      </w:r>
      <w:r w:rsidR="00550C22" w:rsidRPr="000260D7">
        <w:rPr>
          <w:rFonts w:ascii="Book Antiqua" w:hAnsi="Book Antiqua" w:cs="Arial"/>
        </w:rPr>
        <w:t xml:space="preserve">consider </w:t>
      </w:r>
      <w:r w:rsidRPr="000260D7">
        <w:rPr>
          <w:rFonts w:ascii="Book Antiqua" w:hAnsi="Book Antiqua" w:cs="Arial"/>
        </w:rPr>
        <w:t xml:space="preserve">the evidence provided by the </w:t>
      </w:r>
      <w:r w:rsidR="00F91A14" w:rsidRPr="000260D7">
        <w:rPr>
          <w:rFonts w:ascii="Book Antiqua" w:hAnsi="Book Antiqua" w:cs="Arial"/>
        </w:rPr>
        <w:t>Respondent</w:t>
      </w:r>
      <w:r w:rsidRPr="000260D7">
        <w:rPr>
          <w:rFonts w:ascii="Book Antiqua" w:hAnsi="Book Antiqua" w:cs="Arial"/>
        </w:rPr>
        <w:t xml:space="preserve"> </w:t>
      </w:r>
      <w:r w:rsidR="00550C22" w:rsidRPr="000260D7">
        <w:rPr>
          <w:rFonts w:ascii="Book Antiqua" w:hAnsi="Book Antiqua" w:cs="Arial"/>
        </w:rPr>
        <w:t xml:space="preserve">to discharge </w:t>
      </w:r>
      <w:r w:rsidR="00306974" w:rsidRPr="000260D7">
        <w:rPr>
          <w:rFonts w:ascii="Book Antiqua" w:hAnsi="Book Antiqua" w:cs="Arial"/>
        </w:rPr>
        <w:t xml:space="preserve">the evidential </w:t>
      </w:r>
      <w:r w:rsidR="00550C22" w:rsidRPr="000260D7">
        <w:rPr>
          <w:rFonts w:ascii="Book Antiqua" w:hAnsi="Book Antiqua" w:cs="Arial"/>
        </w:rPr>
        <w:t xml:space="preserve">burden, </w:t>
      </w:r>
      <w:r w:rsidRPr="000260D7">
        <w:rPr>
          <w:rFonts w:ascii="Book Antiqua" w:hAnsi="Book Antiqua" w:cs="Arial"/>
        </w:rPr>
        <w:t>as that is on who</w:t>
      </w:r>
      <w:r w:rsidR="0001296B" w:rsidRPr="000260D7">
        <w:rPr>
          <w:rFonts w:ascii="Book Antiqua" w:hAnsi="Book Antiqua" w:cs="Arial"/>
        </w:rPr>
        <w:t>m</w:t>
      </w:r>
      <w:r w:rsidRPr="000260D7">
        <w:rPr>
          <w:rFonts w:ascii="Book Antiqua" w:hAnsi="Book Antiqua" w:cs="Arial"/>
        </w:rPr>
        <w:t xml:space="preserve"> the </w:t>
      </w:r>
      <w:r w:rsidR="00550C22" w:rsidRPr="000260D7">
        <w:rPr>
          <w:rFonts w:ascii="Book Antiqua" w:hAnsi="Book Antiqua" w:cs="Arial"/>
        </w:rPr>
        <w:t xml:space="preserve">initial </w:t>
      </w:r>
      <w:r w:rsidRPr="000260D7">
        <w:rPr>
          <w:rFonts w:ascii="Book Antiqua" w:hAnsi="Book Antiqua" w:cs="Arial"/>
        </w:rPr>
        <w:t>burden lies.</w:t>
      </w:r>
      <w:r w:rsidR="00550C22" w:rsidRPr="000260D7">
        <w:rPr>
          <w:rFonts w:ascii="Book Antiqua" w:hAnsi="Book Antiqua" w:cs="Arial"/>
        </w:rPr>
        <w:t xml:space="preserve">  </w:t>
      </w:r>
      <w:r w:rsidR="005F459C" w:rsidRPr="000260D7">
        <w:rPr>
          <w:rFonts w:ascii="Book Antiqua" w:hAnsi="Book Antiqua" w:cs="Arial"/>
        </w:rPr>
        <w:t>It is not the case, as su</w:t>
      </w:r>
      <w:r w:rsidR="000260D7" w:rsidRPr="000260D7">
        <w:rPr>
          <w:rFonts w:ascii="Book Antiqua" w:hAnsi="Book Antiqua" w:cs="Arial"/>
        </w:rPr>
        <w:t xml:space="preserve">bmitted by Miss. Shaw, that a </w:t>
      </w:r>
      <w:r w:rsidR="005F459C" w:rsidRPr="000260D7">
        <w:rPr>
          <w:rFonts w:ascii="Book Antiqua" w:hAnsi="Book Antiqua" w:cs="Arial"/>
        </w:rPr>
        <w:t xml:space="preserve">Judge needs to consider all of the evidence at the outset.  </w:t>
      </w:r>
      <w:r w:rsidR="000260D7" w:rsidRPr="000260D7">
        <w:rPr>
          <w:rFonts w:ascii="Book Antiqua" w:hAnsi="Book Antiqua" w:cs="Arial"/>
        </w:rPr>
        <w:t xml:space="preserve">It is not necessary for there to </w:t>
      </w:r>
      <w:r w:rsidR="00550C22" w:rsidRPr="000260D7">
        <w:rPr>
          <w:rFonts w:ascii="Book Antiqua" w:hAnsi="Book Antiqua" w:cs="Arial"/>
        </w:rPr>
        <w:t>be a</w:t>
      </w:r>
      <w:r w:rsidR="000260D7" w:rsidRPr="000260D7">
        <w:rPr>
          <w:rFonts w:ascii="Book Antiqua" w:hAnsi="Book Antiqua" w:cs="Arial"/>
        </w:rPr>
        <w:t>ny</w:t>
      </w:r>
      <w:r w:rsidR="00550C22" w:rsidRPr="000260D7">
        <w:rPr>
          <w:rFonts w:ascii="Book Antiqua" w:hAnsi="Book Antiqua" w:cs="Arial"/>
        </w:rPr>
        <w:t xml:space="preserve"> consideration of the evidence provided by the Appellant in ascertaining whether the Respondent has met </w:t>
      </w:r>
      <w:r w:rsidR="000260D7">
        <w:rPr>
          <w:rFonts w:ascii="Book Antiqua" w:hAnsi="Book Antiqua" w:cs="Arial"/>
        </w:rPr>
        <w:t xml:space="preserve">her initial evidential </w:t>
      </w:r>
      <w:r w:rsidR="00550C22" w:rsidRPr="000260D7">
        <w:rPr>
          <w:rFonts w:ascii="Book Antiqua" w:hAnsi="Book Antiqua" w:cs="Arial"/>
        </w:rPr>
        <w:t>burden</w:t>
      </w:r>
      <w:r w:rsidR="00306974" w:rsidRPr="000260D7">
        <w:rPr>
          <w:rFonts w:ascii="Book Antiqua" w:hAnsi="Book Antiqua" w:cs="Arial"/>
        </w:rPr>
        <w:t xml:space="preserve">.  </w:t>
      </w:r>
      <w:r w:rsidR="00550C22" w:rsidRPr="000260D7">
        <w:rPr>
          <w:rFonts w:ascii="Book Antiqua" w:hAnsi="Book Antiqua" w:cs="Arial"/>
        </w:rPr>
        <w:t xml:space="preserve"> </w:t>
      </w:r>
    </w:p>
    <w:p w:rsidR="001C60D4" w:rsidRDefault="00550C22" w:rsidP="00550C22">
      <w:pPr>
        <w:pStyle w:val="ListParagraph"/>
        <w:numPr>
          <w:ilvl w:val="0"/>
          <w:numId w:val="1"/>
        </w:numPr>
        <w:jc w:val="both"/>
        <w:rPr>
          <w:rFonts w:ascii="Book Antiqua" w:hAnsi="Book Antiqua" w:cs="Arial"/>
        </w:rPr>
      </w:pPr>
      <w:r>
        <w:rPr>
          <w:rFonts w:ascii="Book Antiqua" w:hAnsi="Book Antiqua" w:cs="Arial"/>
        </w:rPr>
        <w:t>I find that, given that the Judge f</w:t>
      </w:r>
      <w:r w:rsidR="0001296B" w:rsidRPr="00550C22">
        <w:rPr>
          <w:rFonts w:ascii="Book Antiqua" w:hAnsi="Book Antiqua" w:cs="Arial"/>
        </w:rPr>
        <w:t xml:space="preserve">ound </w:t>
      </w:r>
      <w:r w:rsidR="00B42A0B" w:rsidRPr="00550C22">
        <w:rPr>
          <w:rFonts w:ascii="Book Antiqua" w:hAnsi="Book Antiqua" w:cs="Arial"/>
        </w:rPr>
        <w:t xml:space="preserve">that the </w:t>
      </w:r>
      <w:r w:rsidR="00F91A14" w:rsidRPr="00550C22">
        <w:rPr>
          <w:rFonts w:ascii="Book Antiqua" w:hAnsi="Book Antiqua" w:cs="Arial"/>
        </w:rPr>
        <w:t>Respondent</w:t>
      </w:r>
      <w:r>
        <w:rPr>
          <w:rFonts w:ascii="Book Antiqua" w:hAnsi="Book Antiqua" w:cs="Arial"/>
        </w:rPr>
        <w:t xml:space="preserve"> had</w:t>
      </w:r>
      <w:r w:rsidR="00B42A0B" w:rsidRPr="00550C22">
        <w:rPr>
          <w:rFonts w:ascii="Book Antiqua" w:hAnsi="Book Antiqua" w:cs="Arial"/>
        </w:rPr>
        <w:t xml:space="preserve"> failed to discharge the initial burden of proof </w:t>
      </w:r>
      <w:r>
        <w:rPr>
          <w:rFonts w:ascii="Book Antiqua" w:hAnsi="Book Antiqua" w:cs="Arial"/>
        </w:rPr>
        <w:t xml:space="preserve">at [20], her </w:t>
      </w:r>
      <w:r w:rsidRPr="00550C22">
        <w:rPr>
          <w:rFonts w:ascii="Book Antiqua" w:hAnsi="Book Antiqua" w:cs="Arial"/>
        </w:rPr>
        <w:t>consider</w:t>
      </w:r>
      <w:r>
        <w:rPr>
          <w:rFonts w:ascii="Book Antiqua" w:hAnsi="Book Antiqua" w:cs="Arial"/>
        </w:rPr>
        <w:t xml:space="preserve">ation of any rebuttal evidence was not in the correct context, i.e. of rebutting the presumption that deception had been used.  </w:t>
      </w:r>
      <w:r w:rsidR="004E1A8C" w:rsidRPr="00550C22">
        <w:rPr>
          <w:rFonts w:ascii="Book Antiqua" w:hAnsi="Book Antiqua" w:cs="Arial"/>
        </w:rPr>
        <w:t xml:space="preserve">Essentially </w:t>
      </w:r>
      <w:r>
        <w:rPr>
          <w:rFonts w:ascii="Book Antiqua" w:hAnsi="Book Antiqua" w:cs="Arial"/>
        </w:rPr>
        <w:t xml:space="preserve">she </w:t>
      </w:r>
      <w:r w:rsidR="004E1A8C" w:rsidRPr="00550C22">
        <w:rPr>
          <w:rFonts w:ascii="Book Antiqua" w:hAnsi="Book Antiqua" w:cs="Arial"/>
        </w:rPr>
        <w:t xml:space="preserve">considered the </w:t>
      </w:r>
      <w:r w:rsidR="00F91A14" w:rsidRPr="00550C22">
        <w:rPr>
          <w:rFonts w:ascii="Book Antiqua" w:hAnsi="Book Antiqua" w:cs="Arial"/>
        </w:rPr>
        <w:t>Appellant</w:t>
      </w:r>
      <w:r w:rsidR="004E1A8C" w:rsidRPr="00550C22">
        <w:rPr>
          <w:rFonts w:ascii="Book Antiqua" w:hAnsi="Book Antiqua" w:cs="Arial"/>
        </w:rPr>
        <w:t xml:space="preserve">’s evidence when considering whether or not the </w:t>
      </w:r>
      <w:r w:rsidR="00F91A14" w:rsidRPr="00550C22">
        <w:rPr>
          <w:rFonts w:ascii="Book Antiqua" w:hAnsi="Book Antiqua" w:cs="Arial"/>
        </w:rPr>
        <w:t>Respondent</w:t>
      </w:r>
      <w:r w:rsidR="004E1A8C" w:rsidRPr="00550C22">
        <w:rPr>
          <w:rFonts w:ascii="Book Antiqua" w:hAnsi="Book Antiqua" w:cs="Arial"/>
        </w:rPr>
        <w:t>’s evidence was sufficient to discharge the initial burden of proof</w:t>
      </w:r>
      <w:r>
        <w:rPr>
          <w:rFonts w:ascii="Book Antiqua" w:hAnsi="Book Antiqua" w:cs="Arial"/>
        </w:rPr>
        <w:t xml:space="preserve">, </w:t>
      </w:r>
      <w:r w:rsidR="0093308F" w:rsidRPr="00550C22">
        <w:rPr>
          <w:rFonts w:ascii="Book Antiqua" w:hAnsi="Book Antiqua" w:cs="Arial"/>
        </w:rPr>
        <w:t xml:space="preserve">but the </w:t>
      </w:r>
      <w:r w:rsidR="00F91A14" w:rsidRPr="00550C22">
        <w:rPr>
          <w:rFonts w:ascii="Book Antiqua" w:hAnsi="Book Antiqua" w:cs="Arial"/>
        </w:rPr>
        <w:t>Appellant</w:t>
      </w:r>
      <w:r w:rsidR="0093308F" w:rsidRPr="00550C22">
        <w:rPr>
          <w:rFonts w:ascii="Book Antiqua" w:hAnsi="Book Antiqua" w:cs="Arial"/>
        </w:rPr>
        <w:t xml:space="preserve">’s evidence </w:t>
      </w:r>
      <w:r w:rsidR="006705B1">
        <w:rPr>
          <w:rFonts w:ascii="Book Antiqua" w:hAnsi="Book Antiqua" w:cs="Arial"/>
        </w:rPr>
        <w:t>was</w:t>
      </w:r>
      <w:r w:rsidR="0093308F" w:rsidRPr="00550C22">
        <w:rPr>
          <w:rFonts w:ascii="Book Antiqua" w:hAnsi="Book Antiqua" w:cs="Arial"/>
        </w:rPr>
        <w:t xml:space="preserve"> not of any relevance </w:t>
      </w:r>
      <w:r>
        <w:rPr>
          <w:rFonts w:ascii="Book Antiqua" w:hAnsi="Book Antiqua" w:cs="Arial"/>
        </w:rPr>
        <w:t xml:space="preserve">at that stage.  </w:t>
      </w:r>
    </w:p>
    <w:p w:rsidR="00306974" w:rsidRDefault="00306974" w:rsidP="00306974">
      <w:pPr>
        <w:pStyle w:val="paralevel1"/>
        <w:numPr>
          <w:ilvl w:val="0"/>
          <w:numId w:val="1"/>
        </w:numPr>
        <w:spacing w:before="240" w:beforeAutospacing="0" w:after="240" w:afterAutospacing="0"/>
        <w:jc w:val="both"/>
        <w:rPr>
          <w:rFonts w:ascii="Book Antiqua" w:hAnsi="Book Antiqua"/>
          <w:color w:val="000000"/>
        </w:rPr>
      </w:pPr>
      <w:bookmarkStart w:id="4" w:name="para24"/>
      <w:r w:rsidRPr="00276E6A">
        <w:rPr>
          <w:rFonts w:ascii="Book Antiqua" w:hAnsi="Book Antiqua"/>
          <w:color w:val="000000"/>
          <w:u w:val="single"/>
        </w:rPr>
        <w:t>Ahsan</w:t>
      </w:r>
      <w:r>
        <w:rPr>
          <w:rFonts w:ascii="Book Antiqua" w:hAnsi="Book Antiqua"/>
          <w:color w:val="000000"/>
        </w:rPr>
        <w:t xml:space="preserve"> states at [24] in relation to rebuttal:</w:t>
      </w:r>
    </w:p>
    <w:p w:rsidR="00306974" w:rsidRDefault="00306974" w:rsidP="00276E6A">
      <w:pPr>
        <w:pStyle w:val="paralevel1"/>
        <w:spacing w:before="240" w:beforeAutospacing="0" w:after="240" w:afterAutospacing="0"/>
        <w:ind w:left="570"/>
        <w:jc w:val="both"/>
        <w:rPr>
          <w:rFonts w:ascii="Book Antiqua" w:hAnsi="Book Antiqua"/>
          <w:color w:val="000000"/>
        </w:rPr>
      </w:pPr>
      <w:r>
        <w:rPr>
          <w:rFonts w:ascii="Book Antiqua" w:hAnsi="Book Antiqua"/>
          <w:color w:val="000000"/>
        </w:rPr>
        <w:lastRenderedPageBreak/>
        <w:t>“</w:t>
      </w:r>
      <w:r w:rsidRPr="00815DFF">
        <w:rPr>
          <w:rFonts w:ascii="Book Antiqua" w:hAnsi="Book Antiqua"/>
          <w:color w:val="000000"/>
        </w:rPr>
        <w:t>The evidence adduced by individual appellants in rebuttal will obviously vary from case to case.  At a minimum they can be expected to give evidence that they did indeed attend the centre on the day recorded and took the spoken English test in person.  But that may be supplemented by supporting evidence of various kinds: a frequent theme is that it is said to be demonstrable from other evidence that their spoken English was very good and that they thus had no motive to cheat.</w:t>
      </w:r>
      <w:r>
        <w:rPr>
          <w:rFonts w:ascii="Book Antiqua" w:hAnsi="Book Antiqua"/>
          <w:color w:val="000000"/>
        </w:rPr>
        <w:t>”</w:t>
      </w:r>
    </w:p>
    <w:bookmarkEnd w:id="4"/>
    <w:p w:rsidR="00276E6A" w:rsidRDefault="00276E6A" w:rsidP="006705B1">
      <w:pPr>
        <w:pStyle w:val="ListParagraph"/>
        <w:numPr>
          <w:ilvl w:val="0"/>
          <w:numId w:val="1"/>
        </w:numPr>
        <w:jc w:val="both"/>
        <w:rPr>
          <w:rFonts w:ascii="Book Antiqua" w:hAnsi="Book Antiqua" w:cs="Arial"/>
        </w:rPr>
      </w:pPr>
      <w:r w:rsidRPr="006705B1">
        <w:rPr>
          <w:rFonts w:ascii="Book Antiqua" w:hAnsi="Book Antiqua" w:cs="Arial"/>
        </w:rPr>
        <w:t>In relation to ground 2, h</w:t>
      </w:r>
      <w:r w:rsidR="00B740D3" w:rsidRPr="006705B1">
        <w:rPr>
          <w:rFonts w:ascii="Book Antiqua" w:hAnsi="Book Antiqua" w:cs="Arial"/>
        </w:rPr>
        <w:t xml:space="preserve">ad the </w:t>
      </w:r>
      <w:r w:rsidR="00F91A14" w:rsidRPr="006705B1">
        <w:rPr>
          <w:rFonts w:ascii="Book Antiqua" w:hAnsi="Book Antiqua" w:cs="Arial"/>
        </w:rPr>
        <w:t>Judge</w:t>
      </w:r>
      <w:r w:rsidR="00B740D3" w:rsidRPr="006705B1">
        <w:rPr>
          <w:rFonts w:ascii="Book Antiqua" w:hAnsi="Book Antiqua" w:cs="Arial"/>
        </w:rPr>
        <w:t xml:space="preserve"> been entitled to find that the </w:t>
      </w:r>
      <w:r w:rsidR="00F91A14" w:rsidRPr="006705B1">
        <w:rPr>
          <w:rFonts w:ascii="Book Antiqua" w:hAnsi="Book Antiqua" w:cs="Arial"/>
        </w:rPr>
        <w:t>Appellant</w:t>
      </w:r>
      <w:r w:rsidR="00B740D3" w:rsidRPr="006705B1">
        <w:rPr>
          <w:rFonts w:ascii="Book Antiqua" w:hAnsi="Book Antiqua" w:cs="Arial"/>
        </w:rPr>
        <w:t xml:space="preserve"> had not practised deception and therefore that the </w:t>
      </w:r>
      <w:r w:rsidR="00F91A14" w:rsidRPr="006705B1">
        <w:rPr>
          <w:rFonts w:ascii="Book Antiqua" w:hAnsi="Book Antiqua" w:cs="Arial"/>
        </w:rPr>
        <w:t>Appellant</w:t>
      </w:r>
      <w:r w:rsidR="00B740D3" w:rsidRPr="006705B1">
        <w:rPr>
          <w:rFonts w:ascii="Book Antiqua" w:hAnsi="Book Antiqua" w:cs="Arial"/>
        </w:rPr>
        <w:t xml:space="preserve"> met the requirements of Appendix FM</w:t>
      </w:r>
      <w:r w:rsidR="00815DFF" w:rsidRPr="006705B1">
        <w:rPr>
          <w:rFonts w:ascii="Book Antiqua" w:hAnsi="Book Antiqua" w:cs="Arial"/>
        </w:rPr>
        <w:t>,</w:t>
      </w:r>
      <w:r w:rsidR="00B740D3" w:rsidRPr="006705B1">
        <w:rPr>
          <w:rFonts w:ascii="Book Antiqua" w:hAnsi="Book Antiqua" w:cs="Arial"/>
        </w:rPr>
        <w:t xml:space="preserve"> I find that whether or not the </w:t>
      </w:r>
      <w:r w:rsidR="00F91A14" w:rsidRPr="006705B1">
        <w:rPr>
          <w:rFonts w:ascii="Book Antiqua" w:hAnsi="Book Antiqua" w:cs="Arial"/>
        </w:rPr>
        <w:t>Judge</w:t>
      </w:r>
      <w:r w:rsidR="00B740D3" w:rsidRPr="006705B1">
        <w:rPr>
          <w:rFonts w:ascii="Book Antiqua" w:hAnsi="Book Antiqua" w:cs="Arial"/>
        </w:rPr>
        <w:t xml:space="preserve"> had conside</w:t>
      </w:r>
      <w:r w:rsidR="00815DFF" w:rsidRPr="006705B1">
        <w:rPr>
          <w:rFonts w:ascii="Book Antiqua" w:hAnsi="Book Antiqua" w:cs="Arial"/>
        </w:rPr>
        <w:t>red Article 8 fully outside the immigration r</w:t>
      </w:r>
      <w:r w:rsidR="00B740D3" w:rsidRPr="006705B1">
        <w:rPr>
          <w:rFonts w:ascii="Book Antiqua" w:hAnsi="Book Antiqua" w:cs="Arial"/>
        </w:rPr>
        <w:t xml:space="preserve">ules would not be material given the weight to be attached to the fact that an </w:t>
      </w:r>
      <w:r w:rsidR="00815DFF" w:rsidRPr="006705B1">
        <w:rPr>
          <w:rFonts w:ascii="Book Antiqua" w:hAnsi="Book Antiqua" w:cs="Arial"/>
        </w:rPr>
        <w:t>a</w:t>
      </w:r>
      <w:r w:rsidR="00F91A14" w:rsidRPr="006705B1">
        <w:rPr>
          <w:rFonts w:ascii="Book Antiqua" w:hAnsi="Book Antiqua" w:cs="Arial"/>
        </w:rPr>
        <w:t>ppellant</w:t>
      </w:r>
      <w:r w:rsidR="00815DFF" w:rsidRPr="006705B1">
        <w:rPr>
          <w:rFonts w:ascii="Book Antiqua" w:hAnsi="Book Antiqua" w:cs="Arial"/>
        </w:rPr>
        <w:t xml:space="preserve"> meets the requirements of the immigration r</w:t>
      </w:r>
      <w:r w:rsidR="00B740D3" w:rsidRPr="006705B1">
        <w:rPr>
          <w:rFonts w:ascii="Book Antiqua" w:hAnsi="Book Antiqua" w:cs="Arial"/>
        </w:rPr>
        <w:t>ules.  However</w:t>
      </w:r>
      <w:r w:rsidR="00815DFF" w:rsidRPr="006705B1">
        <w:rPr>
          <w:rFonts w:ascii="Book Antiqua" w:hAnsi="Book Antiqua" w:cs="Arial"/>
        </w:rPr>
        <w:t>,</w:t>
      </w:r>
      <w:r w:rsidR="00B740D3" w:rsidRPr="006705B1">
        <w:rPr>
          <w:rFonts w:ascii="Book Antiqua" w:hAnsi="Book Antiqua" w:cs="Arial"/>
        </w:rPr>
        <w:t xml:space="preserve"> I </w:t>
      </w:r>
      <w:r w:rsidR="006705B1" w:rsidRPr="006705B1">
        <w:rPr>
          <w:rFonts w:ascii="Book Antiqua" w:hAnsi="Book Antiqua" w:cs="Arial"/>
        </w:rPr>
        <w:t xml:space="preserve">have found </w:t>
      </w:r>
      <w:r w:rsidR="00B740D3" w:rsidRPr="006705B1">
        <w:rPr>
          <w:rFonts w:ascii="Book Antiqua" w:hAnsi="Book Antiqua" w:cs="Arial"/>
        </w:rPr>
        <w:t xml:space="preserve">that the </w:t>
      </w:r>
      <w:r w:rsidR="00F91A14" w:rsidRPr="006705B1">
        <w:rPr>
          <w:rFonts w:ascii="Book Antiqua" w:hAnsi="Book Antiqua" w:cs="Arial"/>
        </w:rPr>
        <w:t>Judge</w:t>
      </w:r>
      <w:r w:rsidR="00B740D3" w:rsidRPr="006705B1">
        <w:rPr>
          <w:rFonts w:ascii="Book Antiqua" w:hAnsi="Book Antiqua" w:cs="Arial"/>
        </w:rPr>
        <w:t xml:space="preserve"> was wrong </w:t>
      </w:r>
      <w:r w:rsidR="006705B1" w:rsidRPr="006705B1">
        <w:rPr>
          <w:rFonts w:ascii="Book Antiqua" w:hAnsi="Book Antiqua" w:cs="Arial"/>
        </w:rPr>
        <w:t>to find</w:t>
      </w:r>
      <w:r w:rsidR="00B740D3" w:rsidRPr="006705B1">
        <w:rPr>
          <w:rFonts w:ascii="Book Antiqua" w:hAnsi="Book Antiqua" w:cs="Arial"/>
        </w:rPr>
        <w:t xml:space="preserve"> that the evidential burden had not been met by the </w:t>
      </w:r>
      <w:r w:rsidR="00F91A14" w:rsidRPr="006705B1">
        <w:rPr>
          <w:rFonts w:ascii="Book Antiqua" w:hAnsi="Book Antiqua" w:cs="Arial"/>
        </w:rPr>
        <w:t>Respondent</w:t>
      </w:r>
      <w:r w:rsidR="00B740D3" w:rsidRPr="006705B1">
        <w:rPr>
          <w:rFonts w:ascii="Book Antiqua" w:hAnsi="Book Antiqua" w:cs="Arial"/>
        </w:rPr>
        <w:t xml:space="preserve">.  </w:t>
      </w:r>
      <w:r w:rsidR="006705B1" w:rsidRPr="006705B1">
        <w:rPr>
          <w:rFonts w:ascii="Book Antiqua" w:hAnsi="Book Antiqua" w:cs="Arial"/>
        </w:rPr>
        <w:t>T</w:t>
      </w:r>
      <w:r w:rsidR="00B740D3" w:rsidRPr="006705B1">
        <w:rPr>
          <w:rFonts w:ascii="Book Antiqua" w:hAnsi="Book Antiqua" w:cs="Arial"/>
        </w:rPr>
        <w:t xml:space="preserve">he rebuttal evidence provided by the </w:t>
      </w:r>
      <w:r w:rsidR="00F91A14" w:rsidRPr="006705B1">
        <w:rPr>
          <w:rFonts w:ascii="Book Antiqua" w:hAnsi="Book Antiqua" w:cs="Arial"/>
        </w:rPr>
        <w:t>Appellant</w:t>
      </w:r>
      <w:r w:rsidR="00B740D3" w:rsidRPr="006705B1">
        <w:rPr>
          <w:rFonts w:ascii="Book Antiqua" w:hAnsi="Book Antiqua" w:cs="Arial"/>
        </w:rPr>
        <w:t xml:space="preserve"> </w:t>
      </w:r>
      <w:r w:rsidR="006705B1" w:rsidRPr="006705B1">
        <w:rPr>
          <w:rFonts w:ascii="Book Antiqua" w:hAnsi="Book Antiqua" w:cs="Arial"/>
        </w:rPr>
        <w:t xml:space="preserve">has not been considered </w:t>
      </w:r>
      <w:r w:rsidR="00B740D3" w:rsidRPr="006705B1">
        <w:rPr>
          <w:rFonts w:ascii="Book Antiqua" w:hAnsi="Book Antiqua" w:cs="Arial"/>
        </w:rPr>
        <w:t>in the context of a decision where the evidential burden has been met.</w:t>
      </w:r>
      <w:r w:rsidR="006705B1" w:rsidRPr="006705B1">
        <w:rPr>
          <w:rFonts w:ascii="Book Antiqua" w:hAnsi="Book Antiqua" w:cs="Arial"/>
        </w:rPr>
        <w:t xml:space="preserve">  Therefore, given that it has not been established that the Appellant did not use deception, and therefore whether he met the requirements of Appendix FM, I find </w:t>
      </w:r>
      <w:r w:rsidRPr="00815DFF">
        <w:rPr>
          <w:rFonts w:ascii="Book Antiqua" w:hAnsi="Book Antiqua" w:cs="Arial"/>
        </w:rPr>
        <w:t xml:space="preserve">that the failure to </w:t>
      </w:r>
      <w:r>
        <w:rPr>
          <w:rFonts w:ascii="Book Antiqua" w:hAnsi="Book Antiqua" w:cs="Arial"/>
        </w:rPr>
        <w:t xml:space="preserve">give full consideration to </w:t>
      </w:r>
      <w:r w:rsidRPr="00815DFF">
        <w:rPr>
          <w:rFonts w:ascii="Book Antiqua" w:hAnsi="Book Antiqua" w:cs="Arial"/>
        </w:rPr>
        <w:t>Article 8 is a material error</w:t>
      </w:r>
      <w:r>
        <w:rPr>
          <w:rFonts w:ascii="Book Antiqua" w:hAnsi="Book Antiqua" w:cs="Arial"/>
        </w:rPr>
        <w:t xml:space="preserve">.  </w:t>
      </w:r>
    </w:p>
    <w:p w:rsidR="00AE31A1" w:rsidRPr="00AE31A1" w:rsidRDefault="00AE31A1" w:rsidP="00AE31A1">
      <w:pPr>
        <w:pStyle w:val="ListParagraph"/>
        <w:rPr>
          <w:rFonts w:ascii="Book Antiqua" w:hAnsi="Book Antiqua" w:cs="Arial"/>
        </w:rPr>
      </w:pPr>
    </w:p>
    <w:p w:rsidR="00AE31A1" w:rsidRPr="00AE31A1" w:rsidRDefault="00AE31A1" w:rsidP="00AE31A1">
      <w:pPr>
        <w:pStyle w:val="ListParagraph"/>
        <w:numPr>
          <w:ilvl w:val="0"/>
          <w:numId w:val="1"/>
        </w:numPr>
        <w:jc w:val="both"/>
        <w:rPr>
          <w:rFonts w:ascii="Book Antiqua" w:hAnsi="Book Antiqua" w:cs="Arial"/>
        </w:rPr>
      </w:pPr>
      <w:r>
        <w:rPr>
          <w:rFonts w:ascii="Book Antiqua" w:hAnsi="Book Antiqua" w:cs="Arial"/>
        </w:rPr>
        <w:t>It was submitted that, in the event that I were to find a material error, the case should be remitted because the Appellant would need to request the tape of his voice recording and instruct experts accordingly</w:t>
      </w:r>
      <w:r w:rsidR="006705B1">
        <w:rPr>
          <w:rFonts w:ascii="Book Antiqua" w:hAnsi="Book Antiqua" w:cs="Arial"/>
        </w:rPr>
        <w:t>, and because there had been no proper consideration of Article 8</w:t>
      </w:r>
      <w:r>
        <w:rPr>
          <w:rFonts w:ascii="Book Antiqua" w:hAnsi="Book Antiqua" w:cs="Arial"/>
        </w:rPr>
        <w:t xml:space="preserve">.  </w:t>
      </w:r>
      <w:r w:rsidRPr="00AE31A1">
        <w:rPr>
          <w:rFonts w:ascii="Book Antiqua" w:hAnsi="Book Antiqua"/>
        </w:rPr>
        <w:t xml:space="preserve">I have taken account of the Practice Statement dated 10 February 2010, paragraph 7.2.  This contemplates that an appeal may be remitted to the First-tier Tribunal where the effect of the error has been to deprive a party before the First-tier Tribunal of a fair hearing or other opportunity for the party’s case to be put to and considered by the First-tier Tribunal.  </w:t>
      </w:r>
      <w:r>
        <w:rPr>
          <w:rFonts w:ascii="Book Antiqua" w:hAnsi="Book Antiqua"/>
        </w:rPr>
        <w:t>G</w:t>
      </w:r>
      <w:r w:rsidRPr="00AE31A1">
        <w:rPr>
          <w:rFonts w:ascii="Book Antiqua" w:hAnsi="Book Antiqua"/>
        </w:rPr>
        <w:t>iven the nature and extent of the fact-finding necessary to enable this appeal to be remade, having regard to the overriding objective,</w:t>
      </w:r>
      <w:r w:rsidRPr="00AE31A1">
        <w:rPr>
          <w:rFonts w:ascii="Book Antiqua" w:hAnsi="Book Antiqua" w:cs="Arial"/>
        </w:rPr>
        <w:t xml:space="preserve"> </w:t>
      </w:r>
      <w:r w:rsidRPr="00AE31A1">
        <w:rPr>
          <w:rFonts w:ascii="Book Antiqua" w:hAnsi="Book Antiqua"/>
        </w:rPr>
        <w:t>I find that it is appropriate to remit this case to the First-tier Tribunal.</w:t>
      </w:r>
    </w:p>
    <w:p w:rsidR="00AE31A1" w:rsidRPr="00276E6A" w:rsidRDefault="00AE31A1" w:rsidP="00276E6A">
      <w:pPr>
        <w:pStyle w:val="ListParagraph"/>
        <w:ind w:left="570"/>
        <w:jc w:val="both"/>
        <w:rPr>
          <w:rFonts w:ascii="Book Antiqua" w:hAnsi="Book Antiqua" w:cs="Arial"/>
        </w:rPr>
      </w:pPr>
    </w:p>
    <w:p w:rsidR="00847259" w:rsidRPr="00276E6A" w:rsidRDefault="00847259" w:rsidP="00276E6A">
      <w:pPr>
        <w:jc w:val="both"/>
        <w:rPr>
          <w:rFonts w:ascii="Book Antiqua" w:hAnsi="Book Antiqua" w:cs="Arial"/>
        </w:rPr>
      </w:pPr>
      <w:r w:rsidRPr="00276E6A">
        <w:rPr>
          <w:rFonts w:ascii="Book Antiqua" w:hAnsi="Book Antiqua" w:cs="Arial"/>
          <w:b/>
          <w:u w:val="single"/>
        </w:rPr>
        <w:t>Notice of Decision</w:t>
      </w:r>
    </w:p>
    <w:p w:rsidR="00815DFF" w:rsidRPr="00815DFF" w:rsidRDefault="00815DFF" w:rsidP="00815DFF">
      <w:pPr>
        <w:pStyle w:val="ListParagraph"/>
        <w:rPr>
          <w:rFonts w:ascii="Book Antiqua" w:hAnsi="Book Antiqua" w:cs="Arial"/>
        </w:rPr>
      </w:pPr>
    </w:p>
    <w:p w:rsidR="00815DFF" w:rsidRDefault="00815DFF" w:rsidP="00847259">
      <w:pPr>
        <w:pStyle w:val="ListParagraph"/>
        <w:numPr>
          <w:ilvl w:val="0"/>
          <w:numId w:val="1"/>
        </w:numPr>
        <w:jc w:val="both"/>
        <w:rPr>
          <w:rFonts w:ascii="Book Antiqua" w:hAnsi="Book Antiqua" w:cs="Arial"/>
        </w:rPr>
      </w:pPr>
      <w:r>
        <w:rPr>
          <w:rFonts w:ascii="Book Antiqua" w:hAnsi="Book Antiqua" w:cs="Arial"/>
        </w:rPr>
        <w:t>The decision of the First-tier Tribunal involves the making of a material error of law, and I set the decision aside.</w:t>
      </w:r>
    </w:p>
    <w:p w:rsidR="00815DFF" w:rsidRPr="00815DFF" w:rsidRDefault="00815DFF" w:rsidP="00815DFF">
      <w:pPr>
        <w:pStyle w:val="ListParagraph"/>
        <w:rPr>
          <w:rFonts w:ascii="Book Antiqua" w:hAnsi="Book Antiqua" w:cs="Arial"/>
        </w:rPr>
      </w:pPr>
    </w:p>
    <w:p w:rsidR="00815DFF" w:rsidRDefault="00815DFF" w:rsidP="00847259">
      <w:pPr>
        <w:pStyle w:val="ListParagraph"/>
        <w:numPr>
          <w:ilvl w:val="0"/>
          <w:numId w:val="1"/>
        </w:numPr>
        <w:jc w:val="both"/>
        <w:rPr>
          <w:rFonts w:ascii="Book Antiqua" w:hAnsi="Book Antiqua" w:cs="Arial"/>
        </w:rPr>
      </w:pPr>
      <w:r>
        <w:rPr>
          <w:rFonts w:ascii="Book Antiqua" w:hAnsi="Book Antiqua" w:cs="Arial"/>
        </w:rPr>
        <w:t>The appeal is remitted to the First-tier Tribunal to be reheard.</w:t>
      </w:r>
    </w:p>
    <w:p w:rsidR="00815DFF" w:rsidRPr="00815DFF" w:rsidRDefault="00815DFF" w:rsidP="00815DFF">
      <w:pPr>
        <w:pStyle w:val="ListParagraph"/>
        <w:rPr>
          <w:rFonts w:ascii="Book Antiqua" w:hAnsi="Book Antiqua" w:cs="Arial"/>
        </w:rPr>
      </w:pPr>
    </w:p>
    <w:p w:rsidR="00815DFF" w:rsidRDefault="00815DFF" w:rsidP="00847259">
      <w:pPr>
        <w:pStyle w:val="ListParagraph"/>
        <w:numPr>
          <w:ilvl w:val="0"/>
          <w:numId w:val="1"/>
        </w:numPr>
        <w:jc w:val="both"/>
        <w:rPr>
          <w:rFonts w:ascii="Book Antiqua" w:hAnsi="Book Antiqua" w:cs="Arial"/>
        </w:rPr>
      </w:pPr>
      <w:r>
        <w:rPr>
          <w:rFonts w:ascii="Book Antiqua" w:hAnsi="Book Antiqua" w:cs="Arial"/>
        </w:rPr>
        <w:t>The appeal is not to be listed before Judge Anthony.</w:t>
      </w:r>
    </w:p>
    <w:p w:rsidR="00815DFF" w:rsidRPr="00815DFF" w:rsidRDefault="00815DFF" w:rsidP="00815DFF">
      <w:pPr>
        <w:pStyle w:val="ListParagraph"/>
        <w:rPr>
          <w:rFonts w:ascii="Book Antiqua" w:hAnsi="Book Antiqua" w:cs="Arial"/>
        </w:rPr>
      </w:pPr>
    </w:p>
    <w:p w:rsidR="00847259" w:rsidRPr="00815DFF" w:rsidRDefault="00847259" w:rsidP="00847259">
      <w:pPr>
        <w:pStyle w:val="ListParagraph"/>
        <w:numPr>
          <w:ilvl w:val="0"/>
          <w:numId w:val="1"/>
        </w:numPr>
        <w:jc w:val="both"/>
        <w:rPr>
          <w:rFonts w:ascii="Book Antiqua" w:hAnsi="Book Antiqua" w:cs="Arial"/>
        </w:rPr>
      </w:pPr>
      <w:r w:rsidRPr="00815DFF">
        <w:rPr>
          <w:rFonts w:ascii="Book Antiqua" w:hAnsi="Book Antiqua" w:cs="Arial"/>
        </w:rPr>
        <w:t>No anonymity direction is made.</w:t>
      </w:r>
    </w:p>
    <w:p w:rsidR="00847259" w:rsidRDefault="00847259" w:rsidP="00847259">
      <w:pPr>
        <w:jc w:val="both"/>
        <w:rPr>
          <w:rFonts w:ascii="Book Antiqua" w:hAnsi="Book Antiqua" w:cs="Arial"/>
        </w:rPr>
      </w:pPr>
    </w:p>
    <w:p w:rsidR="009F5220" w:rsidRPr="00AE6DDE"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815DFF">
        <w:rPr>
          <w:rFonts w:ascii="Book Antiqua" w:hAnsi="Book Antiqua" w:cs="Arial"/>
        </w:rPr>
        <w:t xml:space="preserve"> 26 June 2018</w:t>
      </w:r>
    </w:p>
    <w:p w:rsidR="001F2716" w:rsidRPr="00AE6DDE" w:rsidRDefault="001F2716" w:rsidP="00847259">
      <w:pPr>
        <w:jc w:val="both"/>
        <w:rPr>
          <w:rFonts w:ascii="Book Antiqua" w:hAnsi="Book Antiqua" w:cs="Arial"/>
        </w:rPr>
      </w:pPr>
    </w:p>
    <w:p w:rsidR="00815DFF" w:rsidRDefault="00347A9C" w:rsidP="000F43FE">
      <w:pPr>
        <w:jc w:val="both"/>
        <w:rPr>
          <w:rFonts w:ascii="Book Antiqua" w:hAnsi="Book Antiqua" w:cs="Arial"/>
        </w:rPr>
      </w:pPr>
      <w:r w:rsidRPr="00815DFF">
        <w:rPr>
          <w:rFonts w:ascii="Book Antiqua" w:hAnsi="Book Antiqua" w:cs="Arial"/>
          <w:b/>
          <w:color w:val="000000"/>
          <w:u w:val="single"/>
        </w:rPr>
        <w:t xml:space="preserve">Deputy Upper Tribunal </w:t>
      </w:r>
      <w:r w:rsidR="00F91A14" w:rsidRPr="00815DFF">
        <w:rPr>
          <w:rFonts w:ascii="Book Antiqua" w:hAnsi="Book Antiqua" w:cs="Arial"/>
          <w:b/>
          <w:color w:val="000000"/>
          <w:u w:val="single"/>
        </w:rPr>
        <w:t>Judge</w:t>
      </w:r>
      <w:r w:rsidRPr="00815DFF">
        <w:rPr>
          <w:rFonts w:ascii="Book Antiqua" w:hAnsi="Book Antiqua" w:cs="Arial"/>
          <w:b/>
          <w:color w:val="000000"/>
          <w:u w:val="single"/>
        </w:rPr>
        <w:t xml:space="preserve"> </w:t>
      </w:r>
      <w:r w:rsidR="00C520FF" w:rsidRPr="00815DFF">
        <w:rPr>
          <w:rFonts w:ascii="Book Antiqua" w:hAnsi="Book Antiqua" w:cs="Arial"/>
          <w:b/>
          <w:color w:val="000000"/>
          <w:u w:val="single"/>
        </w:rPr>
        <w:t>Chamberlain</w:t>
      </w:r>
      <w:r w:rsidR="005E761F" w:rsidRPr="00815DFF">
        <w:rPr>
          <w:rFonts w:ascii="Book Antiqua" w:hAnsi="Book Antiqua" w:cs="Arial"/>
          <w:b/>
          <w:color w:val="000000"/>
          <w:u w:val="single"/>
        </w:rPr>
        <w:t xml:space="preserve"> </w:t>
      </w:r>
    </w:p>
    <w:sectPr w:rsidR="00815DFF" w:rsidSect="00CF01DA">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632" w:rsidRDefault="00E83632">
      <w:r>
        <w:separator/>
      </w:r>
    </w:p>
  </w:endnote>
  <w:endnote w:type="continuationSeparator" w:id="0">
    <w:p w:rsidR="00E83632" w:rsidRDefault="00E83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974" w:rsidRPr="00CF01DA" w:rsidRDefault="00306974" w:rsidP="00593795">
    <w:pPr>
      <w:pStyle w:val="Footer"/>
      <w:jc w:val="center"/>
      <w:rPr>
        <w:rFonts w:ascii="Book Antiqua" w:hAnsi="Book Antiqua" w:cs="Arial"/>
      </w:rPr>
    </w:pPr>
    <w:r w:rsidRPr="00CF01DA">
      <w:rPr>
        <w:rStyle w:val="PageNumber"/>
        <w:rFonts w:ascii="Book Antiqua" w:hAnsi="Book Antiqua" w:cs="Arial"/>
      </w:rPr>
      <w:fldChar w:fldCharType="begin"/>
    </w:r>
    <w:r w:rsidRPr="00CF01DA">
      <w:rPr>
        <w:rStyle w:val="PageNumber"/>
        <w:rFonts w:ascii="Book Antiqua" w:hAnsi="Book Antiqua" w:cs="Arial"/>
      </w:rPr>
      <w:instrText xml:space="preserve"> PAGE </w:instrText>
    </w:r>
    <w:r w:rsidRPr="00CF01DA">
      <w:rPr>
        <w:rStyle w:val="PageNumber"/>
        <w:rFonts w:ascii="Book Antiqua" w:hAnsi="Book Antiqua" w:cs="Arial"/>
      </w:rPr>
      <w:fldChar w:fldCharType="separate"/>
    </w:r>
    <w:r w:rsidR="00AE46B8">
      <w:rPr>
        <w:rStyle w:val="PageNumber"/>
        <w:rFonts w:ascii="Book Antiqua" w:hAnsi="Book Antiqua" w:cs="Arial"/>
        <w:noProof/>
      </w:rPr>
      <w:t>4</w:t>
    </w:r>
    <w:r w:rsidRPr="00CF01D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974" w:rsidRPr="00AE6DDE" w:rsidRDefault="00306974"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632" w:rsidRDefault="00E83632">
      <w:r>
        <w:separator/>
      </w:r>
    </w:p>
  </w:footnote>
  <w:footnote w:type="continuationSeparator" w:id="0">
    <w:p w:rsidR="00E83632" w:rsidRDefault="00E83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974" w:rsidRDefault="0030697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Pr>
        <w:rFonts w:ascii="Book Antiqua" w:hAnsi="Book Antiqua" w:cs="Arial"/>
        <w:sz w:val="16"/>
        <w:szCs w:val="16"/>
      </w:rPr>
      <w:t>HU/06237/2017</w:t>
    </w:r>
  </w:p>
  <w:p w:rsidR="00CF01DA" w:rsidRPr="00AE6DDE" w:rsidRDefault="00CF01D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974" w:rsidRPr="00AE6DDE" w:rsidRDefault="0030697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C2BBA"/>
    <w:multiLevelType w:val="hybridMultilevel"/>
    <w:tmpl w:val="DAB6147C"/>
    <w:lvl w:ilvl="0" w:tplc="EC06646C">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E727535"/>
    <w:multiLevelType w:val="hybridMultilevel"/>
    <w:tmpl w:val="C2B63A78"/>
    <w:lvl w:ilvl="0" w:tplc="1144BC74">
      <w:start w:val="1"/>
      <w:numFmt w:val="decimal"/>
      <w:lvlText w:val="%1."/>
      <w:lvlJc w:val="left"/>
      <w:pPr>
        <w:ind w:left="930" w:hanging="57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41"/>
    <w:rsid w:val="00000621"/>
    <w:rsid w:val="000036C2"/>
    <w:rsid w:val="0001296B"/>
    <w:rsid w:val="000260D7"/>
    <w:rsid w:val="00033D3D"/>
    <w:rsid w:val="00036302"/>
    <w:rsid w:val="00062F02"/>
    <w:rsid w:val="00063D49"/>
    <w:rsid w:val="00071A7E"/>
    <w:rsid w:val="000746C0"/>
    <w:rsid w:val="00074D1D"/>
    <w:rsid w:val="00074DFA"/>
    <w:rsid w:val="00092580"/>
    <w:rsid w:val="00093D4D"/>
    <w:rsid w:val="000B24F7"/>
    <w:rsid w:val="000B48F8"/>
    <w:rsid w:val="000C4CC2"/>
    <w:rsid w:val="000D1273"/>
    <w:rsid w:val="000D5D94"/>
    <w:rsid w:val="000F1A0E"/>
    <w:rsid w:val="000F43FE"/>
    <w:rsid w:val="0010486F"/>
    <w:rsid w:val="00111113"/>
    <w:rsid w:val="001165A7"/>
    <w:rsid w:val="00142DD1"/>
    <w:rsid w:val="00152F50"/>
    <w:rsid w:val="0015390C"/>
    <w:rsid w:val="00167D3A"/>
    <w:rsid w:val="00173946"/>
    <w:rsid w:val="00173A2D"/>
    <w:rsid w:val="001A3082"/>
    <w:rsid w:val="001B186A"/>
    <w:rsid w:val="001B2F75"/>
    <w:rsid w:val="001C4EBC"/>
    <w:rsid w:val="001C60D4"/>
    <w:rsid w:val="001E51B9"/>
    <w:rsid w:val="001F2716"/>
    <w:rsid w:val="002073A9"/>
    <w:rsid w:val="00207617"/>
    <w:rsid w:val="00224D49"/>
    <w:rsid w:val="0023134B"/>
    <w:rsid w:val="002376E5"/>
    <w:rsid w:val="00252EB7"/>
    <w:rsid w:val="00253D70"/>
    <w:rsid w:val="00254DBC"/>
    <w:rsid w:val="00276E6A"/>
    <w:rsid w:val="002827FF"/>
    <w:rsid w:val="00283659"/>
    <w:rsid w:val="002C6BD4"/>
    <w:rsid w:val="002D083B"/>
    <w:rsid w:val="002D4446"/>
    <w:rsid w:val="002D68BF"/>
    <w:rsid w:val="002F6B98"/>
    <w:rsid w:val="00305391"/>
    <w:rsid w:val="00306974"/>
    <w:rsid w:val="00336CBF"/>
    <w:rsid w:val="00343FE3"/>
    <w:rsid w:val="00347A9C"/>
    <w:rsid w:val="003546C8"/>
    <w:rsid w:val="003A0375"/>
    <w:rsid w:val="003A7CF2"/>
    <w:rsid w:val="003C5CE5"/>
    <w:rsid w:val="003D4346"/>
    <w:rsid w:val="003E267B"/>
    <w:rsid w:val="003E7CD1"/>
    <w:rsid w:val="003F4C61"/>
    <w:rsid w:val="003F6085"/>
    <w:rsid w:val="00402B9E"/>
    <w:rsid w:val="00410277"/>
    <w:rsid w:val="004249CB"/>
    <w:rsid w:val="0044127D"/>
    <w:rsid w:val="004448DB"/>
    <w:rsid w:val="00446C9A"/>
    <w:rsid w:val="00447988"/>
    <w:rsid w:val="00452F2B"/>
    <w:rsid w:val="00471E3C"/>
    <w:rsid w:val="00477193"/>
    <w:rsid w:val="004A1848"/>
    <w:rsid w:val="004A6F4A"/>
    <w:rsid w:val="004E1A8C"/>
    <w:rsid w:val="004E4717"/>
    <w:rsid w:val="004F672C"/>
    <w:rsid w:val="0050388A"/>
    <w:rsid w:val="00507FEC"/>
    <w:rsid w:val="00510F0E"/>
    <w:rsid w:val="005420FD"/>
    <w:rsid w:val="005473D4"/>
    <w:rsid w:val="005479E1"/>
    <w:rsid w:val="00550C22"/>
    <w:rsid w:val="00553E0A"/>
    <w:rsid w:val="005570FD"/>
    <w:rsid w:val="005575EA"/>
    <w:rsid w:val="0057790C"/>
    <w:rsid w:val="00593795"/>
    <w:rsid w:val="00596130"/>
    <w:rsid w:val="005A75FF"/>
    <w:rsid w:val="005C2B9C"/>
    <w:rsid w:val="005D10AB"/>
    <w:rsid w:val="005E3B61"/>
    <w:rsid w:val="005E761F"/>
    <w:rsid w:val="005F459C"/>
    <w:rsid w:val="005F7F41"/>
    <w:rsid w:val="00601D8F"/>
    <w:rsid w:val="0062078F"/>
    <w:rsid w:val="00653E97"/>
    <w:rsid w:val="006705B1"/>
    <w:rsid w:val="00684A74"/>
    <w:rsid w:val="00690B8A"/>
    <w:rsid w:val="006E47C4"/>
    <w:rsid w:val="006F2CF1"/>
    <w:rsid w:val="00703184"/>
    <w:rsid w:val="007038ED"/>
    <w:rsid w:val="00703BC3"/>
    <w:rsid w:val="00704B61"/>
    <w:rsid w:val="007411D6"/>
    <w:rsid w:val="007552A9"/>
    <w:rsid w:val="00761858"/>
    <w:rsid w:val="00767D59"/>
    <w:rsid w:val="00776E97"/>
    <w:rsid w:val="00780F86"/>
    <w:rsid w:val="007912AD"/>
    <w:rsid w:val="007A0794"/>
    <w:rsid w:val="007B0824"/>
    <w:rsid w:val="007B5D3C"/>
    <w:rsid w:val="007E7B86"/>
    <w:rsid w:val="00815DFF"/>
    <w:rsid w:val="00821B72"/>
    <w:rsid w:val="00823EF2"/>
    <w:rsid w:val="00827025"/>
    <w:rsid w:val="008303B8"/>
    <w:rsid w:val="00833DCE"/>
    <w:rsid w:val="00847259"/>
    <w:rsid w:val="008478F6"/>
    <w:rsid w:val="00854534"/>
    <w:rsid w:val="00871D34"/>
    <w:rsid w:val="00874D45"/>
    <w:rsid w:val="008B270C"/>
    <w:rsid w:val="008B5078"/>
    <w:rsid w:val="008C3D3D"/>
    <w:rsid w:val="008D4131"/>
    <w:rsid w:val="008F1932"/>
    <w:rsid w:val="008F5D0E"/>
    <w:rsid w:val="0090666A"/>
    <w:rsid w:val="00921062"/>
    <w:rsid w:val="0093308F"/>
    <w:rsid w:val="00942BEE"/>
    <w:rsid w:val="00947565"/>
    <w:rsid w:val="0095589A"/>
    <w:rsid w:val="009722BC"/>
    <w:rsid w:val="009727A3"/>
    <w:rsid w:val="00975342"/>
    <w:rsid w:val="009776B6"/>
    <w:rsid w:val="00984E64"/>
    <w:rsid w:val="00987774"/>
    <w:rsid w:val="009A11E8"/>
    <w:rsid w:val="009B443B"/>
    <w:rsid w:val="009D1EA3"/>
    <w:rsid w:val="009F5220"/>
    <w:rsid w:val="009F6BAB"/>
    <w:rsid w:val="00A15234"/>
    <w:rsid w:val="00A201AB"/>
    <w:rsid w:val="00A31C8B"/>
    <w:rsid w:val="00A345F6"/>
    <w:rsid w:val="00A509FA"/>
    <w:rsid w:val="00A57B5D"/>
    <w:rsid w:val="00A845DC"/>
    <w:rsid w:val="00A92942"/>
    <w:rsid w:val="00AA4871"/>
    <w:rsid w:val="00AD30EF"/>
    <w:rsid w:val="00AD5231"/>
    <w:rsid w:val="00AE31A1"/>
    <w:rsid w:val="00AE46B8"/>
    <w:rsid w:val="00AE6DDE"/>
    <w:rsid w:val="00AE7D4D"/>
    <w:rsid w:val="00AF5BD9"/>
    <w:rsid w:val="00B26AA2"/>
    <w:rsid w:val="00B3524D"/>
    <w:rsid w:val="00B3577D"/>
    <w:rsid w:val="00B40F69"/>
    <w:rsid w:val="00B42A0B"/>
    <w:rsid w:val="00B46616"/>
    <w:rsid w:val="00B7040A"/>
    <w:rsid w:val="00B740D3"/>
    <w:rsid w:val="00B83391"/>
    <w:rsid w:val="00B87C01"/>
    <w:rsid w:val="00B95326"/>
    <w:rsid w:val="00BD4196"/>
    <w:rsid w:val="00BE6840"/>
    <w:rsid w:val="00BF22CA"/>
    <w:rsid w:val="00BF23BB"/>
    <w:rsid w:val="00C25A28"/>
    <w:rsid w:val="00C26032"/>
    <w:rsid w:val="00C345E1"/>
    <w:rsid w:val="00C43BFD"/>
    <w:rsid w:val="00C520FF"/>
    <w:rsid w:val="00C53074"/>
    <w:rsid w:val="00C612EB"/>
    <w:rsid w:val="00CB6E35"/>
    <w:rsid w:val="00CD3634"/>
    <w:rsid w:val="00CD58CE"/>
    <w:rsid w:val="00CD59AC"/>
    <w:rsid w:val="00CE1A46"/>
    <w:rsid w:val="00CF01DA"/>
    <w:rsid w:val="00D16E95"/>
    <w:rsid w:val="00D20757"/>
    <w:rsid w:val="00D22636"/>
    <w:rsid w:val="00D310C6"/>
    <w:rsid w:val="00D36D7D"/>
    <w:rsid w:val="00D40FD9"/>
    <w:rsid w:val="00D45631"/>
    <w:rsid w:val="00D53769"/>
    <w:rsid w:val="00D828BA"/>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1377F"/>
    <w:rsid w:val="00E30683"/>
    <w:rsid w:val="00E453D8"/>
    <w:rsid w:val="00E50BCE"/>
    <w:rsid w:val="00E574BF"/>
    <w:rsid w:val="00E61292"/>
    <w:rsid w:val="00E67616"/>
    <w:rsid w:val="00E77C4D"/>
    <w:rsid w:val="00E81D01"/>
    <w:rsid w:val="00E83632"/>
    <w:rsid w:val="00E845A5"/>
    <w:rsid w:val="00EC3840"/>
    <w:rsid w:val="00EE45D8"/>
    <w:rsid w:val="00EE5C19"/>
    <w:rsid w:val="00EF01EE"/>
    <w:rsid w:val="00F22EDA"/>
    <w:rsid w:val="00F4618C"/>
    <w:rsid w:val="00F74FA7"/>
    <w:rsid w:val="00F91A14"/>
    <w:rsid w:val="00FB6DB1"/>
    <w:rsid w:val="00FC244D"/>
    <w:rsid w:val="00FC5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ACDF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F91A14"/>
    <w:pPr>
      <w:ind w:left="720"/>
      <w:contextualSpacing/>
    </w:pPr>
  </w:style>
  <w:style w:type="paragraph" w:customStyle="1" w:styleId="paralevel1">
    <w:name w:val="paralevel1"/>
    <w:basedOn w:val="Normal"/>
    <w:rsid w:val="00815D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13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2136</Words>
  <Characters>10529</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2018-07-16T16:41:00Z</dcterms:created>
  <dcterms:modified xsi:type="dcterms:W3CDTF">2018-07-16T16:41:00Z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