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DA976" w14:textId="77777777" w:rsidR="0050388A" w:rsidRPr="00213E75" w:rsidRDefault="000F193E" w:rsidP="0050388A">
      <w:pPr>
        <w:jc w:val="center"/>
        <w:rPr>
          <w:rFonts w:ascii="Book Antiqua" w:hAnsi="Book Antiqua" w:cs="Arial"/>
          <w:caps/>
          <w:color w:val="000000"/>
          <w:sz w:val="16"/>
          <w:szCs w:val="16"/>
        </w:rPr>
      </w:pPr>
      <w:r w:rsidRPr="00213E75">
        <w:rPr>
          <w:noProof/>
          <w:sz w:val="16"/>
          <w:szCs w:val="16"/>
        </w:rPr>
        <w:drawing>
          <wp:inline distT="0" distB="0" distL="0" distR="0" wp14:anchorId="1023E488" wp14:editId="4C02FC37">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14:paraId="307EDDD3" w14:textId="77777777" w:rsidR="00D94AFC" w:rsidRPr="00213E75" w:rsidRDefault="00D94AFC">
      <w:pPr>
        <w:rPr>
          <w:rFonts w:ascii="Book Antiqua" w:hAnsi="Book Antiqua" w:cs="Arial"/>
          <w:color w:val="000000"/>
          <w:sz w:val="16"/>
          <w:szCs w:val="16"/>
        </w:rPr>
      </w:pPr>
    </w:p>
    <w:p w14:paraId="0E10C564"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347149B9" w14:textId="77777777"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D315B9">
        <w:rPr>
          <w:rFonts w:ascii="Book Antiqua" w:hAnsi="Book Antiqua" w:cs="Arial"/>
          <w:caps/>
          <w:color w:val="000000"/>
        </w:rPr>
        <w:t>HU/06266/2015</w:t>
      </w:r>
      <w:bookmarkEnd w:id="0"/>
    </w:p>
    <w:p w14:paraId="7926011D" w14:textId="77777777" w:rsidR="00C345E1" w:rsidRPr="00AE6DDE" w:rsidRDefault="00C345E1" w:rsidP="00C345E1">
      <w:pPr>
        <w:jc w:val="center"/>
        <w:rPr>
          <w:rFonts w:ascii="Book Antiqua" w:hAnsi="Book Antiqua" w:cs="Arial"/>
          <w:color w:val="000000"/>
        </w:rPr>
      </w:pPr>
    </w:p>
    <w:p w14:paraId="4205BD9B" w14:textId="77777777" w:rsidR="00C345E1" w:rsidRPr="00AE6DDE" w:rsidRDefault="00C345E1" w:rsidP="00C345E1">
      <w:pPr>
        <w:jc w:val="center"/>
        <w:rPr>
          <w:rFonts w:ascii="Book Antiqua" w:hAnsi="Book Antiqua" w:cs="Arial"/>
          <w:color w:val="000000"/>
        </w:rPr>
      </w:pPr>
    </w:p>
    <w:p w14:paraId="7147B7C0"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676135C9" w14:textId="77777777" w:rsidR="00C345E1" w:rsidRPr="00AE6DDE" w:rsidRDefault="00C345E1" w:rsidP="00C345E1">
      <w:pPr>
        <w:jc w:val="center"/>
        <w:rPr>
          <w:rFonts w:ascii="Book Antiqua" w:hAnsi="Book Antiqua" w:cs="Arial"/>
          <w:b/>
          <w:u w:val="single"/>
        </w:rPr>
      </w:pPr>
    </w:p>
    <w:p w14:paraId="175955BC" w14:textId="77777777"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43"/>
        <w:gridCol w:w="3895"/>
      </w:tblGrid>
      <w:tr w:rsidR="00D22636" w:rsidRPr="00AE6DDE" w14:paraId="4B57C853" w14:textId="77777777" w:rsidTr="00847259">
        <w:tc>
          <w:tcPr>
            <w:tcW w:w="5868" w:type="dxa"/>
          </w:tcPr>
          <w:p w14:paraId="593ACE7C"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D315B9">
              <w:rPr>
                <w:rFonts w:ascii="Book Antiqua" w:hAnsi="Book Antiqua" w:cs="Arial"/>
                <w:b/>
              </w:rPr>
              <w:t>Field House</w:t>
            </w:r>
          </w:p>
        </w:tc>
        <w:tc>
          <w:tcPr>
            <w:tcW w:w="3960" w:type="dxa"/>
          </w:tcPr>
          <w:p w14:paraId="401045EF" w14:textId="77777777" w:rsidR="00D22636" w:rsidRPr="00AE6DDE" w:rsidRDefault="00847259"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2BFFA831" w14:textId="77777777" w:rsidTr="00847259">
        <w:tc>
          <w:tcPr>
            <w:tcW w:w="5868" w:type="dxa"/>
          </w:tcPr>
          <w:p w14:paraId="01AD0494"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D315B9">
              <w:rPr>
                <w:rFonts w:ascii="Book Antiqua" w:hAnsi="Book Antiqua" w:cs="Arial"/>
                <w:b/>
              </w:rPr>
              <w:t>3 September 2018</w:t>
            </w:r>
          </w:p>
        </w:tc>
        <w:tc>
          <w:tcPr>
            <w:tcW w:w="3960" w:type="dxa"/>
          </w:tcPr>
          <w:p w14:paraId="65954EDF" w14:textId="6B66830E" w:rsidR="00D22636" w:rsidRPr="00AE6DDE" w:rsidRDefault="008F2DF8" w:rsidP="004A1848">
            <w:pPr>
              <w:jc w:val="both"/>
              <w:rPr>
                <w:rFonts w:ascii="Book Antiqua" w:hAnsi="Book Antiqua" w:cs="Arial"/>
                <w:b/>
              </w:rPr>
            </w:pPr>
            <w:r>
              <w:rPr>
                <w:rFonts w:ascii="Book Antiqua" w:hAnsi="Book Antiqua" w:cs="Arial"/>
                <w:b/>
              </w:rPr>
              <w:t>On 11 September 2018</w:t>
            </w:r>
          </w:p>
        </w:tc>
      </w:tr>
      <w:tr w:rsidR="00D22636" w:rsidRPr="00AE6DDE" w14:paraId="46545262" w14:textId="77777777" w:rsidTr="00847259">
        <w:tc>
          <w:tcPr>
            <w:tcW w:w="5868" w:type="dxa"/>
          </w:tcPr>
          <w:p w14:paraId="09E42EDB" w14:textId="77777777" w:rsidR="00D22636" w:rsidRPr="00AE6DDE" w:rsidRDefault="00D22636" w:rsidP="004A1848">
            <w:pPr>
              <w:jc w:val="both"/>
              <w:rPr>
                <w:rFonts w:ascii="Book Antiqua" w:hAnsi="Book Antiqua" w:cs="Arial"/>
                <w:b/>
              </w:rPr>
            </w:pPr>
          </w:p>
        </w:tc>
        <w:tc>
          <w:tcPr>
            <w:tcW w:w="3960" w:type="dxa"/>
          </w:tcPr>
          <w:p w14:paraId="11E62CE0" w14:textId="3F5950EB" w:rsidR="00D22636" w:rsidRPr="00AE6DDE" w:rsidRDefault="00D22636" w:rsidP="004A1848">
            <w:pPr>
              <w:jc w:val="both"/>
              <w:rPr>
                <w:rFonts w:ascii="Book Antiqua" w:hAnsi="Book Antiqua" w:cs="Arial"/>
                <w:b/>
              </w:rPr>
            </w:pPr>
          </w:p>
        </w:tc>
      </w:tr>
    </w:tbl>
    <w:p w14:paraId="32DF3474" w14:textId="77777777" w:rsidR="00A15234" w:rsidRPr="00AE6DDE" w:rsidRDefault="00A15234" w:rsidP="00A15234">
      <w:pPr>
        <w:jc w:val="center"/>
        <w:rPr>
          <w:rFonts w:ascii="Book Antiqua" w:hAnsi="Book Antiqua" w:cs="Arial"/>
        </w:rPr>
      </w:pPr>
    </w:p>
    <w:p w14:paraId="37EC1F4E"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7879D304" w14:textId="77777777" w:rsidR="00A15234" w:rsidRPr="00AE6DDE" w:rsidRDefault="00A15234" w:rsidP="00A15234">
      <w:pPr>
        <w:jc w:val="center"/>
        <w:rPr>
          <w:rFonts w:ascii="Book Antiqua" w:hAnsi="Book Antiqua" w:cs="Arial"/>
          <w:b/>
        </w:rPr>
      </w:pPr>
    </w:p>
    <w:p w14:paraId="74A13EEE" w14:textId="77777777" w:rsidR="00D20757" w:rsidRDefault="00347A9C" w:rsidP="00A15234">
      <w:pPr>
        <w:jc w:val="center"/>
        <w:rPr>
          <w:rFonts w:ascii="Book Antiqua" w:hAnsi="Book Antiqua" w:cs="Arial"/>
          <w:b/>
          <w:color w:val="000000"/>
        </w:rPr>
      </w:pPr>
      <w:smartTag w:uri="urn:schemas-microsoft-com:office:smarttags" w:element="place">
        <w:smartTag w:uri="urn:schemas-microsoft-com:office:smarttags" w:element="City">
          <w:r>
            <w:rPr>
              <w:rFonts w:ascii="Book Antiqua" w:hAnsi="Book Antiqua" w:cs="Arial"/>
              <w:b/>
              <w:color w:val="000000"/>
            </w:rPr>
            <w:t xml:space="preserve">DEPUTY UPPER TRIBUNAL JUDGE </w:t>
          </w:r>
          <w:r w:rsidR="00143A28">
            <w:rPr>
              <w:rFonts w:ascii="Book Antiqua" w:hAnsi="Book Antiqua" w:cs="Arial"/>
              <w:b/>
              <w:color w:val="000000"/>
            </w:rPr>
            <w:t>HILL</w:t>
          </w:r>
        </w:smartTag>
        <w:r w:rsidR="00143A28">
          <w:rPr>
            <w:rFonts w:ascii="Book Antiqua" w:hAnsi="Book Antiqua" w:cs="Arial"/>
            <w:b/>
            <w:color w:val="000000"/>
          </w:rPr>
          <w:t xml:space="preserve"> </w:t>
        </w:r>
        <w:smartTag w:uri="urn:schemas-microsoft-com:office:smarttags" w:element="State">
          <w:r w:rsidR="00143A28">
            <w:rPr>
              <w:rFonts w:ascii="Book Antiqua" w:hAnsi="Book Antiqua" w:cs="Arial"/>
              <w:b/>
              <w:color w:val="000000"/>
            </w:rPr>
            <w:t>QC</w:t>
          </w:r>
        </w:smartTag>
      </w:smartTag>
    </w:p>
    <w:p w14:paraId="68F821AD" w14:textId="77777777" w:rsidR="001B186A" w:rsidRPr="00AE6DDE" w:rsidRDefault="001B186A" w:rsidP="00A15234">
      <w:pPr>
        <w:jc w:val="center"/>
        <w:rPr>
          <w:rFonts w:ascii="Book Antiqua" w:hAnsi="Book Antiqua" w:cs="Arial"/>
          <w:b/>
          <w:color w:val="000000"/>
        </w:rPr>
      </w:pPr>
    </w:p>
    <w:p w14:paraId="1230D55F" w14:textId="77777777" w:rsidR="00A845DC" w:rsidRPr="00AE6DDE" w:rsidRDefault="00A845DC" w:rsidP="00A15234">
      <w:pPr>
        <w:jc w:val="center"/>
        <w:rPr>
          <w:rFonts w:ascii="Book Antiqua" w:hAnsi="Book Antiqua" w:cs="Arial"/>
          <w:b/>
        </w:rPr>
      </w:pPr>
    </w:p>
    <w:p w14:paraId="76766A16"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37D0C042" w14:textId="77777777" w:rsidR="00A845DC" w:rsidRPr="00AE6DDE" w:rsidRDefault="00A845DC" w:rsidP="00A15234">
      <w:pPr>
        <w:jc w:val="center"/>
        <w:rPr>
          <w:rFonts w:ascii="Book Antiqua" w:hAnsi="Book Antiqua" w:cs="Arial"/>
          <w:b/>
        </w:rPr>
      </w:pPr>
    </w:p>
    <w:p w14:paraId="5E6C7DF7" w14:textId="77777777" w:rsidR="00A845DC" w:rsidRDefault="00510C5E" w:rsidP="00A15234">
      <w:pPr>
        <w:jc w:val="center"/>
        <w:rPr>
          <w:rFonts w:ascii="Book Antiqua" w:hAnsi="Book Antiqua" w:cs="Arial"/>
          <w:b/>
          <w:caps/>
        </w:rPr>
      </w:pPr>
      <w:r>
        <w:rPr>
          <w:rFonts w:ascii="Book Antiqua" w:hAnsi="Book Antiqua" w:cs="Arial"/>
          <w:b/>
          <w:caps/>
        </w:rPr>
        <w:t>Mr JAPHET BARUELA</w:t>
      </w:r>
    </w:p>
    <w:p w14:paraId="5F8A7E1F" w14:textId="77777777" w:rsidR="000E3137" w:rsidRPr="00213E75" w:rsidRDefault="000E3137" w:rsidP="000E3137">
      <w:pPr>
        <w:jc w:val="center"/>
        <w:rPr>
          <w:rFonts w:ascii="Book Antiqua" w:hAnsi="Book Antiqua" w:cs="Arial"/>
          <w:b/>
          <w:caps/>
          <w:sz w:val="22"/>
        </w:rPr>
      </w:pPr>
      <w:bookmarkStart w:id="1" w:name="Text25"/>
      <w:r w:rsidRPr="00213E75">
        <w:rPr>
          <w:rFonts w:ascii="Book Antiqua" w:hAnsi="Book Antiqua" w:cs="Arial"/>
          <w:b/>
          <w:caps/>
          <w:sz w:val="22"/>
        </w:rPr>
        <w:t>(anonymity direct</w:t>
      </w:r>
      <w:bookmarkEnd w:id="1"/>
      <w:r w:rsidRPr="00213E75">
        <w:rPr>
          <w:rFonts w:ascii="Book Antiqua" w:hAnsi="Book Antiqua" w:cs="Arial"/>
          <w:b/>
          <w:caps/>
          <w:sz w:val="22"/>
        </w:rPr>
        <w:t>ion not made)</w:t>
      </w:r>
    </w:p>
    <w:p w14:paraId="626276C0" w14:textId="5F1556A2" w:rsidR="00704B61" w:rsidRPr="00AE6DDE" w:rsidRDefault="00704B61" w:rsidP="000E3137">
      <w:pPr>
        <w:jc w:val="right"/>
        <w:rPr>
          <w:rFonts w:ascii="Book Antiqua" w:hAnsi="Book Antiqua" w:cs="Arial"/>
          <w:u w:val="single"/>
        </w:rPr>
      </w:pPr>
      <w:r w:rsidRPr="00AE6DDE">
        <w:rPr>
          <w:rFonts w:ascii="Book Antiqua" w:hAnsi="Book Antiqua" w:cs="Arial"/>
          <w:u w:val="single"/>
        </w:rPr>
        <w:t>Appellant</w:t>
      </w:r>
    </w:p>
    <w:p w14:paraId="76729916"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2567E312" w14:textId="77777777" w:rsidR="00DD5071" w:rsidRPr="00AE6DDE" w:rsidRDefault="00DD5071" w:rsidP="00704B61">
      <w:pPr>
        <w:jc w:val="center"/>
        <w:rPr>
          <w:rFonts w:ascii="Book Antiqua" w:hAnsi="Book Antiqua" w:cs="Arial"/>
          <w:b/>
        </w:rPr>
      </w:pPr>
    </w:p>
    <w:p w14:paraId="1D7EE99B" w14:textId="77777777"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2"/>
    </w:p>
    <w:p w14:paraId="7FCD86A4"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0AB34EBF" w14:textId="77777777" w:rsidR="00DD5071" w:rsidRPr="00AE6DDE" w:rsidRDefault="00DD5071" w:rsidP="00DD5071">
      <w:pPr>
        <w:rPr>
          <w:rFonts w:ascii="Book Antiqua" w:hAnsi="Book Antiqua" w:cs="Arial"/>
          <w:u w:val="single"/>
        </w:rPr>
      </w:pPr>
    </w:p>
    <w:p w14:paraId="1BE0B0F5" w14:textId="77777777" w:rsidR="00DD5071" w:rsidRPr="00AE6DDE" w:rsidRDefault="00DD5071" w:rsidP="00DD5071">
      <w:pPr>
        <w:rPr>
          <w:rFonts w:ascii="Book Antiqua" w:hAnsi="Book Antiqua" w:cs="Arial"/>
          <w:u w:val="single"/>
        </w:rPr>
      </w:pPr>
    </w:p>
    <w:p w14:paraId="15F169FE"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53D605D0" w14:textId="5789E77C"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510C5E">
        <w:rPr>
          <w:rFonts w:ascii="Book Antiqua" w:hAnsi="Book Antiqua" w:cs="Arial"/>
        </w:rPr>
        <w:t xml:space="preserve">Mr J </w:t>
      </w:r>
      <w:proofErr w:type="spellStart"/>
      <w:r w:rsidR="00510C5E">
        <w:rPr>
          <w:rFonts w:ascii="Book Antiqua" w:hAnsi="Book Antiqua" w:cs="Arial"/>
        </w:rPr>
        <w:t>Chhotu</w:t>
      </w:r>
      <w:proofErr w:type="spellEnd"/>
      <w:r w:rsidR="000E3137">
        <w:rPr>
          <w:rFonts w:ascii="Book Antiqua" w:hAnsi="Book Antiqua" w:cs="Arial"/>
        </w:rPr>
        <w:t>, Direct Access Counsel</w:t>
      </w:r>
    </w:p>
    <w:p w14:paraId="54A9F1F9" w14:textId="79B95F4C"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510C5E">
        <w:rPr>
          <w:rFonts w:ascii="Book Antiqua" w:hAnsi="Book Antiqua" w:cs="Arial"/>
        </w:rPr>
        <w:t xml:space="preserve">Mr </w:t>
      </w:r>
      <w:r w:rsidR="00994CC4">
        <w:rPr>
          <w:rFonts w:ascii="Book Antiqua" w:hAnsi="Book Antiqua" w:cs="Arial"/>
        </w:rPr>
        <w:t xml:space="preserve">T </w:t>
      </w:r>
      <w:r w:rsidR="00510C5E">
        <w:rPr>
          <w:rFonts w:ascii="Book Antiqua" w:hAnsi="Book Antiqua" w:cs="Arial"/>
        </w:rPr>
        <w:t>Wilding</w:t>
      </w:r>
      <w:r w:rsidR="000E3137">
        <w:rPr>
          <w:rFonts w:ascii="Book Antiqua" w:hAnsi="Book Antiqua" w:cs="Arial"/>
        </w:rPr>
        <w:t>, Home Office Presenting Officer</w:t>
      </w:r>
    </w:p>
    <w:p w14:paraId="16B4CF80" w14:textId="77777777" w:rsidR="00DE7DB7" w:rsidRPr="00AE6DDE" w:rsidRDefault="00DE7DB7" w:rsidP="00847259">
      <w:pPr>
        <w:jc w:val="center"/>
        <w:rPr>
          <w:rFonts w:ascii="Book Antiqua" w:hAnsi="Book Antiqua" w:cs="Arial"/>
        </w:rPr>
      </w:pPr>
    </w:p>
    <w:p w14:paraId="31892683" w14:textId="77777777" w:rsidR="00DE7DB7" w:rsidRPr="00AE6DDE" w:rsidRDefault="00DE7DB7" w:rsidP="00847259">
      <w:pPr>
        <w:jc w:val="center"/>
        <w:rPr>
          <w:rFonts w:ascii="Book Antiqua" w:hAnsi="Book Antiqua" w:cs="Arial"/>
        </w:rPr>
      </w:pPr>
    </w:p>
    <w:p w14:paraId="75972E3A"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43D56194" w14:textId="77777777" w:rsidR="00402B9E" w:rsidRPr="00AE6DDE" w:rsidRDefault="00402B9E" w:rsidP="00847259">
      <w:pPr>
        <w:jc w:val="both"/>
        <w:rPr>
          <w:rFonts w:ascii="Book Antiqua" w:hAnsi="Book Antiqua" w:cs="Arial"/>
        </w:rPr>
      </w:pPr>
    </w:p>
    <w:p w14:paraId="0B4D1881" w14:textId="77777777" w:rsidR="00823477" w:rsidRDefault="00402B9E" w:rsidP="00D315B9">
      <w:pPr>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D315B9">
        <w:rPr>
          <w:rFonts w:ascii="Book Antiqua" w:hAnsi="Book Antiqua" w:cs="Arial"/>
        </w:rPr>
        <w:t xml:space="preserve">This is an appeal from the decision </w:t>
      </w:r>
      <w:r w:rsidR="00994CC4">
        <w:rPr>
          <w:rFonts w:ascii="Book Antiqua" w:hAnsi="Book Antiqua" w:cs="Arial"/>
        </w:rPr>
        <w:t>of</w:t>
      </w:r>
      <w:r w:rsidR="00D315B9">
        <w:rPr>
          <w:rFonts w:ascii="Book Antiqua" w:hAnsi="Book Antiqua" w:cs="Arial"/>
        </w:rPr>
        <w:t xml:space="preserve"> First-tier Tribunal Judge O’Malley which was promulgated on 2 March 2018.  The decision of Judge O’Malley was set aside by me for the reasons briefly set out in my decision promulgated on 2 July 2018.  That decision expressly preserved the factual findings made in </w:t>
      </w:r>
      <w:r w:rsidR="00823477">
        <w:rPr>
          <w:rFonts w:ascii="Book Antiqua" w:hAnsi="Book Antiqua" w:cs="Arial"/>
        </w:rPr>
        <w:t>the First-tier Tribunal.</w:t>
      </w:r>
    </w:p>
    <w:p w14:paraId="66EAD545" w14:textId="77777777" w:rsidR="00823477" w:rsidRDefault="00823477" w:rsidP="00D315B9">
      <w:pPr>
        <w:ind w:left="567" w:hanging="567"/>
        <w:jc w:val="both"/>
        <w:rPr>
          <w:rFonts w:ascii="Book Antiqua" w:hAnsi="Book Antiqua" w:cs="Arial"/>
        </w:rPr>
      </w:pPr>
    </w:p>
    <w:p w14:paraId="36EC3D8F" w14:textId="2657ACD8" w:rsidR="00823477" w:rsidRDefault="00823477" w:rsidP="00D315B9">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Mr </w:t>
      </w:r>
      <w:proofErr w:type="spellStart"/>
      <w:r>
        <w:rPr>
          <w:rFonts w:ascii="Book Antiqua" w:hAnsi="Book Antiqua" w:cs="Arial"/>
        </w:rPr>
        <w:t>Chhotu</w:t>
      </w:r>
      <w:proofErr w:type="spellEnd"/>
      <w:r>
        <w:rPr>
          <w:rFonts w:ascii="Book Antiqua" w:hAnsi="Book Antiqua" w:cs="Arial"/>
        </w:rPr>
        <w:t>, who continues to represent the appellant, made an</w:t>
      </w:r>
      <w:r w:rsidR="00EB1762">
        <w:rPr>
          <w:rFonts w:ascii="Book Antiqua" w:hAnsi="Book Antiqua" w:cs="Arial"/>
        </w:rPr>
        <w:t xml:space="preserve"> </w:t>
      </w:r>
      <w:r>
        <w:rPr>
          <w:rFonts w:ascii="Book Antiqua" w:hAnsi="Book Antiqua" w:cs="Arial"/>
        </w:rPr>
        <w:t xml:space="preserve">application at the outset of the hearing to introduce a short updating statement from the appellant.  There was no explanation as to why that statement could not have been provided any </w:t>
      </w:r>
      <w:r>
        <w:rPr>
          <w:rFonts w:ascii="Book Antiqua" w:hAnsi="Book Antiqua" w:cs="Arial"/>
        </w:rPr>
        <w:lastRenderedPageBreak/>
        <w:t>earlier, nor was there any application to extend the time for filing and serving witness st</w:t>
      </w:r>
      <w:r w:rsidR="00053E2B">
        <w:rPr>
          <w:rFonts w:ascii="Book Antiqua" w:hAnsi="Book Antiqua" w:cs="Arial"/>
        </w:rPr>
        <w:t xml:space="preserve">atements, provision for which </w:t>
      </w:r>
      <w:r>
        <w:rPr>
          <w:rFonts w:ascii="Book Antiqua" w:hAnsi="Book Antiqua" w:cs="Arial"/>
        </w:rPr>
        <w:t xml:space="preserve">had </w:t>
      </w:r>
      <w:r w:rsidR="00053E2B">
        <w:rPr>
          <w:rFonts w:ascii="Book Antiqua" w:hAnsi="Book Antiqua" w:cs="Arial"/>
        </w:rPr>
        <w:t xml:space="preserve">been </w:t>
      </w:r>
      <w:r>
        <w:rPr>
          <w:rFonts w:ascii="Book Antiqua" w:hAnsi="Book Antiqua" w:cs="Arial"/>
        </w:rPr>
        <w:t>made in the error</w:t>
      </w:r>
      <w:r w:rsidR="00EB1762">
        <w:rPr>
          <w:rFonts w:ascii="Book Antiqua" w:hAnsi="Book Antiqua" w:cs="Arial"/>
        </w:rPr>
        <w:t xml:space="preserve"> of law directions</w:t>
      </w:r>
      <w:r>
        <w:rPr>
          <w:rFonts w:ascii="Book Antiqua" w:hAnsi="Book Antiqua" w:cs="Arial"/>
        </w:rPr>
        <w:t xml:space="preserve">.  There was no reference within Mr </w:t>
      </w:r>
      <w:proofErr w:type="spellStart"/>
      <w:r>
        <w:rPr>
          <w:rFonts w:ascii="Book Antiqua" w:hAnsi="Book Antiqua" w:cs="Arial"/>
        </w:rPr>
        <w:t>Chhotu’s</w:t>
      </w:r>
      <w:proofErr w:type="spellEnd"/>
      <w:r>
        <w:rPr>
          <w:rFonts w:ascii="Book Antiqua" w:hAnsi="Book Antiqua" w:cs="Arial"/>
        </w:rPr>
        <w:t xml:space="preserve"> skeleton argument </w:t>
      </w:r>
      <w:r w:rsidR="00EB1762">
        <w:rPr>
          <w:rFonts w:ascii="Book Antiqua" w:hAnsi="Book Antiqua" w:cs="Arial"/>
        </w:rPr>
        <w:t>(served last</w:t>
      </w:r>
      <w:r>
        <w:rPr>
          <w:rFonts w:ascii="Book Antiqua" w:hAnsi="Book Antiqua" w:cs="Arial"/>
        </w:rPr>
        <w:t xml:space="preserve"> Friday</w:t>
      </w:r>
      <w:r w:rsidR="00EB1762">
        <w:rPr>
          <w:rFonts w:ascii="Book Antiqua" w:hAnsi="Book Antiqua" w:cs="Arial"/>
        </w:rPr>
        <w:t>)</w:t>
      </w:r>
      <w:r>
        <w:rPr>
          <w:rFonts w:ascii="Book Antiqua" w:hAnsi="Book Antiqua" w:cs="Arial"/>
        </w:rPr>
        <w:t xml:space="preserve"> to the prospect of this addi</w:t>
      </w:r>
      <w:r w:rsidR="00EB1762">
        <w:rPr>
          <w:rFonts w:ascii="Book Antiqua" w:hAnsi="Book Antiqua" w:cs="Arial"/>
        </w:rPr>
        <w:t>tional evidence being adduced</w:t>
      </w:r>
      <w:r>
        <w:rPr>
          <w:rFonts w:ascii="Book Antiqua" w:hAnsi="Book Antiqua" w:cs="Arial"/>
        </w:rPr>
        <w:t xml:space="preserve"> and</w:t>
      </w:r>
      <w:r w:rsidR="00053E2B">
        <w:rPr>
          <w:rFonts w:ascii="Book Antiqua" w:hAnsi="Book Antiqua" w:cs="Arial"/>
        </w:rPr>
        <w:t>,</w:t>
      </w:r>
      <w:r>
        <w:rPr>
          <w:rFonts w:ascii="Book Antiqua" w:hAnsi="Book Antiqua" w:cs="Arial"/>
        </w:rPr>
        <w:t xml:space="preserve"> as Mr Wilding for the Secretary of State pointed out</w:t>
      </w:r>
      <w:r w:rsidR="00053E2B">
        <w:rPr>
          <w:rFonts w:ascii="Book Antiqua" w:hAnsi="Book Antiqua" w:cs="Arial"/>
        </w:rPr>
        <w:t>,</w:t>
      </w:r>
      <w:r>
        <w:rPr>
          <w:rFonts w:ascii="Book Antiqua" w:hAnsi="Book Antiqua" w:cs="Arial"/>
        </w:rPr>
        <w:t xml:space="preserve"> the</w:t>
      </w:r>
      <w:r w:rsidR="00EB1762">
        <w:rPr>
          <w:rFonts w:ascii="Book Antiqua" w:hAnsi="Book Antiqua" w:cs="Arial"/>
        </w:rPr>
        <w:t xml:space="preserve">re was no Rule 15 application. </w:t>
      </w:r>
      <w:r>
        <w:rPr>
          <w:rFonts w:ascii="Book Antiqua" w:hAnsi="Book Antiqua" w:cs="Arial"/>
        </w:rPr>
        <w:t xml:space="preserve">I </w:t>
      </w:r>
      <w:r w:rsidR="00EB1762">
        <w:rPr>
          <w:rFonts w:ascii="Book Antiqua" w:hAnsi="Book Antiqua" w:cs="Arial"/>
        </w:rPr>
        <w:t>refused to admit the statement into evidence</w:t>
      </w:r>
      <w:r w:rsidR="00053E2B">
        <w:rPr>
          <w:rFonts w:ascii="Book Antiqua" w:hAnsi="Book Antiqua" w:cs="Arial"/>
        </w:rPr>
        <w:t xml:space="preserve">. </w:t>
      </w:r>
      <w:r w:rsidR="00EB1762">
        <w:rPr>
          <w:rFonts w:ascii="Book Antiqua" w:hAnsi="Book Antiqua" w:cs="Arial"/>
        </w:rPr>
        <w:t xml:space="preserve">The application </w:t>
      </w:r>
      <w:r>
        <w:rPr>
          <w:rFonts w:ascii="Book Antiqua" w:hAnsi="Book Antiqua" w:cs="Arial"/>
        </w:rPr>
        <w:t xml:space="preserve">was </w:t>
      </w:r>
      <w:r w:rsidR="00053E2B">
        <w:rPr>
          <w:rFonts w:ascii="Book Antiqua" w:hAnsi="Book Antiqua" w:cs="Arial"/>
        </w:rPr>
        <w:t xml:space="preserve">made </w:t>
      </w:r>
      <w:r w:rsidR="00EB1762">
        <w:rPr>
          <w:rFonts w:ascii="Book Antiqua" w:hAnsi="Book Antiqua" w:cs="Arial"/>
        </w:rPr>
        <w:t xml:space="preserve">too late, and </w:t>
      </w:r>
      <w:r>
        <w:rPr>
          <w:rFonts w:ascii="Book Antiqua" w:hAnsi="Book Antiqua" w:cs="Arial"/>
        </w:rPr>
        <w:t>there was no explan</w:t>
      </w:r>
      <w:r w:rsidR="00053E2B">
        <w:rPr>
          <w:rFonts w:ascii="Book Antiqua" w:hAnsi="Book Antiqua" w:cs="Arial"/>
        </w:rPr>
        <w:t>ation for its lateness nor for the</w:t>
      </w:r>
      <w:r>
        <w:rPr>
          <w:rFonts w:ascii="Book Antiqua" w:hAnsi="Book Antiqua" w:cs="Arial"/>
        </w:rPr>
        <w:t xml:space="preserve"> failure to com</w:t>
      </w:r>
      <w:r w:rsidR="00EB1762">
        <w:rPr>
          <w:rFonts w:ascii="Book Antiqua" w:hAnsi="Book Antiqua" w:cs="Arial"/>
        </w:rPr>
        <w:t xml:space="preserve">ply with my earlier </w:t>
      </w:r>
      <w:r>
        <w:rPr>
          <w:rFonts w:ascii="Book Antiqua" w:hAnsi="Book Antiqua" w:cs="Arial"/>
        </w:rPr>
        <w:t>directio</w:t>
      </w:r>
      <w:r w:rsidR="00053E2B">
        <w:rPr>
          <w:rFonts w:ascii="Book Antiqua" w:hAnsi="Book Antiqua" w:cs="Arial"/>
        </w:rPr>
        <w:t>ns</w:t>
      </w:r>
      <w:r>
        <w:rPr>
          <w:rFonts w:ascii="Book Antiqua" w:hAnsi="Book Antiqua" w:cs="Arial"/>
        </w:rPr>
        <w:t>.</w:t>
      </w:r>
    </w:p>
    <w:p w14:paraId="7FB3FC8A" w14:textId="77777777" w:rsidR="00823477" w:rsidRDefault="00823477" w:rsidP="00D315B9">
      <w:pPr>
        <w:ind w:left="567" w:hanging="567"/>
        <w:jc w:val="both"/>
        <w:rPr>
          <w:rFonts w:ascii="Book Antiqua" w:hAnsi="Book Antiqua" w:cs="Arial"/>
        </w:rPr>
      </w:pPr>
    </w:p>
    <w:p w14:paraId="3C578A99" w14:textId="3671D2AE" w:rsidR="00D315B9" w:rsidRDefault="00EF11DA" w:rsidP="00D315B9">
      <w:pPr>
        <w:ind w:left="567" w:hanging="567"/>
        <w:jc w:val="both"/>
        <w:rPr>
          <w:rFonts w:ascii="Book Antiqua" w:hAnsi="Book Antiqua" w:cs="Arial"/>
        </w:rPr>
      </w:pPr>
      <w:r>
        <w:rPr>
          <w:rFonts w:ascii="Book Antiqua" w:hAnsi="Book Antiqua" w:cs="Arial"/>
        </w:rPr>
        <w:t>3</w:t>
      </w:r>
      <w:r w:rsidR="00D315B9">
        <w:rPr>
          <w:rFonts w:ascii="Book Antiqua" w:hAnsi="Book Antiqua" w:cs="Arial"/>
        </w:rPr>
        <w:t>.</w:t>
      </w:r>
      <w:r w:rsidR="00D315B9">
        <w:rPr>
          <w:rFonts w:ascii="Book Antiqua" w:hAnsi="Book Antiqua" w:cs="Arial"/>
        </w:rPr>
        <w:tab/>
      </w:r>
      <w:r w:rsidR="00053E2B">
        <w:rPr>
          <w:rFonts w:ascii="Book Antiqua" w:hAnsi="Book Antiqua" w:cs="Arial"/>
        </w:rPr>
        <w:t xml:space="preserve">As the salient facts have been preserved, the background can </w:t>
      </w:r>
      <w:r w:rsidR="00005EE2">
        <w:rPr>
          <w:rFonts w:ascii="Book Antiqua" w:hAnsi="Book Antiqua" w:cs="Arial"/>
        </w:rPr>
        <w:t>be stated</w:t>
      </w:r>
      <w:r w:rsidR="00053E2B">
        <w:rPr>
          <w:rFonts w:ascii="Book Antiqua" w:hAnsi="Book Antiqua" w:cs="Arial"/>
        </w:rPr>
        <w:t xml:space="preserve"> relatively shortly. </w:t>
      </w:r>
      <w:r w:rsidR="00D315B9">
        <w:rPr>
          <w:rFonts w:ascii="Book Antiqua" w:hAnsi="Book Antiqua" w:cs="Arial"/>
        </w:rPr>
        <w:t>The appellant is a citizen of the Philippines.  He was born on 7 July 1988.  At the time of making his application for entry clearance he was some days short of his 17</w:t>
      </w:r>
      <w:r w:rsidR="00F26405">
        <w:rPr>
          <w:rFonts w:ascii="Book Antiqua" w:hAnsi="Book Antiqua" w:cs="Arial"/>
        </w:rPr>
        <w:t>th</w:t>
      </w:r>
      <w:r w:rsidR="00D315B9">
        <w:rPr>
          <w:rFonts w:ascii="Book Antiqua" w:hAnsi="Book Antiqua" w:cs="Arial"/>
        </w:rPr>
        <w:t xml:space="preserve"> birthday.  The application was refused on 29 August 2015 and the refusal was upheld by the Entry Clearance Manager on 16 November 2015.  It was from that refusal that the appellant appeal</w:t>
      </w:r>
      <w:r w:rsidR="00F26405">
        <w:rPr>
          <w:rFonts w:ascii="Book Antiqua" w:hAnsi="Book Antiqua" w:cs="Arial"/>
        </w:rPr>
        <w:t>ed to the First-tier Tribunal</w:t>
      </w:r>
      <w:r w:rsidR="00D315B9">
        <w:rPr>
          <w:rFonts w:ascii="Book Antiqua" w:hAnsi="Book Antiqua" w:cs="Arial"/>
        </w:rPr>
        <w:t xml:space="preserve">.  </w:t>
      </w:r>
      <w:r w:rsidR="00F26405">
        <w:rPr>
          <w:rFonts w:ascii="Book Antiqua" w:hAnsi="Book Antiqua" w:cs="Arial"/>
        </w:rPr>
        <w:t>B</w:t>
      </w:r>
      <w:r w:rsidR="00D315B9">
        <w:rPr>
          <w:rFonts w:ascii="Book Antiqua" w:hAnsi="Book Antiqua" w:cs="Arial"/>
        </w:rPr>
        <w:t xml:space="preserve">y the time the matter was before the First-tier Tribunal the appellant had obtained his </w:t>
      </w:r>
      <w:r w:rsidR="00F26405">
        <w:rPr>
          <w:rFonts w:ascii="Book Antiqua" w:hAnsi="Book Antiqua" w:cs="Arial"/>
        </w:rPr>
        <w:t xml:space="preserve">majority and </w:t>
      </w:r>
      <w:r w:rsidR="00D315B9">
        <w:rPr>
          <w:rFonts w:ascii="Book Antiqua" w:hAnsi="Book Antiqua" w:cs="Arial"/>
        </w:rPr>
        <w:t xml:space="preserve">he is </w:t>
      </w:r>
      <w:r w:rsidR="00F26405">
        <w:rPr>
          <w:rFonts w:ascii="Book Antiqua" w:hAnsi="Book Antiqua" w:cs="Arial"/>
        </w:rPr>
        <w:t>now 20 years</w:t>
      </w:r>
      <w:r w:rsidR="00005EE2">
        <w:rPr>
          <w:rFonts w:ascii="Book Antiqua" w:hAnsi="Book Antiqua" w:cs="Arial"/>
        </w:rPr>
        <w:t xml:space="preserve"> of age</w:t>
      </w:r>
      <w:r w:rsidR="00D315B9">
        <w:rPr>
          <w:rFonts w:ascii="Book Antiqua" w:hAnsi="Book Antiqua" w:cs="Arial"/>
        </w:rPr>
        <w:t xml:space="preserve">.  </w:t>
      </w:r>
    </w:p>
    <w:p w14:paraId="056CE8C0" w14:textId="77777777" w:rsidR="00D315B9" w:rsidRDefault="00D315B9" w:rsidP="00D315B9">
      <w:pPr>
        <w:ind w:left="567" w:hanging="567"/>
        <w:jc w:val="both"/>
        <w:rPr>
          <w:rFonts w:ascii="Book Antiqua" w:hAnsi="Book Antiqua" w:cs="Arial"/>
        </w:rPr>
      </w:pPr>
    </w:p>
    <w:p w14:paraId="3E29C712" w14:textId="543A6255" w:rsidR="00D315B9" w:rsidRDefault="00EF11DA" w:rsidP="00D315B9">
      <w:pPr>
        <w:ind w:left="567" w:hanging="567"/>
        <w:jc w:val="both"/>
        <w:rPr>
          <w:rFonts w:ascii="Book Antiqua" w:hAnsi="Book Antiqua" w:cs="Arial"/>
        </w:rPr>
      </w:pPr>
      <w:r>
        <w:rPr>
          <w:rFonts w:ascii="Book Antiqua" w:hAnsi="Book Antiqua" w:cs="Arial"/>
        </w:rPr>
        <w:t>4</w:t>
      </w:r>
      <w:r w:rsidR="00D315B9">
        <w:rPr>
          <w:rFonts w:ascii="Book Antiqua" w:hAnsi="Book Antiqua" w:cs="Arial"/>
        </w:rPr>
        <w:t>.</w:t>
      </w:r>
      <w:r w:rsidR="00D315B9">
        <w:rPr>
          <w:rFonts w:ascii="Book Antiqua" w:hAnsi="Book Antiqua" w:cs="Arial"/>
        </w:rPr>
        <w:tab/>
        <w:t>The provision relied upon by the appellant was paragraph 297 in Appendix FM to the Immigration R</w:t>
      </w:r>
      <w:r w:rsidR="00F26405">
        <w:rPr>
          <w:rFonts w:ascii="Book Antiqua" w:hAnsi="Book Antiqua" w:cs="Arial"/>
        </w:rPr>
        <w:t>ules, the relevant parts of which read</w:t>
      </w:r>
      <w:r w:rsidR="00D315B9">
        <w:rPr>
          <w:rFonts w:ascii="Book Antiqua" w:hAnsi="Book Antiqua" w:cs="Arial"/>
        </w:rPr>
        <w:t xml:space="preserve"> as follows:</w:t>
      </w:r>
    </w:p>
    <w:p w14:paraId="63C6D5A7" w14:textId="77777777" w:rsidR="00D315B9" w:rsidRDefault="00D315B9" w:rsidP="00D315B9">
      <w:pPr>
        <w:ind w:left="567" w:hanging="567"/>
        <w:jc w:val="both"/>
        <w:rPr>
          <w:rFonts w:ascii="Book Antiqua" w:hAnsi="Book Antiqua" w:cs="Arial"/>
        </w:rPr>
      </w:pPr>
    </w:p>
    <w:p w14:paraId="5DFF58E2" w14:textId="5B54BD0B" w:rsidR="00C25427" w:rsidRDefault="00C25427" w:rsidP="00C25427">
      <w:pPr>
        <w:ind w:left="1701" w:hanging="567"/>
        <w:jc w:val="both"/>
        <w:rPr>
          <w:rFonts w:ascii="Book Antiqua" w:hAnsi="Book Antiqua" w:cs="Arial"/>
        </w:rPr>
      </w:pPr>
      <w:r w:rsidRPr="00C25427">
        <w:rPr>
          <w:rFonts w:ascii="Book Antiqua" w:hAnsi="Book Antiqua" w:cs="Arial"/>
        </w:rPr>
        <w:t xml:space="preserve">297. </w:t>
      </w:r>
      <w:r w:rsidR="009C307D">
        <w:rPr>
          <w:rFonts w:ascii="Book Antiqua" w:hAnsi="Book Antiqua" w:cs="Arial"/>
        </w:rPr>
        <w:tab/>
      </w:r>
      <w:r w:rsidRPr="00C25427">
        <w:rPr>
          <w:rFonts w:ascii="Book Antiqua" w:hAnsi="Book Antiqua" w:cs="Arial"/>
        </w:rPr>
        <w:t>The requirements to be met by a person seeking indefinite leave to enter the United Kingdom as the child of a parent, parents or a relative present and settled or being admitted for settlement in the United Kingdom are that he:</w:t>
      </w:r>
    </w:p>
    <w:p w14:paraId="2801C18D" w14:textId="77777777" w:rsidR="00C25427" w:rsidRPr="00C25427" w:rsidRDefault="00C25427" w:rsidP="00C25427">
      <w:pPr>
        <w:ind w:left="1701" w:hanging="567"/>
        <w:jc w:val="both"/>
        <w:rPr>
          <w:rFonts w:ascii="Book Antiqua" w:hAnsi="Book Antiqua" w:cs="Arial"/>
        </w:rPr>
      </w:pPr>
    </w:p>
    <w:p w14:paraId="666B03D4" w14:textId="77777777" w:rsidR="00C25427" w:rsidRDefault="00C25427" w:rsidP="00C25427">
      <w:pPr>
        <w:ind w:left="2268" w:hanging="567"/>
        <w:jc w:val="both"/>
        <w:rPr>
          <w:rFonts w:ascii="Book Antiqua" w:hAnsi="Book Antiqua" w:cs="Arial"/>
        </w:rPr>
      </w:pPr>
      <w:r w:rsidRPr="00C25427">
        <w:rPr>
          <w:rFonts w:ascii="Book Antiqua" w:hAnsi="Book Antiqua" w:cs="Arial"/>
        </w:rPr>
        <w:t>(</w:t>
      </w:r>
      <w:proofErr w:type="spellStart"/>
      <w:r w:rsidRPr="00C25427">
        <w:rPr>
          <w:rFonts w:ascii="Book Antiqua" w:hAnsi="Book Antiqua" w:cs="Arial"/>
        </w:rPr>
        <w:t>i</w:t>
      </w:r>
      <w:proofErr w:type="spellEnd"/>
      <w:r w:rsidRPr="00C25427">
        <w:rPr>
          <w:rFonts w:ascii="Book Antiqua" w:hAnsi="Book Antiqua" w:cs="Arial"/>
        </w:rPr>
        <w:t xml:space="preserve">) </w:t>
      </w:r>
      <w:r>
        <w:rPr>
          <w:rFonts w:ascii="Book Antiqua" w:hAnsi="Book Antiqua" w:cs="Arial"/>
        </w:rPr>
        <w:tab/>
      </w:r>
      <w:r w:rsidRPr="00C25427">
        <w:rPr>
          <w:rFonts w:ascii="Book Antiqua" w:hAnsi="Book Antiqua" w:cs="Arial"/>
        </w:rPr>
        <w:t xml:space="preserve">is seeking leave to enter to accompany or join a parent, parents or a relative in one of the following circumstances: </w:t>
      </w:r>
    </w:p>
    <w:p w14:paraId="4F480913" w14:textId="7154F28A" w:rsidR="00C25427" w:rsidRDefault="005261DF" w:rsidP="005261DF">
      <w:pPr>
        <w:ind w:left="2835" w:hanging="567"/>
        <w:jc w:val="both"/>
        <w:rPr>
          <w:rFonts w:ascii="Book Antiqua" w:hAnsi="Book Antiqua" w:cs="Arial"/>
        </w:rPr>
      </w:pPr>
      <w:r>
        <w:rPr>
          <w:rFonts w:ascii="Book Antiqua" w:hAnsi="Book Antiqua" w:cs="Arial"/>
        </w:rPr>
        <w:t>…</w:t>
      </w:r>
    </w:p>
    <w:p w14:paraId="67BF79BD" w14:textId="31AC8338" w:rsidR="00C25427" w:rsidRDefault="00005EE2" w:rsidP="00C25427">
      <w:pPr>
        <w:ind w:left="2835" w:hanging="567"/>
        <w:jc w:val="both"/>
        <w:rPr>
          <w:rFonts w:ascii="Book Antiqua" w:hAnsi="Book Antiqua" w:cs="Arial"/>
        </w:rPr>
      </w:pPr>
      <w:r>
        <w:rPr>
          <w:rFonts w:ascii="Book Antiqua" w:hAnsi="Book Antiqua" w:cs="Arial"/>
        </w:rPr>
        <w:t>(</w:t>
      </w:r>
      <w:r w:rsidR="00C25427" w:rsidRPr="00C25427">
        <w:rPr>
          <w:rFonts w:ascii="Book Antiqua" w:hAnsi="Book Antiqua" w:cs="Arial"/>
        </w:rPr>
        <w:t xml:space="preserve">e) </w:t>
      </w:r>
      <w:r w:rsidR="00C25427">
        <w:rPr>
          <w:rFonts w:ascii="Book Antiqua" w:hAnsi="Book Antiqua" w:cs="Arial"/>
        </w:rPr>
        <w:tab/>
      </w:r>
      <w:r w:rsidR="00C25427" w:rsidRPr="00C25427">
        <w:rPr>
          <w:rFonts w:ascii="Book Antiqua" w:hAnsi="Book Antiqua" w:cs="Arial"/>
        </w:rPr>
        <w:t>one parent is present and settled in the United Kingdom or being admitted on the same occasion for settlement and has had sole responsibility for the child’s upbringing; or</w:t>
      </w:r>
    </w:p>
    <w:p w14:paraId="31B0AEB0" w14:textId="77777777" w:rsidR="00005EE2" w:rsidRDefault="00C25427" w:rsidP="00005EE2">
      <w:pPr>
        <w:ind w:left="2835" w:hanging="567"/>
        <w:jc w:val="both"/>
        <w:rPr>
          <w:rFonts w:ascii="Book Antiqua" w:hAnsi="Book Antiqua" w:cs="Arial"/>
        </w:rPr>
      </w:pPr>
      <w:r w:rsidRPr="00C25427">
        <w:rPr>
          <w:rFonts w:ascii="Book Antiqua" w:hAnsi="Book Antiqua" w:cs="Arial"/>
        </w:rPr>
        <w:t>(f)</w:t>
      </w:r>
      <w:r>
        <w:rPr>
          <w:rFonts w:ascii="Book Antiqua" w:hAnsi="Book Antiqua" w:cs="Arial"/>
        </w:rPr>
        <w:tab/>
      </w:r>
      <w:r w:rsidRPr="00C25427">
        <w:rPr>
          <w:rFonts w:ascii="Book Antiqua" w:hAnsi="Book Antiqua" w:cs="Arial"/>
        </w:rPr>
        <w:t>one parent or a relative is present and settled in the United Kingdom or being admitted on the same occasion for settlement and there are serious and compelling family or other considerations which make exclusion of the child undesirable and suitable arrangements have been made for the child’s care; and</w:t>
      </w:r>
    </w:p>
    <w:p w14:paraId="09CD4EC9" w14:textId="622A7219" w:rsidR="00C25427" w:rsidRDefault="005261DF" w:rsidP="00005EE2">
      <w:pPr>
        <w:ind w:left="1134" w:firstLine="567"/>
        <w:jc w:val="both"/>
        <w:rPr>
          <w:rFonts w:ascii="Book Antiqua" w:hAnsi="Book Antiqua" w:cs="Arial"/>
        </w:rPr>
      </w:pPr>
      <w:r>
        <w:rPr>
          <w:rFonts w:ascii="Book Antiqua" w:hAnsi="Book Antiqua" w:cs="Arial"/>
        </w:rPr>
        <w:t>…</w:t>
      </w:r>
    </w:p>
    <w:p w14:paraId="68B1228A" w14:textId="0D220F4C" w:rsidR="00C25427" w:rsidRDefault="00C25427" w:rsidP="005261DF">
      <w:pPr>
        <w:ind w:left="2268" w:hanging="567"/>
        <w:jc w:val="both"/>
        <w:rPr>
          <w:rFonts w:ascii="Book Antiqua" w:hAnsi="Book Antiqua" w:cs="Arial"/>
        </w:rPr>
      </w:pPr>
      <w:r w:rsidRPr="00C25427">
        <w:rPr>
          <w:rFonts w:ascii="Book Antiqua" w:hAnsi="Book Antiqua" w:cs="Arial"/>
        </w:rPr>
        <w:t xml:space="preserve">(iv) </w:t>
      </w:r>
      <w:r>
        <w:rPr>
          <w:rFonts w:ascii="Book Antiqua" w:hAnsi="Book Antiqua" w:cs="Arial"/>
        </w:rPr>
        <w:tab/>
      </w:r>
      <w:r w:rsidRPr="00C25427">
        <w:rPr>
          <w:rFonts w:ascii="Book Antiqua" w:hAnsi="Book Antiqua" w:cs="Arial"/>
        </w:rPr>
        <w:t>can, and will, be accommodated adequately by the parent, parents or relative the child is seeking to join without recourse to public funds in accommodation which the parent, parents or relative the child is seeking to join, own or occupy exclusively</w:t>
      </w:r>
      <w:r w:rsidR="005261DF">
        <w:rPr>
          <w:rFonts w:ascii="Book Antiqua" w:hAnsi="Book Antiqua" w:cs="Arial"/>
        </w:rPr>
        <w:t xml:space="preserve">”.  </w:t>
      </w:r>
    </w:p>
    <w:p w14:paraId="6E86F97F" w14:textId="77777777" w:rsidR="00C25427" w:rsidRDefault="00C25427" w:rsidP="00C25427">
      <w:pPr>
        <w:ind w:left="2268" w:hanging="567"/>
        <w:jc w:val="both"/>
        <w:rPr>
          <w:rFonts w:ascii="Book Antiqua" w:hAnsi="Book Antiqua" w:cs="Arial"/>
        </w:rPr>
      </w:pPr>
    </w:p>
    <w:p w14:paraId="572F8D22" w14:textId="701EE8F2" w:rsidR="00BE1F6F" w:rsidRDefault="00EF11DA" w:rsidP="004B23CE">
      <w:pPr>
        <w:ind w:left="567" w:hanging="567"/>
        <w:jc w:val="both"/>
        <w:rPr>
          <w:rFonts w:ascii="Book Antiqua" w:hAnsi="Book Antiqua" w:cs="Arial"/>
        </w:rPr>
      </w:pPr>
      <w:r>
        <w:rPr>
          <w:rFonts w:ascii="Book Antiqua" w:hAnsi="Book Antiqua" w:cs="Arial"/>
        </w:rPr>
        <w:t>5</w:t>
      </w:r>
      <w:r w:rsidR="00C25427">
        <w:rPr>
          <w:rFonts w:ascii="Book Antiqua" w:hAnsi="Book Antiqua" w:cs="Arial"/>
        </w:rPr>
        <w:t>.</w:t>
      </w:r>
      <w:r w:rsidR="00C25427">
        <w:rPr>
          <w:rFonts w:ascii="Book Antiqua" w:hAnsi="Book Antiqua" w:cs="Arial"/>
        </w:rPr>
        <w:tab/>
        <w:t>The findings of the Firs</w:t>
      </w:r>
      <w:r>
        <w:rPr>
          <w:rFonts w:ascii="Book Antiqua" w:hAnsi="Book Antiqua" w:cs="Arial"/>
        </w:rPr>
        <w:t xml:space="preserve">t-tier Tribunal Judge were </w:t>
      </w:r>
      <w:r w:rsidR="00C25427">
        <w:rPr>
          <w:rFonts w:ascii="Book Antiqua" w:hAnsi="Book Antiqua" w:cs="Arial"/>
        </w:rPr>
        <w:t>full</w:t>
      </w:r>
      <w:r w:rsidR="00005EE2">
        <w:rPr>
          <w:rFonts w:ascii="Book Antiqua" w:hAnsi="Book Antiqua" w:cs="Arial"/>
        </w:rPr>
        <w:t>y set out in her decision and reasons</w:t>
      </w:r>
      <w:r w:rsidR="00C25427">
        <w:rPr>
          <w:rFonts w:ascii="Book Antiqua" w:hAnsi="Book Antiqua" w:cs="Arial"/>
        </w:rPr>
        <w:t xml:space="preserve">.  The judge expressly found at paragraph 61 that the sponsor (the appellant’s father) was sharing parental responsibility with </w:t>
      </w:r>
      <w:r w:rsidR="004B23CE">
        <w:rPr>
          <w:rFonts w:ascii="Book Antiqua" w:hAnsi="Book Antiqua" w:cs="Arial"/>
        </w:rPr>
        <w:t xml:space="preserve">other family members and </w:t>
      </w:r>
      <w:r w:rsidR="00C25427">
        <w:rPr>
          <w:rFonts w:ascii="Book Antiqua" w:hAnsi="Book Antiqua" w:cs="Arial"/>
        </w:rPr>
        <w:t xml:space="preserve">did not </w:t>
      </w:r>
      <w:r w:rsidR="00C25427">
        <w:rPr>
          <w:rFonts w:ascii="Book Antiqua" w:hAnsi="Book Antiqua" w:cs="Arial"/>
        </w:rPr>
        <w:lastRenderedPageBreak/>
        <w:t>have sole responsibility for the appellant</w:t>
      </w:r>
      <w:r w:rsidR="00005EE2">
        <w:rPr>
          <w:rFonts w:ascii="Book Antiqua" w:hAnsi="Book Antiqua" w:cs="Arial"/>
        </w:rPr>
        <w:t>’s upbringing</w:t>
      </w:r>
      <w:r w:rsidR="00C25427">
        <w:rPr>
          <w:rFonts w:ascii="Book Antiqua" w:hAnsi="Book Antiqua" w:cs="Arial"/>
        </w:rPr>
        <w:t xml:space="preserve">. </w:t>
      </w:r>
      <w:r w:rsidR="004B23CE">
        <w:rPr>
          <w:rFonts w:ascii="Book Antiqua" w:hAnsi="Book Antiqua" w:cs="Arial"/>
        </w:rPr>
        <w:t xml:space="preserve"> </w:t>
      </w:r>
      <w:r w:rsidR="00C25427">
        <w:rPr>
          <w:rFonts w:ascii="Book Antiqua" w:hAnsi="Book Antiqua" w:cs="Arial"/>
        </w:rPr>
        <w:t>The other material findings of the First-tier Tribunal are as follows</w:t>
      </w:r>
      <w:r w:rsidR="00BE1F6F">
        <w:rPr>
          <w:rFonts w:ascii="Book Antiqua" w:hAnsi="Book Antiqua" w:cs="Arial"/>
        </w:rPr>
        <w:t>:</w:t>
      </w:r>
      <w:r w:rsidR="00C25427">
        <w:rPr>
          <w:rFonts w:ascii="Book Antiqua" w:hAnsi="Book Antiqua" w:cs="Arial"/>
        </w:rPr>
        <w:t xml:space="preserve">  </w:t>
      </w:r>
    </w:p>
    <w:p w14:paraId="564623D9" w14:textId="77777777" w:rsidR="00BE1F6F" w:rsidRDefault="00BE1F6F" w:rsidP="00C25427">
      <w:pPr>
        <w:ind w:left="567" w:hanging="567"/>
        <w:jc w:val="both"/>
        <w:rPr>
          <w:rFonts w:ascii="Book Antiqua" w:hAnsi="Book Antiqua" w:cs="Arial"/>
        </w:rPr>
      </w:pPr>
    </w:p>
    <w:p w14:paraId="5BDA1525" w14:textId="25FC998F" w:rsidR="00C25427" w:rsidRDefault="00BE1F6F" w:rsidP="00BE1F6F">
      <w:pPr>
        <w:ind w:left="1701" w:hanging="567"/>
        <w:jc w:val="both"/>
        <w:rPr>
          <w:rFonts w:ascii="Book Antiqua" w:hAnsi="Book Antiqua" w:cs="Arial"/>
        </w:rPr>
      </w:pPr>
      <w:r>
        <w:rPr>
          <w:rFonts w:ascii="Book Antiqua" w:hAnsi="Book Antiqua" w:cs="Arial"/>
        </w:rPr>
        <w:t>“</w:t>
      </w:r>
      <w:r w:rsidR="00C25427">
        <w:rPr>
          <w:rFonts w:ascii="Book Antiqua" w:hAnsi="Book Antiqua" w:cs="Arial"/>
        </w:rPr>
        <w:t>74</w:t>
      </w:r>
      <w:r>
        <w:rPr>
          <w:rFonts w:ascii="Book Antiqua" w:hAnsi="Book Antiqua" w:cs="Arial"/>
        </w:rPr>
        <w:t>.</w:t>
      </w:r>
      <w:r>
        <w:rPr>
          <w:rFonts w:ascii="Book Antiqua" w:hAnsi="Book Antiqua" w:cs="Arial"/>
        </w:rPr>
        <w:tab/>
        <w:t>I</w:t>
      </w:r>
      <w:r w:rsidR="00C25427">
        <w:rPr>
          <w:rFonts w:ascii="Book Antiqua" w:hAnsi="Book Antiqua" w:cs="Arial"/>
        </w:rPr>
        <w:t>t was also put to me that the</w:t>
      </w:r>
      <w:r>
        <w:rPr>
          <w:rFonts w:ascii="Book Antiqua" w:hAnsi="Book Antiqua" w:cs="Arial"/>
        </w:rPr>
        <w:t xml:space="preserve"> appellant can succeed under the requirements of paragraph 297(</w:t>
      </w:r>
      <w:proofErr w:type="spellStart"/>
      <w:r>
        <w:rPr>
          <w:rFonts w:ascii="Book Antiqua" w:hAnsi="Book Antiqua" w:cs="Arial"/>
        </w:rPr>
        <w:t>i</w:t>
      </w:r>
      <w:proofErr w:type="spellEnd"/>
      <w:r>
        <w:rPr>
          <w:rFonts w:ascii="Book Antiqua" w:hAnsi="Book Antiqua" w:cs="Arial"/>
        </w:rPr>
        <w:t xml:space="preserve">)(f) as his maternal grandparents are in poor health and unable to look after him and he is at risk of living on the streets and of getting involved in drugs and guns.  It was put by Mr Eaton </w:t>
      </w:r>
      <w:r w:rsidR="004B23CE">
        <w:rPr>
          <w:rFonts w:ascii="Book Antiqua" w:hAnsi="Book Antiqua" w:cs="Arial"/>
        </w:rPr>
        <w:t xml:space="preserve">[for the Secretary of State] </w:t>
      </w:r>
      <w:r>
        <w:rPr>
          <w:rFonts w:ascii="Book Antiqua" w:hAnsi="Book Antiqua" w:cs="Arial"/>
        </w:rPr>
        <w:t>that such concerns are not real in a family which shows such support for the appellant.  I accept his assertion.  The appellant has an aunt and uncle in Manila with whom  he is in contact, he has financial support from his father and from his paternal grandparents and is free to live in their substantial property if he is not able to continue living with the maternal grandparents.</w:t>
      </w:r>
    </w:p>
    <w:p w14:paraId="586A1A0F" w14:textId="77777777" w:rsidR="00BE1F6F" w:rsidRDefault="00BE1F6F" w:rsidP="00BE1F6F">
      <w:pPr>
        <w:ind w:left="1701" w:hanging="567"/>
        <w:jc w:val="both"/>
        <w:rPr>
          <w:rFonts w:ascii="Book Antiqua" w:hAnsi="Book Antiqua" w:cs="Arial"/>
        </w:rPr>
      </w:pPr>
    </w:p>
    <w:p w14:paraId="7976A7AF" w14:textId="77777777" w:rsidR="00BE1F6F" w:rsidRDefault="00BE1F6F" w:rsidP="00BE1F6F">
      <w:pPr>
        <w:ind w:left="1701" w:hanging="567"/>
        <w:jc w:val="both"/>
        <w:rPr>
          <w:rFonts w:ascii="Book Antiqua" w:hAnsi="Book Antiqua" w:cs="Arial"/>
        </w:rPr>
      </w:pPr>
      <w:r>
        <w:rPr>
          <w:rFonts w:ascii="Book Antiqua" w:hAnsi="Book Antiqua" w:cs="Arial"/>
        </w:rPr>
        <w:t>75.</w:t>
      </w:r>
      <w:r>
        <w:rPr>
          <w:rFonts w:ascii="Book Antiqua" w:hAnsi="Book Antiqua" w:cs="Arial"/>
        </w:rPr>
        <w:tab/>
        <w:t>For the avoidance of doubt, I am not persuaded that the medical evidence provided in relation to the maternal grandparents indicates any significant difficulty with the health of either of them such that they could not continue to provide care for the appellant, appropriate to his age.  I find that their age is not significant, there is no clarification in any of the medical evidence of requirements for treatment or medication and the grandparents themselves do not indicate any limitation, setting out that they had been ‘advised to reduce the stress in our lives’.  There is no indication that giving accommodation to the appellant causes stress to them, indeed the evidence of Mr Brierley was that the presence of the appellant was a distinct advantage to them as it provided their only source of income, in the absence of which they would be destitute, a situation which I conclude would be a significant source of stress.</w:t>
      </w:r>
    </w:p>
    <w:p w14:paraId="580BD68A" w14:textId="77777777" w:rsidR="00BE1F6F" w:rsidRDefault="00BE1F6F" w:rsidP="00BE1F6F">
      <w:pPr>
        <w:ind w:left="1701" w:hanging="567"/>
        <w:jc w:val="both"/>
        <w:rPr>
          <w:rFonts w:ascii="Book Antiqua" w:hAnsi="Book Antiqua" w:cs="Arial"/>
        </w:rPr>
      </w:pPr>
    </w:p>
    <w:p w14:paraId="5932509C" w14:textId="080F04ED" w:rsidR="00BE1F6F" w:rsidRDefault="00BE1F6F" w:rsidP="00BE1F6F">
      <w:pPr>
        <w:ind w:left="1701" w:hanging="567"/>
        <w:jc w:val="both"/>
        <w:rPr>
          <w:rFonts w:ascii="Book Antiqua" w:hAnsi="Book Antiqua" w:cs="Arial"/>
        </w:rPr>
      </w:pPr>
      <w:r>
        <w:rPr>
          <w:rFonts w:ascii="Book Antiqua" w:hAnsi="Book Antiqua" w:cs="Arial"/>
        </w:rPr>
        <w:t>76.</w:t>
      </w:r>
      <w:r>
        <w:rPr>
          <w:rFonts w:ascii="Book Antiqua" w:hAnsi="Book Antiqua" w:cs="Arial"/>
        </w:rPr>
        <w:tab/>
        <w:t>The evidence of the paternal grandparents is that the appellant can live in their seven bedroom house should he be unable to live with the maternal grandparents.  I accept the evidence that he stays at this property with the paternal grandparents when they visit so that he is familiar with that home.  I note that he has other paternal family on the outskirts of Manila and I am satisfied that he will be cared for appropriately by family members both in the UK and in the Philippines if the maternal grandparents are no longer willing or able to continue in their role.  I find no evidence to support a finding that the appellant comes within the provision of paragraph 297(</w:t>
      </w:r>
      <w:proofErr w:type="spellStart"/>
      <w:r>
        <w:rPr>
          <w:rFonts w:ascii="Book Antiqua" w:hAnsi="Book Antiqua" w:cs="Arial"/>
        </w:rPr>
        <w:t>i</w:t>
      </w:r>
      <w:proofErr w:type="spellEnd"/>
      <w:r>
        <w:rPr>
          <w:rFonts w:ascii="Book Antiqua" w:hAnsi="Book Antiqua" w:cs="Arial"/>
        </w:rPr>
        <w:t>)(f)</w:t>
      </w:r>
      <w:r w:rsidR="00B837E5">
        <w:rPr>
          <w:rFonts w:ascii="Book Antiqua" w:hAnsi="Book Antiqua" w:cs="Arial"/>
        </w:rPr>
        <w:t>.”</w:t>
      </w:r>
    </w:p>
    <w:p w14:paraId="7A4B60C3" w14:textId="77777777" w:rsidR="00BE1F6F" w:rsidRDefault="00BE1F6F" w:rsidP="00BE1F6F">
      <w:pPr>
        <w:ind w:left="1701" w:hanging="567"/>
        <w:jc w:val="both"/>
        <w:rPr>
          <w:rFonts w:ascii="Book Antiqua" w:hAnsi="Book Antiqua" w:cs="Arial"/>
        </w:rPr>
      </w:pPr>
    </w:p>
    <w:p w14:paraId="01A6032F" w14:textId="2AD5E311" w:rsidR="00C146A4" w:rsidRDefault="00BE1F6F" w:rsidP="005261DF">
      <w:pPr>
        <w:ind w:left="567" w:hanging="567"/>
        <w:jc w:val="both"/>
        <w:rPr>
          <w:rFonts w:ascii="Book Antiqua" w:hAnsi="Book Antiqua" w:cs="Arial"/>
        </w:rPr>
      </w:pPr>
      <w:r>
        <w:rPr>
          <w:rFonts w:ascii="Book Antiqua" w:hAnsi="Book Antiqua" w:cs="Arial"/>
        </w:rPr>
        <w:t>6.</w:t>
      </w:r>
      <w:r>
        <w:rPr>
          <w:rFonts w:ascii="Book Antiqua" w:hAnsi="Book Antiqua" w:cs="Arial"/>
        </w:rPr>
        <w:tab/>
        <w:t>The First-tier Tribunal Judge then carried out an examination of the sponsor’s financial circumstances and came to the conclusion that paragraph 297(iv) was not satisfied b</w:t>
      </w:r>
      <w:r w:rsidR="00764A42">
        <w:rPr>
          <w:rFonts w:ascii="Book Antiqua" w:hAnsi="Book Antiqua" w:cs="Arial"/>
        </w:rPr>
        <w:t>ecause the sponsor’s income did</w:t>
      </w:r>
      <w:r>
        <w:rPr>
          <w:rFonts w:ascii="Book Antiqua" w:hAnsi="Book Antiqua" w:cs="Arial"/>
        </w:rPr>
        <w:t xml:space="preserve"> not meet the income support level and also because housing benefit is public funding and would </w:t>
      </w:r>
      <w:r w:rsidR="00764A42">
        <w:rPr>
          <w:rFonts w:ascii="Book Antiqua" w:hAnsi="Book Antiqua" w:cs="Arial"/>
        </w:rPr>
        <w:t>be paid at an increased level on</w:t>
      </w:r>
      <w:r>
        <w:rPr>
          <w:rFonts w:ascii="Book Antiqua" w:hAnsi="Book Antiqua" w:cs="Arial"/>
        </w:rPr>
        <w:t xml:space="preserve"> the arrival of the </w:t>
      </w:r>
      <w:r w:rsidR="00764A42">
        <w:rPr>
          <w:rFonts w:ascii="Book Antiqua" w:hAnsi="Book Antiqua" w:cs="Arial"/>
        </w:rPr>
        <w:t>appellant</w:t>
      </w:r>
      <w:r w:rsidR="00C146A4">
        <w:rPr>
          <w:rFonts w:ascii="Book Antiqua" w:hAnsi="Book Antiqua" w:cs="Arial"/>
        </w:rPr>
        <w:t>.</w:t>
      </w:r>
    </w:p>
    <w:p w14:paraId="793F2650" w14:textId="77777777" w:rsidR="00C146A4" w:rsidRDefault="00C146A4" w:rsidP="005261DF">
      <w:pPr>
        <w:ind w:left="567" w:hanging="567"/>
        <w:jc w:val="both"/>
        <w:rPr>
          <w:rFonts w:ascii="Book Antiqua" w:hAnsi="Book Antiqua" w:cs="Arial"/>
        </w:rPr>
      </w:pPr>
    </w:p>
    <w:p w14:paraId="5478261A" w14:textId="5CB29394" w:rsidR="005261DF" w:rsidRDefault="00C146A4" w:rsidP="005261DF">
      <w:pPr>
        <w:ind w:left="567" w:hanging="567"/>
        <w:jc w:val="both"/>
        <w:rPr>
          <w:rFonts w:ascii="Book Antiqua" w:hAnsi="Book Antiqua"/>
        </w:rPr>
      </w:pPr>
      <w:r>
        <w:rPr>
          <w:rFonts w:ascii="Book Antiqua" w:hAnsi="Book Antiqua" w:cs="Arial"/>
        </w:rPr>
        <w:lastRenderedPageBreak/>
        <w:t>7.</w:t>
      </w:r>
      <w:r>
        <w:rPr>
          <w:rFonts w:ascii="Book Antiqua" w:hAnsi="Book Antiqua" w:cs="Arial"/>
        </w:rPr>
        <w:tab/>
      </w:r>
      <w:r w:rsidRPr="00B87500">
        <w:rPr>
          <w:rFonts w:ascii="Book Antiqua" w:hAnsi="Book Antiqua" w:cs="Arial"/>
        </w:rPr>
        <w:t>There is no challenge to any of these factual findings which are dispositive of the claim under paragraph 297.</w:t>
      </w:r>
      <w:bookmarkStart w:id="3" w:name="para40"/>
      <w:r w:rsidR="00B87500" w:rsidRPr="00B87500">
        <w:rPr>
          <w:rFonts w:ascii="Book Antiqua" w:hAnsi="Book Antiqua"/>
        </w:rPr>
        <w:t xml:space="preserve"> The issue th</w:t>
      </w:r>
      <w:r w:rsidR="00B87500">
        <w:rPr>
          <w:rFonts w:ascii="Book Antiqua" w:hAnsi="Book Antiqua"/>
        </w:rPr>
        <w:t xml:space="preserve">erefore, to borrow from the </w:t>
      </w:r>
      <w:r w:rsidR="00B87500" w:rsidRPr="00B87500">
        <w:rPr>
          <w:rFonts w:ascii="Book Antiqua" w:hAnsi="Book Antiqua"/>
        </w:rPr>
        <w:t xml:space="preserve">oft-quoted formulation of the </w:t>
      </w:r>
      <w:r w:rsidR="00B87500">
        <w:rPr>
          <w:rFonts w:ascii="Book Antiqua" w:hAnsi="Book Antiqua"/>
        </w:rPr>
        <w:t>Richards LJ</w:t>
      </w:r>
      <w:r w:rsidR="00B87500" w:rsidRPr="00B87500">
        <w:rPr>
          <w:rFonts w:ascii="Book Antiqua" w:hAnsi="Book Antiqua"/>
        </w:rPr>
        <w:t xml:space="preserve"> in </w:t>
      </w:r>
      <w:r w:rsidR="00B87500" w:rsidRPr="00B87500">
        <w:rPr>
          <w:rFonts w:ascii="Book Antiqua" w:hAnsi="Book Antiqua"/>
          <w:b/>
          <w:u w:val="single"/>
        </w:rPr>
        <w:t>Secretary of State for the Home Department v SS (Congo) and others</w:t>
      </w:r>
      <w:r w:rsidR="00B87500">
        <w:rPr>
          <w:rFonts w:ascii="Book Antiqua" w:hAnsi="Book Antiqua"/>
          <w:b/>
        </w:rPr>
        <w:t xml:space="preserve"> [2015] EWCA </w:t>
      </w:r>
      <w:proofErr w:type="spellStart"/>
      <w:r w:rsidR="00B87500">
        <w:rPr>
          <w:rFonts w:ascii="Book Antiqua" w:hAnsi="Book Antiqua"/>
          <w:b/>
        </w:rPr>
        <w:t>Civ</w:t>
      </w:r>
      <w:proofErr w:type="spellEnd"/>
      <w:r w:rsidR="00B87500">
        <w:rPr>
          <w:rFonts w:ascii="Book Antiqua" w:hAnsi="Book Antiqua"/>
          <w:b/>
        </w:rPr>
        <w:t xml:space="preserve"> 387</w:t>
      </w:r>
      <w:r w:rsidR="00764A42">
        <w:rPr>
          <w:rFonts w:ascii="Book Antiqua" w:hAnsi="Book Antiqua"/>
          <w:b/>
        </w:rPr>
        <w:t>,</w:t>
      </w:r>
      <w:r w:rsidR="00B87500">
        <w:rPr>
          <w:rFonts w:ascii="Book Antiqua" w:hAnsi="Book Antiqua"/>
          <w:b/>
        </w:rPr>
        <w:t xml:space="preserve"> </w:t>
      </w:r>
      <w:r w:rsidR="00B87500">
        <w:rPr>
          <w:rFonts w:ascii="Book Antiqua" w:hAnsi="Book Antiqua"/>
        </w:rPr>
        <w:t xml:space="preserve">is whether the appellant </w:t>
      </w:r>
      <w:r w:rsidR="00B87500" w:rsidRPr="00B87500">
        <w:rPr>
          <w:rFonts w:ascii="Book Antiqua" w:hAnsi="Book Antiqua"/>
        </w:rPr>
        <w:t>can show that compelling circumstances exist (which are not suffic</w:t>
      </w:r>
      <w:r w:rsidR="00764A42">
        <w:rPr>
          <w:rFonts w:ascii="Book Antiqua" w:hAnsi="Book Antiqua"/>
        </w:rPr>
        <w:t xml:space="preserve">iently recognised under the </w:t>
      </w:r>
      <w:r w:rsidR="00B87500" w:rsidRPr="00B87500">
        <w:rPr>
          <w:rFonts w:ascii="Book Antiqua" w:hAnsi="Book Antiqua"/>
        </w:rPr>
        <w:t>Ru</w:t>
      </w:r>
      <w:r w:rsidR="00823477">
        <w:rPr>
          <w:rFonts w:ascii="Book Antiqua" w:hAnsi="Book Antiqua"/>
        </w:rPr>
        <w:t>les) to require the grant of entry clearance</w:t>
      </w:r>
      <w:r w:rsidR="00B87500" w:rsidRPr="00B87500">
        <w:rPr>
          <w:rFonts w:ascii="Book Antiqua" w:hAnsi="Book Antiqua"/>
        </w:rPr>
        <w:t>.</w:t>
      </w:r>
      <w:bookmarkEnd w:id="3"/>
    </w:p>
    <w:p w14:paraId="1A2844EF" w14:textId="77777777" w:rsidR="00823477" w:rsidRPr="00B87500" w:rsidRDefault="00823477" w:rsidP="005261DF">
      <w:pPr>
        <w:ind w:left="567" w:hanging="567"/>
        <w:jc w:val="both"/>
        <w:rPr>
          <w:rFonts w:ascii="Book Antiqua" w:hAnsi="Book Antiqua" w:cs="Arial"/>
        </w:rPr>
      </w:pPr>
    </w:p>
    <w:p w14:paraId="2C820669" w14:textId="28D16469" w:rsidR="001B700F" w:rsidRDefault="00823477" w:rsidP="00BE1F6F">
      <w:pPr>
        <w:ind w:left="567" w:hanging="567"/>
        <w:jc w:val="both"/>
        <w:rPr>
          <w:rFonts w:ascii="Book Antiqua" w:hAnsi="Book Antiqua" w:cs="Arial"/>
        </w:rPr>
      </w:pPr>
      <w:r>
        <w:rPr>
          <w:rFonts w:ascii="Book Antiqua" w:hAnsi="Book Antiqua" w:cs="Arial"/>
        </w:rPr>
        <w:t>8</w:t>
      </w:r>
      <w:r w:rsidR="005261DF">
        <w:rPr>
          <w:rFonts w:ascii="Book Antiqua" w:hAnsi="Book Antiqua" w:cs="Arial"/>
        </w:rPr>
        <w:t>.</w:t>
      </w:r>
      <w:r w:rsidR="005261DF">
        <w:rPr>
          <w:rFonts w:ascii="Book Antiqua" w:hAnsi="Book Antiqua" w:cs="Arial"/>
        </w:rPr>
        <w:tab/>
      </w:r>
      <w:r w:rsidR="000D400D">
        <w:rPr>
          <w:rFonts w:ascii="Book Antiqua" w:hAnsi="Book Antiqua" w:cs="Arial"/>
        </w:rPr>
        <w:t xml:space="preserve">Mr </w:t>
      </w:r>
      <w:proofErr w:type="spellStart"/>
      <w:r w:rsidR="000D400D">
        <w:rPr>
          <w:rFonts w:ascii="Book Antiqua" w:hAnsi="Book Antiqua" w:cs="Arial"/>
        </w:rPr>
        <w:t>Chhotu’s</w:t>
      </w:r>
      <w:proofErr w:type="spellEnd"/>
      <w:r w:rsidR="000D400D">
        <w:rPr>
          <w:rFonts w:ascii="Book Antiqua" w:hAnsi="Book Antiqua" w:cs="Arial"/>
        </w:rPr>
        <w:t xml:space="preserve"> </w:t>
      </w:r>
      <w:r w:rsidR="00EF11DA">
        <w:rPr>
          <w:rFonts w:ascii="Book Antiqua" w:hAnsi="Book Antiqua" w:cs="Arial"/>
        </w:rPr>
        <w:t xml:space="preserve">struggled to identify and articulate the </w:t>
      </w:r>
      <w:r w:rsidR="00764A42">
        <w:rPr>
          <w:rFonts w:ascii="Book Antiqua" w:hAnsi="Book Antiqua" w:cs="Arial"/>
        </w:rPr>
        <w:t xml:space="preserve">alleged </w:t>
      </w:r>
      <w:r w:rsidR="00EF11DA">
        <w:rPr>
          <w:rFonts w:ascii="Book Antiqua" w:hAnsi="Book Antiqua" w:cs="Arial"/>
        </w:rPr>
        <w:t xml:space="preserve">compelling circumstances </w:t>
      </w:r>
      <w:r w:rsidR="00BF556F">
        <w:rPr>
          <w:rFonts w:ascii="Book Antiqua" w:hAnsi="Book Antiqua" w:cs="Arial"/>
        </w:rPr>
        <w:t>upon which the appellant might rely</w:t>
      </w:r>
      <w:r w:rsidR="00EF11DA">
        <w:rPr>
          <w:rFonts w:ascii="Book Antiqua" w:hAnsi="Book Antiqua" w:cs="Arial"/>
        </w:rPr>
        <w:t xml:space="preserve">. At various stages </w:t>
      </w:r>
      <w:r w:rsidR="00BF556F">
        <w:rPr>
          <w:rFonts w:ascii="Book Antiqua" w:hAnsi="Book Antiqua" w:cs="Arial"/>
        </w:rPr>
        <w:t xml:space="preserve">in argument </w:t>
      </w:r>
      <w:r w:rsidR="00EF11DA">
        <w:rPr>
          <w:rFonts w:ascii="Book Antiqua" w:hAnsi="Book Antiqua" w:cs="Arial"/>
        </w:rPr>
        <w:t xml:space="preserve">he deployed the term “compassionate” as an alternative to “compelling”. </w:t>
      </w:r>
      <w:r w:rsidR="000D400D">
        <w:rPr>
          <w:rFonts w:ascii="Book Antiqua" w:hAnsi="Book Antiqua" w:cs="Arial"/>
        </w:rPr>
        <w:t>He seemed to be making a substantive point</w:t>
      </w:r>
      <w:r w:rsidR="001B700F">
        <w:rPr>
          <w:rFonts w:ascii="Book Antiqua" w:hAnsi="Book Antiqua" w:cs="Arial"/>
        </w:rPr>
        <w:t xml:space="preserve">, as he had at the error of law hearing, that </w:t>
      </w:r>
      <w:r w:rsidR="000D400D">
        <w:rPr>
          <w:rFonts w:ascii="Book Antiqua" w:hAnsi="Book Antiqua" w:cs="Arial"/>
        </w:rPr>
        <w:t xml:space="preserve">the Tribunal should look at the situation at the date of </w:t>
      </w:r>
      <w:r w:rsidR="001B700F">
        <w:rPr>
          <w:rFonts w:ascii="Book Antiqua" w:hAnsi="Book Antiqua" w:cs="Arial"/>
        </w:rPr>
        <w:t xml:space="preserve">the </w:t>
      </w:r>
      <w:r w:rsidR="000D400D">
        <w:rPr>
          <w:rFonts w:ascii="Book Antiqua" w:hAnsi="Book Antiqua" w:cs="Arial"/>
        </w:rPr>
        <w:t xml:space="preserve">application </w:t>
      </w:r>
      <w:r w:rsidR="001B700F">
        <w:rPr>
          <w:rFonts w:ascii="Book Antiqua" w:hAnsi="Book Antiqua" w:cs="Arial"/>
        </w:rPr>
        <w:t xml:space="preserve">(when the appellant was a minor) </w:t>
      </w:r>
      <w:r w:rsidR="000D400D">
        <w:rPr>
          <w:rFonts w:ascii="Book Antiqua" w:hAnsi="Book Antiqua" w:cs="Arial"/>
        </w:rPr>
        <w:t>and not at the date of hearing</w:t>
      </w:r>
      <w:r w:rsidR="00764A42">
        <w:rPr>
          <w:rFonts w:ascii="Book Antiqua" w:hAnsi="Book Antiqua" w:cs="Arial"/>
        </w:rPr>
        <w:t>,</w:t>
      </w:r>
      <w:r w:rsidR="000D400D">
        <w:rPr>
          <w:rFonts w:ascii="Book Antiqua" w:hAnsi="Book Antiqua" w:cs="Arial"/>
        </w:rPr>
        <w:t xml:space="preserve"> although he could not point me to any exp</w:t>
      </w:r>
      <w:r w:rsidR="00764A42">
        <w:rPr>
          <w:rFonts w:ascii="Book Antiqua" w:hAnsi="Book Antiqua" w:cs="Arial"/>
        </w:rPr>
        <w:t>ress authority which supported his general proposition</w:t>
      </w:r>
      <w:r w:rsidR="001B700F">
        <w:rPr>
          <w:rFonts w:ascii="Book Antiqua" w:hAnsi="Book Antiqua" w:cs="Arial"/>
        </w:rPr>
        <w:t>.</w:t>
      </w:r>
    </w:p>
    <w:p w14:paraId="6910302D" w14:textId="77777777" w:rsidR="001B700F" w:rsidRDefault="001B700F" w:rsidP="00BE1F6F">
      <w:pPr>
        <w:ind w:left="567" w:hanging="567"/>
        <w:jc w:val="both"/>
        <w:rPr>
          <w:rFonts w:ascii="Book Antiqua" w:hAnsi="Book Antiqua" w:cs="Arial"/>
        </w:rPr>
      </w:pPr>
    </w:p>
    <w:p w14:paraId="2D1511EE" w14:textId="5A61F8FA" w:rsidR="001B700F" w:rsidRPr="0044003A" w:rsidRDefault="001B700F" w:rsidP="00BE1F6F">
      <w:pPr>
        <w:ind w:left="567" w:hanging="567"/>
        <w:jc w:val="both"/>
        <w:rPr>
          <w:rFonts w:ascii="Book Antiqua" w:hAnsi="Book Antiqua" w:cs="Arial"/>
        </w:rPr>
      </w:pPr>
      <w:r>
        <w:rPr>
          <w:rFonts w:ascii="Book Antiqua" w:hAnsi="Book Antiqua" w:cs="Arial"/>
        </w:rPr>
        <w:t>9.</w:t>
      </w:r>
      <w:r>
        <w:rPr>
          <w:rFonts w:ascii="Book Antiqua" w:hAnsi="Book Antiqua" w:cs="Arial"/>
        </w:rPr>
        <w:tab/>
        <w:t xml:space="preserve">This appeal postdates the coming into force of the Immigration Act 2014 which </w:t>
      </w:r>
      <w:r w:rsidR="0044003A" w:rsidRPr="0044003A">
        <w:rPr>
          <w:rFonts w:ascii="Book Antiqua" w:hAnsi="Book Antiqua" w:cs="Arial"/>
        </w:rPr>
        <w:t xml:space="preserve">amended </w:t>
      </w:r>
      <w:r w:rsidRPr="0044003A">
        <w:rPr>
          <w:rFonts w:ascii="Book Antiqua" w:hAnsi="Book Antiqua" w:cs="Arial"/>
        </w:rPr>
        <w:t>the Nationality, Immigration and As</w:t>
      </w:r>
      <w:r w:rsidR="0044003A" w:rsidRPr="0044003A">
        <w:rPr>
          <w:rFonts w:ascii="Book Antiqua" w:hAnsi="Book Antiqua" w:cs="Arial"/>
        </w:rPr>
        <w:t>ylum Act 2002, deleting the former section 85(5) which had constrained the First-tier Tribunal to</w:t>
      </w:r>
      <w:r w:rsidRPr="0044003A">
        <w:rPr>
          <w:rFonts w:ascii="Book Antiqua" w:hAnsi="Book Antiqua" w:cs="Arial"/>
        </w:rPr>
        <w:t xml:space="preserve"> </w:t>
      </w:r>
      <w:r w:rsidR="0044003A" w:rsidRPr="0044003A">
        <w:rPr>
          <w:rStyle w:val="legds2"/>
          <w:rFonts w:ascii="Book Antiqua" w:hAnsi="Book Antiqua" w:cs="Arial"/>
          <w:lang w:val="en"/>
          <w:specVanish w:val="0"/>
        </w:rPr>
        <w:t xml:space="preserve">considering only the circumstances appertaining at the time of the </w:t>
      </w:r>
      <w:r w:rsidR="0044003A">
        <w:rPr>
          <w:rStyle w:val="legds2"/>
          <w:rFonts w:ascii="Book Antiqua" w:hAnsi="Book Antiqua" w:cs="Arial"/>
          <w:lang w:val="en"/>
          <w:specVanish w:val="0"/>
        </w:rPr>
        <w:t xml:space="preserve">entry clearance officer’s </w:t>
      </w:r>
      <w:r w:rsidR="0044003A" w:rsidRPr="0044003A">
        <w:rPr>
          <w:rStyle w:val="legds2"/>
          <w:rFonts w:ascii="Book Antiqua" w:hAnsi="Book Antiqua" w:cs="Arial"/>
          <w:lang w:val="en"/>
          <w:specVanish w:val="0"/>
        </w:rPr>
        <w:t>decision</w:t>
      </w:r>
      <w:r w:rsidR="00BA2C6D">
        <w:rPr>
          <w:rFonts w:ascii="Book Antiqua" w:hAnsi="Book Antiqua" w:cs="Arial"/>
        </w:rPr>
        <w:t xml:space="preserve">. That provision has been repealed and, as Mr </w:t>
      </w:r>
      <w:proofErr w:type="spellStart"/>
      <w:r w:rsidR="00BA2C6D">
        <w:rPr>
          <w:rFonts w:ascii="Book Antiqua" w:hAnsi="Book Antiqua" w:cs="Arial"/>
        </w:rPr>
        <w:t>Chhotu</w:t>
      </w:r>
      <w:proofErr w:type="spellEnd"/>
      <w:r w:rsidR="00BA2C6D">
        <w:rPr>
          <w:rFonts w:ascii="Book Antiqua" w:hAnsi="Book Antiqua" w:cs="Arial"/>
        </w:rPr>
        <w:t xml:space="preserve"> ultimately conceded, this matter falls to be determined on the facts as they appear at the date of the hearing.</w:t>
      </w:r>
    </w:p>
    <w:p w14:paraId="1DA7872D" w14:textId="77777777" w:rsidR="001B700F" w:rsidRDefault="001B700F" w:rsidP="00BE1F6F">
      <w:pPr>
        <w:ind w:left="567" w:hanging="567"/>
        <w:jc w:val="both"/>
        <w:rPr>
          <w:rFonts w:ascii="Book Antiqua" w:hAnsi="Book Antiqua" w:cs="Arial"/>
        </w:rPr>
      </w:pPr>
    </w:p>
    <w:p w14:paraId="4FB14A42" w14:textId="10DD6F10" w:rsidR="00B210F0" w:rsidRDefault="00BA2C6D" w:rsidP="00BE1F6F">
      <w:pPr>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In reality, however, this point is entirely academic. </w:t>
      </w:r>
      <w:r w:rsidR="000D400D">
        <w:rPr>
          <w:rFonts w:ascii="Book Antiqua" w:hAnsi="Book Antiqua" w:cs="Arial"/>
        </w:rPr>
        <w:t>Rule 2</w:t>
      </w:r>
      <w:r>
        <w:rPr>
          <w:rFonts w:ascii="Book Antiqua" w:hAnsi="Book Antiqua" w:cs="Arial"/>
        </w:rPr>
        <w:t>7 of the Immigration Rules provides</w:t>
      </w:r>
      <w:r w:rsidR="000D400D">
        <w:rPr>
          <w:rFonts w:ascii="Book Antiqua" w:hAnsi="Book Antiqua" w:cs="Arial"/>
        </w:rPr>
        <w:t xml:space="preserve"> </w:t>
      </w:r>
      <w:r>
        <w:rPr>
          <w:rFonts w:ascii="Book Antiqua" w:hAnsi="Book Antiqua" w:cs="Arial"/>
        </w:rPr>
        <w:t xml:space="preserve">that </w:t>
      </w:r>
      <w:r w:rsidR="000D400D">
        <w:rPr>
          <w:rFonts w:ascii="Book Antiqua" w:hAnsi="Book Antiqua" w:cs="Arial"/>
        </w:rPr>
        <w:t xml:space="preserve">an appellant </w:t>
      </w:r>
      <w:r>
        <w:rPr>
          <w:rFonts w:ascii="Book Antiqua" w:hAnsi="Book Antiqua" w:cs="Arial"/>
        </w:rPr>
        <w:t xml:space="preserve">who (as here) </w:t>
      </w:r>
      <w:r w:rsidR="000D400D">
        <w:rPr>
          <w:rFonts w:ascii="Book Antiqua" w:hAnsi="Book Antiqua" w:cs="Arial"/>
        </w:rPr>
        <w:t>is aged under 18 at the date wh</w:t>
      </w:r>
      <w:r w:rsidR="00540821">
        <w:rPr>
          <w:rFonts w:ascii="Book Antiqua" w:hAnsi="Book Antiqua" w:cs="Arial"/>
        </w:rPr>
        <w:t xml:space="preserve">en an application is made, </w:t>
      </w:r>
      <w:r w:rsidR="000D400D">
        <w:rPr>
          <w:rFonts w:ascii="Book Antiqua" w:hAnsi="Book Antiqua" w:cs="Arial"/>
        </w:rPr>
        <w:t>should be treated on the basis that he is 18 at the date of the determinat</w:t>
      </w:r>
      <w:r w:rsidR="00540821">
        <w:rPr>
          <w:rFonts w:ascii="Book Antiqua" w:hAnsi="Book Antiqua" w:cs="Arial"/>
        </w:rPr>
        <w:t>ion</w:t>
      </w:r>
      <w:r w:rsidR="00C00229">
        <w:rPr>
          <w:rFonts w:ascii="Book Antiqua" w:hAnsi="Book Antiqua" w:cs="Arial"/>
        </w:rPr>
        <w:t xml:space="preserve"> (and </w:t>
      </w:r>
      <w:r w:rsidR="00C00229">
        <w:rPr>
          <w:rFonts w:ascii="Book Antiqua" w:hAnsi="Book Antiqua" w:cs="Arial"/>
          <w:i/>
        </w:rPr>
        <w:t xml:space="preserve">ex </w:t>
      </w:r>
      <w:proofErr w:type="spellStart"/>
      <w:r w:rsidR="00C00229">
        <w:rPr>
          <w:rFonts w:ascii="Book Antiqua" w:hAnsi="Book Antiqua" w:cs="Arial"/>
          <w:i/>
        </w:rPr>
        <w:t>hypothesi</w:t>
      </w:r>
      <w:proofErr w:type="spellEnd"/>
      <w:r w:rsidR="00C00229">
        <w:rPr>
          <w:rFonts w:ascii="Book Antiqua" w:hAnsi="Book Antiqua" w:cs="Arial"/>
          <w:i/>
        </w:rPr>
        <w:t xml:space="preserve"> </w:t>
      </w:r>
      <w:r w:rsidR="00C00229" w:rsidRPr="00C00229">
        <w:rPr>
          <w:rFonts w:ascii="Book Antiqua" w:hAnsi="Book Antiqua" w:cs="Arial"/>
        </w:rPr>
        <w:t>any appeal)</w:t>
      </w:r>
      <w:r w:rsidR="00540821">
        <w:rPr>
          <w:rFonts w:ascii="Book Antiqua" w:hAnsi="Book Antiqua" w:cs="Arial"/>
        </w:rPr>
        <w:t xml:space="preserve">.  In other words, the </w:t>
      </w:r>
      <w:r w:rsidR="00C00229">
        <w:rPr>
          <w:rFonts w:ascii="Book Antiqua" w:hAnsi="Book Antiqua" w:cs="Arial"/>
        </w:rPr>
        <w:t xml:space="preserve">Secretary of State </w:t>
      </w:r>
      <w:r w:rsidR="00540821">
        <w:rPr>
          <w:rFonts w:ascii="Book Antiqua" w:hAnsi="Book Antiqua" w:cs="Arial"/>
        </w:rPr>
        <w:t>cannot take advantage of the fact that</w:t>
      </w:r>
      <w:r w:rsidR="000D400D">
        <w:rPr>
          <w:rFonts w:ascii="Book Antiqua" w:hAnsi="Book Antiqua" w:cs="Arial"/>
        </w:rPr>
        <w:t xml:space="preserve"> an appellant obtain</w:t>
      </w:r>
      <w:r w:rsidR="00540821">
        <w:rPr>
          <w:rFonts w:ascii="Book Antiqua" w:hAnsi="Book Antiqua" w:cs="Arial"/>
        </w:rPr>
        <w:t>s his majority during the course of proceedings which may take some while to determine for reasons often beyond the appellant’s control</w:t>
      </w:r>
      <w:r w:rsidR="00B210F0">
        <w:rPr>
          <w:rFonts w:ascii="Book Antiqua" w:hAnsi="Book Antiqua" w:cs="Arial"/>
        </w:rPr>
        <w:t>.</w:t>
      </w:r>
    </w:p>
    <w:p w14:paraId="5ECD83D0" w14:textId="77777777" w:rsidR="00B210F0" w:rsidRDefault="00B210F0" w:rsidP="00B210F0">
      <w:pPr>
        <w:ind w:left="567" w:hanging="567"/>
        <w:jc w:val="both"/>
        <w:rPr>
          <w:rFonts w:ascii="Book Antiqua" w:hAnsi="Book Antiqua" w:cs="Arial"/>
        </w:rPr>
      </w:pPr>
    </w:p>
    <w:p w14:paraId="2678021D" w14:textId="39660917" w:rsidR="000D400D" w:rsidRDefault="00B210F0" w:rsidP="00BE1F6F">
      <w:pPr>
        <w:ind w:left="567" w:hanging="567"/>
        <w:jc w:val="both"/>
        <w:rPr>
          <w:rFonts w:ascii="Book Antiqua" w:hAnsi="Book Antiqua" w:cs="Arial"/>
        </w:rPr>
      </w:pPr>
      <w:r>
        <w:rPr>
          <w:rFonts w:ascii="Book Antiqua" w:hAnsi="Book Antiqua" w:cs="Arial"/>
        </w:rPr>
        <w:t>11.</w:t>
      </w:r>
      <w:r>
        <w:rPr>
          <w:rFonts w:ascii="Book Antiqua" w:hAnsi="Book Antiqua" w:cs="Arial"/>
        </w:rPr>
        <w:tab/>
      </w:r>
      <w:r w:rsidR="000D400D">
        <w:rPr>
          <w:rFonts w:ascii="Book Antiqua" w:hAnsi="Book Antiqua" w:cs="Arial"/>
        </w:rPr>
        <w:t xml:space="preserve">Mr </w:t>
      </w:r>
      <w:proofErr w:type="spellStart"/>
      <w:r w:rsidR="000D400D">
        <w:rPr>
          <w:rFonts w:ascii="Book Antiqua" w:hAnsi="Book Antiqua" w:cs="Arial"/>
        </w:rPr>
        <w:t>C</w:t>
      </w:r>
      <w:r w:rsidR="003C7C71">
        <w:rPr>
          <w:rFonts w:ascii="Book Antiqua" w:hAnsi="Book Antiqua" w:cs="Arial"/>
        </w:rPr>
        <w:t>hhotu</w:t>
      </w:r>
      <w:proofErr w:type="spellEnd"/>
      <w:r w:rsidR="003C7C71">
        <w:rPr>
          <w:rFonts w:ascii="Book Antiqua" w:hAnsi="Book Antiqua" w:cs="Arial"/>
        </w:rPr>
        <w:t xml:space="preserve"> placed </w:t>
      </w:r>
      <w:r w:rsidR="00540821">
        <w:rPr>
          <w:rFonts w:ascii="Book Antiqua" w:hAnsi="Book Antiqua" w:cs="Arial"/>
        </w:rPr>
        <w:t>reliance on s</w:t>
      </w:r>
      <w:r w:rsidR="000D400D">
        <w:rPr>
          <w:rFonts w:ascii="Book Antiqua" w:hAnsi="Book Antiqua" w:cs="Arial"/>
        </w:rPr>
        <w:t>ection 55 of the Borders, Citizenship and Immigration Act 2009</w:t>
      </w:r>
      <w:r w:rsidR="00540821">
        <w:rPr>
          <w:rFonts w:ascii="Book Antiqua" w:hAnsi="Book Antiqua" w:cs="Arial"/>
        </w:rPr>
        <w:t xml:space="preserve">, </w:t>
      </w:r>
      <w:r w:rsidR="00441436">
        <w:rPr>
          <w:rFonts w:ascii="Book Antiqua" w:hAnsi="Book Antiqua" w:cs="Arial"/>
        </w:rPr>
        <w:t>and the duty to have regard to the welfare of child applicants. He directed</w:t>
      </w:r>
      <w:r w:rsidR="000D400D">
        <w:rPr>
          <w:rFonts w:ascii="Book Antiqua" w:hAnsi="Book Antiqua" w:cs="Arial"/>
        </w:rPr>
        <w:t xml:space="preserve"> me to the familiar statutory guidance issued by the UK Border Agency in the form of the document </w:t>
      </w:r>
      <w:r w:rsidR="000D400D" w:rsidRPr="00441436">
        <w:rPr>
          <w:rFonts w:ascii="Book Antiqua" w:hAnsi="Book Antiqua" w:cs="Arial"/>
          <w:i/>
        </w:rPr>
        <w:t>Every Child Matters: Change for Children</w:t>
      </w:r>
      <w:r w:rsidR="00441436">
        <w:rPr>
          <w:rFonts w:ascii="Book Antiqua" w:hAnsi="Book Antiqua" w:cs="Arial"/>
        </w:rPr>
        <w:t xml:space="preserve">.  Of particular relevance </w:t>
      </w:r>
      <w:r w:rsidR="000D400D">
        <w:rPr>
          <w:rFonts w:ascii="Book Antiqua" w:hAnsi="Book Antiqua" w:cs="Arial"/>
        </w:rPr>
        <w:t>is paragraph 2.34 which reads as follows:</w:t>
      </w:r>
    </w:p>
    <w:p w14:paraId="64F5D31F" w14:textId="77777777" w:rsidR="000D400D" w:rsidRDefault="000D400D" w:rsidP="00BE1F6F">
      <w:pPr>
        <w:ind w:left="567" w:hanging="567"/>
        <w:jc w:val="both"/>
        <w:rPr>
          <w:rFonts w:ascii="Book Antiqua" w:hAnsi="Book Antiqua" w:cs="Arial"/>
        </w:rPr>
      </w:pPr>
    </w:p>
    <w:p w14:paraId="45B13C21" w14:textId="329AAA08" w:rsidR="000D400D" w:rsidRDefault="000D400D" w:rsidP="00A475C4">
      <w:pPr>
        <w:ind w:left="1985" w:hanging="851"/>
        <w:jc w:val="both"/>
        <w:rPr>
          <w:rFonts w:ascii="Book Antiqua" w:hAnsi="Book Antiqua" w:cs="Arial"/>
        </w:rPr>
      </w:pPr>
      <w:r>
        <w:rPr>
          <w:rFonts w:ascii="Book Antiqua" w:hAnsi="Book Antiqua" w:cs="Arial"/>
        </w:rPr>
        <w:t>“</w:t>
      </w:r>
      <w:r w:rsidRPr="000D400D">
        <w:rPr>
          <w:rFonts w:ascii="Book Antiqua" w:hAnsi="Book Antiqua" w:cs="Arial"/>
        </w:rPr>
        <w:t xml:space="preserve">2.34. </w:t>
      </w:r>
      <w:r w:rsidR="00A475C4">
        <w:rPr>
          <w:rFonts w:ascii="Book Antiqua" w:hAnsi="Book Antiqua" w:cs="Arial"/>
        </w:rPr>
        <w:tab/>
      </w:r>
      <w:r w:rsidRPr="000D400D">
        <w:rPr>
          <w:rFonts w:ascii="Book Antiqua" w:hAnsi="Book Antiqua" w:cs="Arial"/>
        </w:rPr>
        <w:t xml:space="preserve">The statutory duty in </w:t>
      </w:r>
      <w:r w:rsidR="00A475C4" w:rsidRPr="000D400D">
        <w:rPr>
          <w:rFonts w:ascii="Book Antiqua" w:hAnsi="Book Antiqua" w:cs="Arial"/>
        </w:rPr>
        <w:t xml:space="preserve">Section </w:t>
      </w:r>
      <w:r w:rsidRPr="000D400D">
        <w:rPr>
          <w:rFonts w:ascii="Book Antiqua" w:hAnsi="Book Antiqua" w:cs="Arial"/>
        </w:rPr>
        <w:t>55 of the 2009</w:t>
      </w:r>
      <w:r w:rsidR="00A475C4">
        <w:rPr>
          <w:rFonts w:ascii="Book Antiqua" w:hAnsi="Book Antiqua" w:cs="Arial"/>
        </w:rPr>
        <w:t xml:space="preserve"> </w:t>
      </w:r>
      <w:r w:rsidRPr="000D400D">
        <w:rPr>
          <w:rFonts w:ascii="Book Antiqua" w:hAnsi="Book Antiqua" w:cs="Arial"/>
        </w:rPr>
        <w:t>Act does not apply in relation to children who</w:t>
      </w:r>
      <w:r w:rsidR="00A475C4">
        <w:rPr>
          <w:rFonts w:ascii="Book Antiqua" w:hAnsi="Book Antiqua" w:cs="Arial"/>
        </w:rPr>
        <w:t xml:space="preserve"> </w:t>
      </w:r>
      <w:r w:rsidRPr="000D400D">
        <w:rPr>
          <w:rFonts w:ascii="Book Antiqua" w:hAnsi="Book Antiqua" w:cs="Arial"/>
        </w:rPr>
        <w:t xml:space="preserve">are outside the United Kingdom. </w:t>
      </w:r>
      <w:r w:rsidR="00A475C4">
        <w:rPr>
          <w:rFonts w:ascii="Book Antiqua" w:hAnsi="Book Antiqua" w:cs="Arial"/>
        </w:rPr>
        <w:t xml:space="preserve"> </w:t>
      </w:r>
      <w:r w:rsidRPr="000D400D">
        <w:rPr>
          <w:rFonts w:ascii="Book Antiqua" w:hAnsi="Book Antiqua" w:cs="Arial"/>
        </w:rPr>
        <w:t>However,</w:t>
      </w:r>
      <w:r w:rsidR="00A475C4">
        <w:rPr>
          <w:rFonts w:ascii="Book Antiqua" w:hAnsi="Book Antiqua" w:cs="Arial"/>
        </w:rPr>
        <w:t xml:space="preserve"> </w:t>
      </w:r>
      <w:r w:rsidRPr="000D400D">
        <w:rPr>
          <w:rFonts w:ascii="Book Antiqua" w:hAnsi="Book Antiqua" w:cs="Arial"/>
        </w:rPr>
        <w:t>UK Border Agency staff working overseas</w:t>
      </w:r>
      <w:r w:rsidR="00A475C4">
        <w:rPr>
          <w:rFonts w:ascii="Book Antiqua" w:hAnsi="Book Antiqua" w:cs="Arial"/>
        </w:rPr>
        <w:t xml:space="preserve"> </w:t>
      </w:r>
      <w:r w:rsidRPr="000D400D">
        <w:rPr>
          <w:rFonts w:ascii="Book Antiqua" w:hAnsi="Book Antiqua" w:cs="Arial"/>
        </w:rPr>
        <w:t>must adhere to the spirit of the duty and make</w:t>
      </w:r>
      <w:r w:rsidR="00A475C4">
        <w:rPr>
          <w:rFonts w:ascii="Book Antiqua" w:hAnsi="Book Antiqua" w:cs="Arial"/>
        </w:rPr>
        <w:t xml:space="preserve"> </w:t>
      </w:r>
      <w:r w:rsidRPr="000D400D">
        <w:rPr>
          <w:rFonts w:ascii="Book Antiqua" w:hAnsi="Book Antiqua" w:cs="Arial"/>
        </w:rPr>
        <w:t>enquiries when they have reason to suspect</w:t>
      </w:r>
      <w:r w:rsidR="00A475C4">
        <w:rPr>
          <w:rFonts w:ascii="Book Antiqua" w:hAnsi="Book Antiqua" w:cs="Arial"/>
        </w:rPr>
        <w:t xml:space="preserve"> </w:t>
      </w:r>
      <w:r w:rsidRPr="000D400D">
        <w:rPr>
          <w:rFonts w:ascii="Book Antiqua" w:hAnsi="Book Antiqua" w:cs="Arial"/>
        </w:rPr>
        <w:t>that a child may be in need of protection</w:t>
      </w:r>
      <w:r w:rsidR="00A475C4">
        <w:rPr>
          <w:rFonts w:ascii="Book Antiqua" w:hAnsi="Book Antiqua" w:cs="Arial"/>
        </w:rPr>
        <w:t xml:space="preserve"> </w:t>
      </w:r>
      <w:r w:rsidRPr="000D400D">
        <w:rPr>
          <w:rFonts w:ascii="Book Antiqua" w:hAnsi="Book Antiqua" w:cs="Arial"/>
        </w:rPr>
        <w:t>or safeguarding, or presents welfare needs</w:t>
      </w:r>
      <w:r w:rsidR="00A475C4">
        <w:rPr>
          <w:rFonts w:ascii="Book Antiqua" w:hAnsi="Book Antiqua" w:cs="Arial"/>
        </w:rPr>
        <w:t xml:space="preserve"> </w:t>
      </w:r>
      <w:r w:rsidRPr="000D400D">
        <w:rPr>
          <w:rFonts w:ascii="Book Antiqua" w:hAnsi="Book Antiqua" w:cs="Arial"/>
        </w:rPr>
        <w:t xml:space="preserve">that require attention. </w:t>
      </w:r>
      <w:r w:rsidR="00A475C4">
        <w:rPr>
          <w:rFonts w:ascii="Book Antiqua" w:hAnsi="Book Antiqua" w:cs="Arial"/>
        </w:rPr>
        <w:t xml:space="preserve"> </w:t>
      </w:r>
      <w:r w:rsidRPr="000D400D">
        <w:rPr>
          <w:rFonts w:ascii="Book Antiqua" w:hAnsi="Book Antiqua" w:cs="Arial"/>
        </w:rPr>
        <w:t>In some instances</w:t>
      </w:r>
      <w:r w:rsidR="00A475C4">
        <w:rPr>
          <w:rFonts w:ascii="Book Antiqua" w:hAnsi="Book Antiqua" w:cs="Arial"/>
        </w:rPr>
        <w:t xml:space="preserve"> </w:t>
      </w:r>
      <w:r w:rsidRPr="000D400D">
        <w:rPr>
          <w:rFonts w:ascii="Book Antiqua" w:hAnsi="Book Antiqua" w:cs="Arial"/>
        </w:rPr>
        <w:t>international or local agreements are in place</w:t>
      </w:r>
      <w:r w:rsidR="00A475C4">
        <w:rPr>
          <w:rFonts w:ascii="Book Antiqua" w:hAnsi="Book Antiqua" w:cs="Arial"/>
        </w:rPr>
        <w:t xml:space="preserve"> </w:t>
      </w:r>
      <w:r w:rsidRPr="000D400D">
        <w:rPr>
          <w:rFonts w:ascii="Book Antiqua" w:hAnsi="Book Antiqua" w:cs="Arial"/>
        </w:rPr>
        <w:t>that permit or require children to be referred</w:t>
      </w:r>
      <w:r w:rsidR="00A475C4">
        <w:rPr>
          <w:rFonts w:ascii="Book Antiqua" w:hAnsi="Book Antiqua" w:cs="Arial"/>
        </w:rPr>
        <w:t xml:space="preserve"> </w:t>
      </w:r>
      <w:r w:rsidRPr="000D400D">
        <w:rPr>
          <w:rFonts w:ascii="Book Antiqua" w:hAnsi="Book Antiqua" w:cs="Arial"/>
        </w:rPr>
        <w:t xml:space="preserve">to authorities of other countries and </w:t>
      </w:r>
      <w:r w:rsidR="00A475C4">
        <w:rPr>
          <w:rFonts w:ascii="Book Antiqua" w:hAnsi="Book Antiqua" w:cs="Arial"/>
        </w:rPr>
        <w:t xml:space="preserve">UK </w:t>
      </w:r>
      <w:r w:rsidRPr="000D400D">
        <w:rPr>
          <w:rFonts w:ascii="Book Antiqua" w:hAnsi="Book Antiqua" w:cs="Arial"/>
        </w:rPr>
        <w:t>Border Agency staff will abide by these</w:t>
      </w:r>
      <w:r w:rsidR="00A475C4">
        <w:rPr>
          <w:rFonts w:ascii="Book Antiqua" w:hAnsi="Book Antiqua" w:cs="Arial"/>
        </w:rPr>
        <w:t>”</w:t>
      </w:r>
      <w:r w:rsidRPr="000D400D">
        <w:rPr>
          <w:rFonts w:ascii="Book Antiqua" w:hAnsi="Book Antiqua" w:cs="Arial"/>
        </w:rPr>
        <w:t>.</w:t>
      </w:r>
    </w:p>
    <w:p w14:paraId="3B5C9F19" w14:textId="77777777" w:rsidR="00A475C4" w:rsidRDefault="00A475C4" w:rsidP="00A475C4">
      <w:pPr>
        <w:ind w:left="1985" w:hanging="851"/>
        <w:jc w:val="both"/>
        <w:rPr>
          <w:rFonts w:ascii="Book Antiqua" w:hAnsi="Book Antiqua" w:cs="Arial"/>
        </w:rPr>
      </w:pPr>
    </w:p>
    <w:p w14:paraId="06B4F090" w14:textId="19FA7C67" w:rsidR="00441436" w:rsidRDefault="00441436" w:rsidP="00A475C4">
      <w:pPr>
        <w:ind w:left="567" w:hanging="567"/>
        <w:jc w:val="both"/>
        <w:rPr>
          <w:rFonts w:ascii="Book Antiqua" w:hAnsi="Book Antiqua" w:cs="Arial"/>
        </w:rPr>
      </w:pPr>
      <w:r>
        <w:rPr>
          <w:rFonts w:ascii="Book Antiqua" w:hAnsi="Book Antiqua" w:cs="Arial"/>
        </w:rPr>
        <w:lastRenderedPageBreak/>
        <w:t>12</w:t>
      </w:r>
      <w:r w:rsidR="00A475C4">
        <w:rPr>
          <w:rFonts w:ascii="Book Antiqua" w:hAnsi="Book Antiqua" w:cs="Arial"/>
        </w:rPr>
        <w:t>.</w:t>
      </w:r>
      <w:r w:rsidR="00A475C4">
        <w:rPr>
          <w:rFonts w:ascii="Book Antiqua" w:hAnsi="Book Antiqua" w:cs="Arial"/>
        </w:rPr>
        <w:tab/>
        <w:t>M</w:t>
      </w:r>
      <w:r>
        <w:rPr>
          <w:rFonts w:ascii="Book Antiqua" w:hAnsi="Book Antiqua" w:cs="Arial"/>
        </w:rPr>
        <w:t xml:space="preserve">r </w:t>
      </w:r>
      <w:proofErr w:type="spellStart"/>
      <w:r>
        <w:rPr>
          <w:rFonts w:ascii="Book Antiqua" w:hAnsi="Book Antiqua" w:cs="Arial"/>
        </w:rPr>
        <w:t>Chhotu</w:t>
      </w:r>
      <w:proofErr w:type="spellEnd"/>
      <w:r>
        <w:rPr>
          <w:rFonts w:ascii="Book Antiqua" w:hAnsi="Book Antiqua" w:cs="Arial"/>
        </w:rPr>
        <w:t xml:space="preserve"> stated in unambiguous </w:t>
      </w:r>
      <w:r w:rsidR="00A475C4">
        <w:rPr>
          <w:rFonts w:ascii="Book Antiqua" w:hAnsi="Book Antiqua" w:cs="Arial"/>
        </w:rPr>
        <w:t>terms that there is no suggestion in this instance that at the time of the application or subsequently this appellant has been in need of protection or safeguarding or presents welfare needs</w:t>
      </w:r>
      <w:r>
        <w:rPr>
          <w:rFonts w:ascii="Book Antiqua" w:hAnsi="Book Antiqua" w:cs="Arial"/>
        </w:rPr>
        <w:t xml:space="preserve"> that require attention.</w:t>
      </w:r>
    </w:p>
    <w:p w14:paraId="7669520D" w14:textId="77777777" w:rsidR="00441436" w:rsidRDefault="00441436" w:rsidP="00A475C4">
      <w:pPr>
        <w:ind w:left="567" w:hanging="567"/>
        <w:jc w:val="both"/>
        <w:rPr>
          <w:rFonts w:ascii="Book Antiqua" w:hAnsi="Book Antiqua" w:cs="Arial"/>
        </w:rPr>
      </w:pPr>
    </w:p>
    <w:p w14:paraId="6B504524" w14:textId="398328C0" w:rsidR="00A475C4" w:rsidRDefault="00441436" w:rsidP="00A475C4">
      <w:pPr>
        <w:ind w:left="567" w:hanging="567"/>
        <w:jc w:val="both"/>
        <w:rPr>
          <w:rFonts w:ascii="Book Antiqua" w:hAnsi="Book Antiqua" w:cs="Arial"/>
        </w:rPr>
      </w:pPr>
      <w:r>
        <w:rPr>
          <w:rFonts w:ascii="Book Antiqua" w:hAnsi="Book Antiqua" w:cs="Arial"/>
        </w:rPr>
        <w:t>13.</w:t>
      </w:r>
      <w:r>
        <w:rPr>
          <w:rFonts w:ascii="Book Antiqua" w:hAnsi="Book Antiqua" w:cs="Arial"/>
        </w:rPr>
        <w:tab/>
        <w:t>A</w:t>
      </w:r>
      <w:r w:rsidR="00A475C4">
        <w:rPr>
          <w:rFonts w:ascii="Book Antiqua" w:hAnsi="Book Antiqua" w:cs="Arial"/>
        </w:rPr>
        <w:t xml:space="preserve">s Mr </w:t>
      </w:r>
      <w:r>
        <w:rPr>
          <w:rFonts w:ascii="Book Antiqua" w:hAnsi="Book Antiqua" w:cs="Arial"/>
        </w:rPr>
        <w:t xml:space="preserve">Wilding properly </w:t>
      </w:r>
      <w:r w:rsidR="00A475C4">
        <w:rPr>
          <w:rFonts w:ascii="Book Antiqua" w:hAnsi="Book Antiqua" w:cs="Arial"/>
        </w:rPr>
        <w:t xml:space="preserve">pointed </w:t>
      </w:r>
      <w:r>
        <w:rPr>
          <w:rFonts w:ascii="Book Antiqua" w:hAnsi="Book Antiqua" w:cs="Arial"/>
        </w:rPr>
        <w:t xml:space="preserve">out, the wording of paragraph 2.34 </w:t>
      </w:r>
      <w:r w:rsidR="00A475C4">
        <w:rPr>
          <w:rFonts w:ascii="Book Antiqua" w:hAnsi="Book Antiqua" w:cs="Arial"/>
        </w:rPr>
        <w:t xml:space="preserve">echoes </w:t>
      </w:r>
      <w:r w:rsidR="00B210F0">
        <w:rPr>
          <w:rFonts w:ascii="Book Antiqua" w:hAnsi="Book Antiqua" w:cs="Arial"/>
        </w:rPr>
        <w:t>and replicates in large measure</w:t>
      </w:r>
      <w:r w:rsidR="00A475C4">
        <w:rPr>
          <w:rFonts w:ascii="Book Antiqua" w:hAnsi="Book Antiqua" w:cs="Arial"/>
        </w:rPr>
        <w:t xml:space="preserve"> the express provisions of paragraph 297(</w:t>
      </w:r>
      <w:proofErr w:type="spellStart"/>
      <w:r w:rsidR="00A475C4">
        <w:rPr>
          <w:rFonts w:ascii="Book Antiqua" w:hAnsi="Book Antiqua" w:cs="Arial"/>
        </w:rPr>
        <w:t>i</w:t>
      </w:r>
      <w:proofErr w:type="spellEnd"/>
      <w:r w:rsidR="00A475C4">
        <w:rPr>
          <w:rFonts w:ascii="Book Antiqua" w:hAnsi="Book Antiqua" w:cs="Arial"/>
        </w:rPr>
        <w:t xml:space="preserve">)(f) </w:t>
      </w:r>
      <w:r w:rsidR="00B210F0">
        <w:rPr>
          <w:rFonts w:ascii="Book Antiqua" w:hAnsi="Book Antiqua" w:cs="Arial"/>
        </w:rPr>
        <w:t xml:space="preserve">in Appendix FM </w:t>
      </w:r>
      <w:r w:rsidR="00A475C4">
        <w:rPr>
          <w:rFonts w:ascii="Book Antiqua" w:hAnsi="Book Antiqua" w:cs="Arial"/>
        </w:rPr>
        <w:t xml:space="preserve">in respect of </w:t>
      </w:r>
      <w:r w:rsidR="00B210F0">
        <w:rPr>
          <w:rFonts w:ascii="Book Antiqua" w:hAnsi="Book Antiqua" w:cs="Arial"/>
        </w:rPr>
        <w:t>“</w:t>
      </w:r>
      <w:r w:rsidR="00A475C4">
        <w:rPr>
          <w:rFonts w:ascii="Book Antiqua" w:hAnsi="Book Antiqua" w:cs="Arial"/>
        </w:rPr>
        <w:t xml:space="preserve">serious and compelling family or other considerations which make exclusion of </w:t>
      </w:r>
      <w:r w:rsidR="00B210F0">
        <w:rPr>
          <w:rFonts w:ascii="Book Antiqua" w:hAnsi="Book Antiqua" w:cs="Arial"/>
        </w:rPr>
        <w:t>the</w:t>
      </w:r>
      <w:r w:rsidR="00A475C4">
        <w:rPr>
          <w:rFonts w:ascii="Book Antiqua" w:hAnsi="Book Antiqua" w:cs="Arial"/>
        </w:rPr>
        <w:t xml:space="preserve"> child undesirable</w:t>
      </w:r>
      <w:r w:rsidR="00B210F0">
        <w:rPr>
          <w:rFonts w:ascii="Book Antiqua" w:hAnsi="Book Antiqua" w:cs="Arial"/>
        </w:rPr>
        <w:t>”</w:t>
      </w:r>
      <w:r w:rsidR="00A475C4">
        <w:rPr>
          <w:rFonts w:ascii="Book Antiqua" w:hAnsi="Book Antiqua" w:cs="Arial"/>
        </w:rPr>
        <w:t xml:space="preserve">.  </w:t>
      </w:r>
    </w:p>
    <w:p w14:paraId="017965BA" w14:textId="77777777" w:rsidR="00A475C4" w:rsidRDefault="00A475C4" w:rsidP="00A475C4">
      <w:pPr>
        <w:ind w:left="567" w:hanging="567"/>
        <w:jc w:val="both"/>
        <w:rPr>
          <w:rFonts w:ascii="Book Antiqua" w:hAnsi="Book Antiqua" w:cs="Arial"/>
        </w:rPr>
      </w:pPr>
    </w:p>
    <w:p w14:paraId="46CDC04B" w14:textId="03E99E59" w:rsidR="00A475C4" w:rsidRDefault="00C00229" w:rsidP="007A07A1">
      <w:pPr>
        <w:ind w:left="567" w:hanging="567"/>
        <w:jc w:val="both"/>
        <w:rPr>
          <w:rFonts w:ascii="Book Antiqua" w:hAnsi="Book Antiqua" w:cs="Arial"/>
        </w:rPr>
      </w:pPr>
      <w:r>
        <w:rPr>
          <w:rFonts w:ascii="Book Antiqua" w:hAnsi="Book Antiqua" w:cs="Arial"/>
        </w:rPr>
        <w:t>14</w:t>
      </w:r>
      <w:r w:rsidR="00A475C4">
        <w:rPr>
          <w:rFonts w:ascii="Book Antiqua" w:hAnsi="Book Antiqua" w:cs="Arial"/>
        </w:rPr>
        <w:t>.</w:t>
      </w:r>
      <w:r w:rsidR="00A475C4">
        <w:rPr>
          <w:rFonts w:ascii="Book Antiqua" w:hAnsi="Book Antiqua" w:cs="Arial"/>
        </w:rPr>
        <w:tab/>
      </w:r>
      <w:r w:rsidR="000F193E">
        <w:rPr>
          <w:rFonts w:ascii="Book Antiqua" w:hAnsi="Book Antiqua" w:cs="Arial"/>
        </w:rPr>
        <w:t>The substantial bundle of authorities</w:t>
      </w:r>
      <w:r w:rsidR="003C7C71">
        <w:rPr>
          <w:rFonts w:ascii="Book Antiqua" w:hAnsi="Book Antiqua" w:cs="Arial"/>
        </w:rPr>
        <w:t xml:space="preserve"> which Mr </w:t>
      </w:r>
      <w:proofErr w:type="spellStart"/>
      <w:r w:rsidR="003C7C71">
        <w:rPr>
          <w:rFonts w:ascii="Book Antiqua" w:hAnsi="Book Antiqua" w:cs="Arial"/>
        </w:rPr>
        <w:t>Chhotu</w:t>
      </w:r>
      <w:proofErr w:type="spellEnd"/>
      <w:r w:rsidR="003C7C71">
        <w:rPr>
          <w:rFonts w:ascii="Book Antiqua" w:hAnsi="Book Antiqua" w:cs="Arial"/>
        </w:rPr>
        <w:t xml:space="preserve"> produced </w:t>
      </w:r>
      <w:r w:rsidR="000F193E">
        <w:rPr>
          <w:rFonts w:ascii="Book Antiqua" w:hAnsi="Book Antiqua" w:cs="Arial"/>
        </w:rPr>
        <w:t>I did n</w:t>
      </w:r>
      <w:r>
        <w:rPr>
          <w:rFonts w:ascii="Book Antiqua" w:hAnsi="Book Antiqua" w:cs="Arial"/>
        </w:rPr>
        <w:t xml:space="preserve">ot find to be of </w:t>
      </w:r>
      <w:r w:rsidR="000F193E">
        <w:rPr>
          <w:rFonts w:ascii="Book Antiqua" w:hAnsi="Book Antiqua" w:cs="Arial"/>
        </w:rPr>
        <w:t>assistance largely because it addressed points which were no</w:t>
      </w:r>
      <w:r w:rsidR="003C7C71">
        <w:rPr>
          <w:rFonts w:ascii="Book Antiqua" w:hAnsi="Book Antiqua" w:cs="Arial"/>
        </w:rPr>
        <w:t xml:space="preserve">t in play in this particular appeal. </w:t>
      </w:r>
    </w:p>
    <w:p w14:paraId="5E56D014" w14:textId="77777777" w:rsidR="00A475C4" w:rsidRDefault="00A475C4" w:rsidP="00A475C4">
      <w:pPr>
        <w:ind w:left="567" w:hanging="567"/>
        <w:jc w:val="both"/>
        <w:rPr>
          <w:rFonts w:ascii="Book Antiqua" w:hAnsi="Book Antiqua" w:cs="Arial"/>
        </w:rPr>
      </w:pPr>
    </w:p>
    <w:p w14:paraId="200CE103" w14:textId="072D85D0" w:rsidR="00043568" w:rsidRDefault="00A475C4" w:rsidP="00A475C4">
      <w:pPr>
        <w:ind w:left="567" w:hanging="567"/>
        <w:jc w:val="both"/>
        <w:rPr>
          <w:rFonts w:ascii="Book Antiqua" w:hAnsi="Book Antiqua" w:cs="Arial"/>
        </w:rPr>
      </w:pPr>
      <w:r>
        <w:rPr>
          <w:rFonts w:ascii="Book Antiqua" w:hAnsi="Book Antiqua" w:cs="Arial"/>
        </w:rPr>
        <w:t>1</w:t>
      </w:r>
      <w:r w:rsidR="00154110">
        <w:rPr>
          <w:rFonts w:ascii="Book Antiqua" w:hAnsi="Book Antiqua" w:cs="Arial"/>
        </w:rPr>
        <w:t>5</w:t>
      </w:r>
      <w:r>
        <w:rPr>
          <w:rFonts w:ascii="Book Antiqua" w:hAnsi="Book Antiqua" w:cs="Arial"/>
        </w:rPr>
        <w:t>.</w:t>
      </w:r>
      <w:r w:rsidR="00F948DC">
        <w:rPr>
          <w:rFonts w:ascii="Book Antiqua" w:hAnsi="Book Antiqua" w:cs="Arial"/>
        </w:rPr>
        <w:tab/>
      </w:r>
      <w:r w:rsidR="007A07A1">
        <w:rPr>
          <w:rFonts w:ascii="Book Antiqua" w:hAnsi="Book Antiqua" w:cs="Arial"/>
        </w:rPr>
        <w:t>T</w:t>
      </w:r>
      <w:r w:rsidR="00510C5E">
        <w:rPr>
          <w:rFonts w:ascii="Book Antiqua" w:hAnsi="Book Antiqua" w:cs="Arial"/>
        </w:rPr>
        <w:t xml:space="preserve">he primary findings of fact made in the First-tier Tribunal are conclusive and </w:t>
      </w:r>
      <w:r w:rsidR="007A07A1">
        <w:rPr>
          <w:rFonts w:ascii="Book Antiqua" w:hAnsi="Book Antiqua" w:cs="Arial"/>
        </w:rPr>
        <w:t xml:space="preserve">dispositive of the matter. I cannot identify any </w:t>
      </w:r>
      <w:r w:rsidR="00510C5E">
        <w:rPr>
          <w:rFonts w:ascii="Book Antiqua" w:hAnsi="Book Antiqua" w:cs="Arial"/>
        </w:rPr>
        <w:t xml:space="preserve">compelling </w:t>
      </w:r>
      <w:r w:rsidR="007A07A1">
        <w:rPr>
          <w:rFonts w:ascii="Book Antiqua" w:hAnsi="Book Antiqua" w:cs="Arial"/>
        </w:rPr>
        <w:t>circumstances which s</w:t>
      </w:r>
      <w:r w:rsidR="00154110">
        <w:rPr>
          <w:rFonts w:ascii="Book Antiqua" w:hAnsi="Book Antiqua" w:cs="Arial"/>
        </w:rPr>
        <w:t xml:space="preserve">uggest that </w:t>
      </w:r>
      <w:r w:rsidR="007A07A1">
        <w:rPr>
          <w:rFonts w:ascii="Book Antiqua" w:hAnsi="Book Antiqua" w:cs="Arial"/>
        </w:rPr>
        <w:t xml:space="preserve">the decision of the entry clearance officer was disproportionate under </w:t>
      </w:r>
      <w:r w:rsidR="00510C5E">
        <w:rPr>
          <w:rFonts w:ascii="Book Antiqua" w:hAnsi="Book Antiqua" w:cs="Arial"/>
        </w:rPr>
        <w:t>Article 8</w:t>
      </w:r>
      <w:r w:rsidR="00043568">
        <w:rPr>
          <w:rFonts w:ascii="Book Antiqua" w:hAnsi="Book Antiqua" w:cs="Arial"/>
        </w:rPr>
        <w:t>.</w:t>
      </w:r>
    </w:p>
    <w:p w14:paraId="70E61F64" w14:textId="77777777" w:rsidR="00043568" w:rsidRDefault="00043568" w:rsidP="00A475C4">
      <w:pPr>
        <w:ind w:left="567" w:hanging="567"/>
        <w:jc w:val="both"/>
        <w:rPr>
          <w:rFonts w:ascii="Book Antiqua" w:hAnsi="Book Antiqua" w:cs="Arial"/>
        </w:rPr>
      </w:pPr>
    </w:p>
    <w:p w14:paraId="33A64F3C" w14:textId="76C198E5" w:rsidR="009B574F" w:rsidRDefault="00154110" w:rsidP="00A475C4">
      <w:pPr>
        <w:ind w:left="567" w:hanging="567"/>
        <w:jc w:val="both"/>
        <w:rPr>
          <w:rFonts w:ascii="Book Antiqua" w:hAnsi="Book Antiqua" w:cs="Arial"/>
        </w:rPr>
      </w:pPr>
      <w:r>
        <w:rPr>
          <w:rFonts w:ascii="Book Antiqua" w:hAnsi="Book Antiqua" w:cs="Arial"/>
        </w:rPr>
        <w:t>16</w:t>
      </w:r>
      <w:r w:rsidR="00043568">
        <w:rPr>
          <w:rFonts w:ascii="Book Antiqua" w:hAnsi="Book Antiqua" w:cs="Arial"/>
        </w:rPr>
        <w:t>.</w:t>
      </w:r>
      <w:r w:rsidR="00043568">
        <w:rPr>
          <w:rFonts w:ascii="Book Antiqua" w:hAnsi="Book Antiqua" w:cs="Arial"/>
        </w:rPr>
        <w:tab/>
        <w:t xml:space="preserve">Mr </w:t>
      </w:r>
      <w:proofErr w:type="spellStart"/>
      <w:r w:rsidR="00043568">
        <w:rPr>
          <w:rFonts w:ascii="Book Antiqua" w:hAnsi="Book Antiqua" w:cs="Arial"/>
        </w:rPr>
        <w:t>Chhotu</w:t>
      </w:r>
      <w:proofErr w:type="spellEnd"/>
      <w:r w:rsidR="00043568">
        <w:rPr>
          <w:rFonts w:ascii="Book Antiqua" w:hAnsi="Book Antiqua" w:cs="Arial"/>
        </w:rPr>
        <w:t xml:space="preserve"> repeatedly submitted that this was a very difficult case on account of there being a conflict which impacted on </w:t>
      </w:r>
      <w:r>
        <w:rPr>
          <w:rFonts w:ascii="Book Antiqua" w:hAnsi="Book Antiqua" w:cs="Arial"/>
        </w:rPr>
        <w:t xml:space="preserve">the appellant’s </w:t>
      </w:r>
      <w:r w:rsidR="00043568">
        <w:rPr>
          <w:rFonts w:ascii="Book Antiqua" w:hAnsi="Book Antiqua" w:cs="Arial"/>
        </w:rPr>
        <w:t xml:space="preserve">constitutional rights. </w:t>
      </w:r>
      <w:r w:rsidR="005B6B35">
        <w:rPr>
          <w:rFonts w:ascii="Book Antiqua" w:hAnsi="Book Antiqua" w:cs="Arial"/>
        </w:rPr>
        <w:t>He spoke of the potential for prejudice or injustice</w:t>
      </w:r>
      <w:r w:rsidR="00D43634">
        <w:rPr>
          <w:rFonts w:ascii="Book Antiqua" w:hAnsi="Book Antiqua" w:cs="Arial"/>
        </w:rPr>
        <w:t xml:space="preserve"> by applying a “date of hearing assessment”.  D</w:t>
      </w:r>
      <w:r w:rsidR="00043568">
        <w:rPr>
          <w:rFonts w:ascii="Book Antiqua" w:hAnsi="Book Antiqua" w:cs="Arial"/>
        </w:rPr>
        <w:t>espite affording him the opportunity of developing his arguments a</w:t>
      </w:r>
      <w:r>
        <w:rPr>
          <w:rFonts w:ascii="Book Antiqua" w:hAnsi="Book Antiqua" w:cs="Arial"/>
        </w:rPr>
        <w:t>t this</w:t>
      </w:r>
      <w:r w:rsidR="00043568">
        <w:rPr>
          <w:rFonts w:ascii="Book Antiqua" w:hAnsi="Book Antiqua" w:cs="Arial"/>
        </w:rPr>
        <w:t xml:space="preserve"> adjourned remake decision, I am not persuaded</w:t>
      </w:r>
      <w:r>
        <w:rPr>
          <w:rFonts w:ascii="Book Antiqua" w:hAnsi="Book Antiqua" w:cs="Arial"/>
        </w:rPr>
        <w:t xml:space="preserve"> that there is a conflict, nor</w:t>
      </w:r>
      <w:r w:rsidR="00043568">
        <w:rPr>
          <w:rFonts w:ascii="Book Antiqua" w:hAnsi="Book Antiqua" w:cs="Arial"/>
        </w:rPr>
        <w:t xml:space="preserve"> is the matter as complex as he suggests</w:t>
      </w:r>
      <w:r>
        <w:rPr>
          <w:rFonts w:ascii="Book Antiqua" w:hAnsi="Book Antiqua" w:cs="Arial"/>
        </w:rPr>
        <w:t>. There is no</w:t>
      </w:r>
      <w:r w:rsidR="00D43634">
        <w:rPr>
          <w:rFonts w:ascii="Book Antiqua" w:hAnsi="Book Antiqua" w:cs="Arial"/>
        </w:rPr>
        <w:t xml:space="preserve"> risk of prejudice </w:t>
      </w:r>
      <w:r>
        <w:rPr>
          <w:rFonts w:ascii="Book Antiqua" w:hAnsi="Book Antiqua" w:cs="Arial"/>
        </w:rPr>
        <w:t xml:space="preserve">or injustice </w:t>
      </w:r>
      <w:r w:rsidR="00D43634">
        <w:rPr>
          <w:rFonts w:ascii="Book Antiqua" w:hAnsi="Book Antiqua" w:cs="Arial"/>
        </w:rPr>
        <w:t>as the effect of rule 27 is to make the appellant’s age immaterial</w:t>
      </w:r>
      <w:r w:rsidR="00043568">
        <w:rPr>
          <w:rFonts w:ascii="Book Antiqua" w:hAnsi="Book Antiqua" w:cs="Arial"/>
        </w:rPr>
        <w:t>.</w:t>
      </w:r>
    </w:p>
    <w:p w14:paraId="7502769C" w14:textId="77777777" w:rsidR="009B574F" w:rsidRDefault="009B574F" w:rsidP="00A475C4">
      <w:pPr>
        <w:ind w:left="567" w:hanging="567"/>
        <w:jc w:val="both"/>
        <w:rPr>
          <w:rFonts w:ascii="Book Antiqua" w:hAnsi="Book Antiqua" w:cs="Arial"/>
        </w:rPr>
      </w:pPr>
    </w:p>
    <w:p w14:paraId="42337DDF" w14:textId="77777777" w:rsidR="00154110" w:rsidRDefault="00154110" w:rsidP="00A475C4">
      <w:pPr>
        <w:ind w:left="567" w:hanging="567"/>
        <w:jc w:val="both"/>
        <w:rPr>
          <w:rFonts w:ascii="Book Antiqua" w:hAnsi="Book Antiqua" w:cs="Arial"/>
        </w:rPr>
      </w:pPr>
      <w:r>
        <w:rPr>
          <w:rFonts w:ascii="Book Antiqua" w:hAnsi="Book Antiqua" w:cs="Arial"/>
        </w:rPr>
        <w:t>17</w:t>
      </w:r>
      <w:r w:rsidR="009B574F">
        <w:rPr>
          <w:rFonts w:ascii="Book Antiqua" w:hAnsi="Book Antiqua" w:cs="Arial"/>
        </w:rPr>
        <w:t>.</w:t>
      </w:r>
      <w:r w:rsidR="009B574F">
        <w:rPr>
          <w:rFonts w:ascii="Book Antiqua" w:hAnsi="Book Antiqua" w:cs="Arial"/>
        </w:rPr>
        <w:tab/>
        <w:t xml:space="preserve">The appellant has not been disadvantaged by obtaining his majority during the currency of these protracted proceedings. Any arguable delay on the part of the Secretary of State or the First-tier Tribunal </w:t>
      </w:r>
      <w:r w:rsidR="00D43634">
        <w:rPr>
          <w:rFonts w:ascii="Book Antiqua" w:hAnsi="Book Antiqua" w:cs="Arial"/>
        </w:rPr>
        <w:t xml:space="preserve">(on which I make no findings) </w:t>
      </w:r>
      <w:r w:rsidR="009B574F">
        <w:rPr>
          <w:rFonts w:ascii="Book Antiqua" w:hAnsi="Book Antiqua" w:cs="Arial"/>
        </w:rPr>
        <w:t>has not impacted on the outcome.</w:t>
      </w:r>
      <w:r w:rsidR="007C775C">
        <w:rPr>
          <w:rFonts w:ascii="Book Antiqua" w:hAnsi="Book Antiqua" w:cs="Arial"/>
        </w:rPr>
        <w:t xml:space="preserve"> This case does not begin to approach </w:t>
      </w:r>
      <w:r w:rsidR="00D43634">
        <w:rPr>
          <w:rFonts w:ascii="Book Antiqua" w:hAnsi="Book Antiqua" w:cs="Arial"/>
        </w:rPr>
        <w:t>t</w:t>
      </w:r>
      <w:r w:rsidR="007C775C">
        <w:rPr>
          <w:rFonts w:ascii="Book Antiqua" w:hAnsi="Book Antiqua" w:cs="Arial"/>
        </w:rPr>
        <w:t xml:space="preserve">he territory of “conspicuous unfairness” as discussed in </w:t>
      </w:r>
      <w:r w:rsidR="007C775C">
        <w:rPr>
          <w:rFonts w:ascii="Book Antiqua" w:hAnsi="Book Antiqua" w:cs="Arial"/>
          <w:b/>
          <w:u w:val="single"/>
        </w:rPr>
        <w:t>MM (Zimbabwe) v Secretary of State for the Home Department</w:t>
      </w:r>
      <w:r w:rsidR="007C775C">
        <w:rPr>
          <w:rFonts w:ascii="Book Antiqua" w:hAnsi="Book Antiqua" w:cs="Arial"/>
          <w:b/>
        </w:rPr>
        <w:t xml:space="preserve"> [2012] EWCA </w:t>
      </w:r>
      <w:proofErr w:type="spellStart"/>
      <w:r w:rsidR="007C775C">
        <w:rPr>
          <w:rFonts w:ascii="Book Antiqua" w:hAnsi="Book Antiqua" w:cs="Arial"/>
          <w:b/>
        </w:rPr>
        <w:t>Civ</w:t>
      </w:r>
      <w:proofErr w:type="spellEnd"/>
      <w:r w:rsidR="007C775C">
        <w:rPr>
          <w:rFonts w:ascii="Book Antiqua" w:hAnsi="Book Antiqua" w:cs="Arial"/>
          <w:b/>
        </w:rPr>
        <w:t xml:space="preserve"> 135.</w:t>
      </w:r>
    </w:p>
    <w:p w14:paraId="1C42B96B" w14:textId="77777777" w:rsidR="00154110" w:rsidRDefault="00154110" w:rsidP="00A475C4">
      <w:pPr>
        <w:ind w:left="567" w:hanging="567"/>
        <w:jc w:val="both"/>
        <w:rPr>
          <w:rFonts w:ascii="Book Antiqua" w:hAnsi="Book Antiqua" w:cs="Arial"/>
        </w:rPr>
      </w:pPr>
    </w:p>
    <w:p w14:paraId="01EAAC62" w14:textId="46CFFEFC" w:rsidR="008B3738" w:rsidRDefault="00154110" w:rsidP="00A475C4">
      <w:pPr>
        <w:ind w:left="567" w:hanging="567"/>
        <w:jc w:val="both"/>
        <w:rPr>
          <w:rFonts w:ascii="Book Antiqua" w:hAnsi="Book Antiqua" w:cs="Arial"/>
        </w:rPr>
      </w:pPr>
      <w:r>
        <w:rPr>
          <w:rFonts w:ascii="Book Antiqua" w:hAnsi="Book Antiqua" w:cs="Arial"/>
        </w:rPr>
        <w:t>18.</w:t>
      </w:r>
      <w:r>
        <w:rPr>
          <w:rFonts w:ascii="Book Antiqua" w:hAnsi="Book Antiqua" w:cs="Arial"/>
        </w:rPr>
        <w:tab/>
      </w:r>
      <w:r w:rsidR="00D43634">
        <w:rPr>
          <w:rFonts w:ascii="Book Antiqua" w:hAnsi="Book Antiqua" w:cs="Arial"/>
        </w:rPr>
        <w:t>O</w:t>
      </w:r>
      <w:r w:rsidR="009B574F">
        <w:rPr>
          <w:rFonts w:ascii="Book Antiqua" w:hAnsi="Book Antiqua" w:cs="Arial"/>
        </w:rPr>
        <w:t>n the facts</w:t>
      </w:r>
      <w:r w:rsidR="00043568">
        <w:rPr>
          <w:rFonts w:ascii="Book Antiqua" w:hAnsi="Book Antiqua" w:cs="Arial"/>
        </w:rPr>
        <w:t xml:space="preserve"> </w:t>
      </w:r>
      <w:r w:rsidR="009B574F">
        <w:rPr>
          <w:rFonts w:ascii="Book Antiqua" w:hAnsi="Book Antiqua" w:cs="Arial"/>
        </w:rPr>
        <w:t xml:space="preserve">as found, the appellant did not satisfy the provisions of </w:t>
      </w:r>
      <w:r w:rsidR="00510C5E">
        <w:rPr>
          <w:rFonts w:ascii="Book Antiqua" w:hAnsi="Book Antiqua" w:cs="Arial"/>
        </w:rPr>
        <w:t>paragraph 297</w:t>
      </w:r>
      <w:r w:rsidR="009B574F">
        <w:rPr>
          <w:rFonts w:ascii="Book Antiqua" w:hAnsi="Book Antiqua" w:cs="Arial"/>
        </w:rPr>
        <w:t>(</w:t>
      </w:r>
      <w:proofErr w:type="spellStart"/>
      <w:r w:rsidR="009B574F">
        <w:rPr>
          <w:rFonts w:ascii="Book Antiqua" w:hAnsi="Book Antiqua" w:cs="Arial"/>
        </w:rPr>
        <w:t>i</w:t>
      </w:r>
      <w:proofErr w:type="spellEnd"/>
      <w:r w:rsidR="009B574F">
        <w:rPr>
          <w:rFonts w:ascii="Book Antiqua" w:hAnsi="Book Antiqua" w:cs="Arial"/>
        </w:rPr>
        <w:t>)(e)</w:t>
      </w:r>
      <w:r w:rsidR="009B4D3E">
        <w:rPr>
          <w:rFonts w:ascii="Book Antiqua" w:hAnsi="Book Antiqua" w:cs="Arial"/>
        </w:rPr>
        <w:t xml:space="preserve"> or</w:t>
      </w:r>
      <w:r w:rsidR="009B574F">
        <w:rPr>
          <w:rFonts w:ascii="Book Antiqua" w:hAnsi="Book Antiqua" w:cs="Arial"/>
        </w:rPr>
        <w:t xml:space="preserve"> 297(</w:t>
      </w:r>
      <w:proofErr w:type="spellStart"/>
      <w:r w:rsidR="009B574F">
        <w:rPr>
          <w:rFonts w:ascii="Book Antiqua" w:hAnsi="Book Antiqua" w:cs="Arial"/>
        </w:rPr>
        <w:t>i</w:t>
      </w:r>
      <w:proofErr w:type="spellEnd"/>
      <w:r w:rsidR="009B574F">
        <w:rPr>
          <w:rFonts w:ascii="Book Antiqua" w:hAnsi="Book Antiqua" w:cs="Arial"/>
        </w:rPr>
        <w:t>)(f)</w:t>
      </w:r>
      <w:r w:rsidR="00510C5E">
        <w:rPr>
          <w:rFonts w:ascii="Book Antiqua" w:hAnsi="Book Antiqua" w:cs="Arial"/>
        </w:rPr>
        <w:t xml:space="preserve">.  </w:t>
      </w:r>
      <w:r w:rsidR="00D43634">
        <w:rPr>
          <w:rFonts w:ascii="Book Antiqua" w:hAnsi="Book Antiqua" w:cs="Arial"/>
        </w:rPr>
        <w:t>His case was</w:t>
      </w:r>
      <w:r w:rsidR="008B3738">
        <w:rPr>
          <w:rFonts w:ascii="Book Antiqua" w:hAnsi="Book Antiqua" w:cs="Arial"/>
        </w:rPr>
        <w:t xml:space="preserve"> not rejected by virtue of the </w:t>
      </w:r>
      <w:r w:rsidR="00510C5E">
        <w:rPr>
          <w:rFonts w:ascii="Book Antiqua" w:hAnsi="Book Antiqua" w:cs="Arial"/>
        </w:rPr>
        <w:t>appellant</w:t>
      </w:r>
      <w:r w:rsidR="008B3738">
        <w:rPr>
          <w:rFonts w:ascii="Book Antiqua" w:hAnsi="Book Antiqua" w:cs="Arial"/>
        </w:rPr>
        <w:t>’s age, but because on a detailed scrutiny of the evidence,</w:t>
      </w:r>
      <w:r w:rsidR="008B3738" w:rsidRPr="008B3738">
        <w:rPr>
          <w:rFonts w:ascii="Book Antiqua" w:hAnsi="Book Antiqua" w:cs="Arial"/>
        </w:rPr>
        <w:t xml:space="preserve"> </w:t>
      </w:r>
      <w:r w:rsidR="008B3738" w:rsidRPr="00C25427">
        <w:rPr>
          <w:rFonts w:ascii="Book Antiqua" w:hAnsi="Book Antiqua" w:cs="Arial"/>
        </w:rPr>
        <w:t xml:space="preserve">there </w:t>
      </w:r>
      <w:r w:rsidR="008B3738">
        <w:rPr>
          <w:rFonts w:ascii="Book Antiqua" w:hAnsi="Book Antiqua" w:cs="Arial"/>
        </w:rPr>
        <w:t xml:space="preserve">were no </w:t>
      </w:r>
      <w:r w:rsidR="008B3738" w:rsidRPr="00C25427">
        <w:rPr>
          <w:rFonts w:ascii="Book Antiqua" w:hAnsi="Book Antiqua" w:cs="Arial"/>
        </w:rPr>
        <w:t>serious and compelling family or other co</w:t>
      </w:r>
      <w:r w:rsidR="008B3738">
        <w:rPr>
          <w:rFonts w:ascii="Book Antiqua" w:hAnsi="Book Antiqua" w:cs="Arial"/>
        </w:rPr>
        <w:t>nsiderations which mad</w:t>
      </w:r>
      <w:r w:rsidR="008B3738" w:rsidRPr="00C25427">
        <w:rPr>
          <w:rFonts w:ascii="Book Antiqua" w:hAnsi="Book Antiqua" w:cs="Arial"/>
        </w:rPr>
        <w:t xml:space="preserve">e exclusion of the </w:t>
      </w:r>
      <w:r w:rsidR="008B3738">
        <w:rPr>
          <w:rFonts w:ascii="Book Antiqua" w:hAnsi="Book Antiqua" w:cs="Arial"/>
        </w:rPr>
        <w:t>appellant</w:t>
      </w:r>
      <w:r w:rsidR="008B3738" w:rsidRPr="00C25427">
        <w:rPr>
          <w:rFonts w:ascii="Book Antiqua" w:hAnsi="Book Antiqua" w:cs="Arial"/>
        </w:rPr>
        <w:t xml:space="preserve"> undesirable</w:t>
      </w:r>
      <w:r w:rsidR="008B3738">
        <w:rPr>
          <w:rFonts w:ascii="Book Antiqua" w:hAnsi="Book Antiqua" w:cs="Arial"/>
        </w:rPr>
        <w:t>.</w:t>
      </w:r>
    </w:p>
    <w:p w14:paraId="18205467" w14:textId="77777777" w:rsidR="008B3738" w:rsidRDefault="008B3738" w:rsidP="00A475C4">
      <w:pPr>
        <w:ind w:left="567" w:hanging="567"/>
        <w:jc w:val="both"/>
        <w:rPr>
          <w:rFonts w:ascii="Book Antiqua" w:hAnsi="Book Antiqua" w:cs="Arial"/>
        </w:rPr>
      </w:pPr>
    </w:p>
    <w:p w14:paraId="0D56EE59" w14:textId="541389AD" w:rsidR="00B949CE" w:rsidRDefault="008F2DF8" w:rsidP="00A475C4">
      <w:pPr>
        <w:ind w:left="567" w:hanging="567"/>
        <w:jc w:val="both"/>
        <w:rPr>
          <w:rFonts w:ascii="Book Antiqua" w:hAnsi="Book Antiqua" w:cs="Arial"/>
        </w:rPr>
      </w:pPr>
      <w:r>
        <w:rPr>
          <w:rFonts w:ascii="Book Antiqua" w:hAnsi="Book Antiqua" w:cs="Arial"/>
        </w:rPr>
        <w:t>19</w:t>
      </w:r>
      <w:r w:rsidR="005261DF">
        <w:rPr>
          <w:rFonts w:ascii="Book Antiqua" w:hAnsi="Book Antiqua" w:cs="Arial"/>
        </w:rPr>
        <w:t>.</w:t>
      </w:r>
      <w:r w:rsidR="005261DF">
        <w:rPr>
          <w:rFonts w:ascii="Book Antiqua" w:hAnsi="Book Antiqua" w:cs="Arial"/>
        </w:rPr>
        <w:tab/>
      </w:r>
      <w:r w:rsidR="009B4D3E">
        <w:rPr>
          <w:rFonts w:ascii="Book Antiqua" w:hAnsi="Book Antiqua" w:cs="Arial"/>
        </w:rPr>
        <w:t xml:space="preserve">Mr </w:t>
      </w:r>
      <w:proofErr w:type="spellStart"/>
      <w:r w:rsidR="009B4D3E">
        <w:rPr>
          <w:rFonts w:ascii="Book Antiqua" w:hAnsi="Book Antiqua" w:cs="Arial"/>
        </w:rPr>
        <w:t>Chhotu</w:t>
      </w:r>
      <w:proofErr w:type="spellEnd"/>
      <w:r w:rsidR="009B4D3E">
        <w:rPr>
          <w:rFonts w:ascii="Book Antiqua" w:hAnsi="Book Antiqua" w:cs="Arial"/>
        </w:rPr>
        <w:t xml:space="preserve"> has no</w:t>
      </w:r>
      <w:r w:rsidR="00154110">
        <w:rPr>
          <w:rFonts w:ascii="Book Antiqua" w:hAnsi="Book Antiqua" w:cs="Arial"/>
        </w:rPr>
        <w:t>t</w:t>
      </w:r>
      <w:r w:rsidR="009B4D3E">
        <w:rPr>
          <w:rFonts w:ascii="Book Antiqua" w:hAnsi="Book Antiqua" w:cs="Arial"/>
        </w:rPr>
        <w:t xml:space="preserve"> identified any feature (still </w:t>
      </w:r>
      <w:r w:rsidR="00B949CE">
        <w:rPr>
          <w:rFonts w:ascii="Book Antiqua" w:hAnsi="Book Antiqua" w:cs="Arial"/>
        </w:rPr>
        <w:t>less</w:t>
      </w:r>
      <w:r w:rsidR="009B4D3E">
        <w:rPr>
          <w:rFonts w:ascii="Book Antiqua" w:hAnsi="Book Antiqua" w:cs="Arial"/>
        </w:rPr>
        <w:t xml:space="preserve"> a compelling circumstance) why the appeal should succeed under Article 8, which has not already been factored into the judge’s scrupulous and unimpeachable disposal of the matter under </w:t>
      </w:r>
      <w:r w:rsidR="00B949CE">
        <w:rPr>
          <w:rFonts w:ascii="Book Antiqua" w:hAnsi="Book Antiqua" w:cs="Arial"/>
        </w:rPr>
        <w:t xml:space="preserve">the </w:t>
      </w:r>
      <w:r w:rsidR="007C775C">
        <w:rPr>
          <w:rFonts w:ascii="Book Antiqua" w:hAnsi="Book Antiqua" w:cs="Arial"/>
        </w:rPr>
        <w:t xml:space="preserve">composite elements of paragraph </w:t>
      </w:r>
      <w:r w:rsidR="009B4D3E">
        <w:rPr>
          <w:rFonts w:ascii="Book Antiqua" w:hAnsi="Book Antiqua" w:cs="Arial"/>
        </w:rPr>
        <w:t>297(</w:t>
      </w:r>
      <w:proofErr w:type="spellStart"/>
      <w:r w:rsidR="009B4D3E">
        <w:rPr>
          <w:rFonts w:ascii="Book Antiqua" w:hAnsi="Book Antiqua" w:cs="Arial"/>
        </w:rPr>
        <w:t>i</w:t>
      </w:r>
      <w:proofErr w:type="spellEnd"/>
      <w:r w:rsidR="009B4D3E">
        <w:rPr>
          <w:rFonts w:ascii="Book Antiqua" w:hAnsi="Book Antiqua" w:cs="Arial"/>
        </w:rPr>
        <w:t>)(f).</w:t>
      </w:r>
      <w:r w:rsidR="00812607">
        <w:rPr>
          <w:rFonts w:ascii="Book Antiqua" w:hAnsi="Book Antiqua" w:cs="Arial"/>
        </w:rPr>
        <w:t xml:space="preserve"> This is not a “near miss” case. </w:t>
      </w:r>
      <w:r w:rsidR="00704DE4">
        <w:rPr>
          <w:rFonts w:ascii="Book Antiqua" w:hAnsi="Book Antiqua" w:cs="Arial"/>
        </w:rPr>
        <w:t xml:space="preserve">In deference to the appellant’s interests, I have re-read all the documentation in this case and carried out a notional </w:t>
      </w:r>
      <w:proofErr w:type="spellStart"/>
      <w:r w:rsidR="00704DE4" w:rsidRPr="00704DE4">
        <w:rPr>
          <w:rFonts w:ascii="Book Antiqua" w:hAnsi="Book Antiqua" w:cs="Arial"/>
          <w:b/>
          <w:u w:val="single"/>
        </w:rPr>
        <w:t>Razgar</w:t>
      </w:r>
      <w:proofErr w:type="spellEnd"/>
      <w:r w:rsidR="00704DE4">
        <w:rPr>
          <w:rFonts w:ascii="Book Antiqua" w:hAnsi="Book Antiqua" w:cs="Arial"/>
        </w:rPr>
        <w:t xml:space="preserve"> analysis, which can o</w:t>
      </w:r>
      <w:r w:rsidR="001C41F5">
        <w:rPr>
          <w:rFonts w:ascii="Book Antiqua" w:hAnsi="Book Antiqua" w:cs="Arial"/>
        </w:rPr>
        <w:t xml:space="preserve">nly be resolved on one way. </w:t>
      </w:r>
      <w:r w:rsidR="00812607" w:rsidRPr="00704DE4">
        <w:rPr>
          <w:rFonts w:ascii="Book Antiqua" w:hAnsi="Book Antiqua" w:cs="Arial"/>
        </w:rPr>
        <w:t>There</w:t>
      </w:r>
      <w:r w:rsidR="00812607">
        <w:rPr>
          <w:rFonts w:ascii="Book Antiqua" w:hAnsi="Book Antiqua" w:cs="Arial"/>
        </w:rPr>
        <w:t xml:space="preserve"> is nothing to suggest the entry clearance officer’s decision was in any way disproportionate, </w:t>
      </w:r>
      <w:r w:rsidR="00812607">
        <w:rPr>
          <w:rFonts w:ascii="Book Antiqua" w:hAnsi="Book Antiqua" w:cs="Arial"/>
        </w:rPr>
        <w:lastRenderedPageBreak/>
        <w:t xml:space="preserve">having regard to the </w:t>
      </w:r>
      <w:r w:rsidR="00747C99">
        <w:rPr>
          <w:rFonts w:ascii="Book Antiqua" w:hAnsi="Book Antiqua" w:cs="Arial"/>
        </w:rPr>
        <w:t xml:space="preserve">appellant’s </w:t>
      </w:r>
      <w:r w:rsidR="00812607">
        <w:rPr>
          <w:rFonts w:ascii="Book Antiqua" w:hAnsi="Book Antiqua" w:cs="Arial"/>
        </w:rPr>
        <w:t xml:space="preserve">failure to meet the requirements of the Rules and </w:t>
      </w:r>
      <w:r w:rsidR="00747C99">
        <w:rPr>
          <w:rFonts w:ascii="Book Antiqua" w:hAnsi="Book Antiqua" w:cs="Arial"/>
        </w:rPr>
        <w:t xml:space="preserve">to </w:t>
      </w:r>
      <w:r w:rsidR="00812607">
        <w:rPr>
          <w:rFonts w:ascii="Book Antiqua" w:hAnsi="Book Antiqua" w:cs="Arial"/>
        </w:rPr>
        <w:t xml:space="preserve">the </w:t>
      </w:r>
      <w:r w:rsidR="00747C99">
        <w:rPr>
          <w:rFonts w:ascii="Book Antiqua" w:hAnsi="Book Antiqua" w:cs="Arial"/>
        </w:rPr>
        <w:t xml:space="preserve">relevant </w:t>
      </w:r>
      <w:r w:rsidR="00812607">
        <w:rPr>
          <w:rFonts w:ascii="Book Antiqua" w:hAnsi="Book Antiqua" w:cs="Arial"/>
        </w:rPr>
        <w:t>public interest considerations. A</w:t>
      </w:r>
      <w:r w:rsidR="002729D5">
        <w:rPr>
          <w:rFonts w:ascii="Book Antiqua" w:hAnsi="Book Antiqua" w:cs="Arial"/>
        </w:rPr>
        <w:t xml:space="preserve">ccordingly this appeal </w:t>
      </w:r>
      <w:r w:rsidR="00510C5E">
        <w:rPr>
          <w:rFonts w:ascii="Book Antiqua" w:hAnsi="Book Antiqua" w:cs="Arial"/>
        </w:rPr>
        <w:t xml:space="preserve">is dismissed.  </w:t>
      </w:r>
    </w:p>
    <w:p w14:paraId="437974B8" w14:textId="5B029204" w:rsidR="00A475C4" w:rsidRPr="00C25427" w:rsidRDefault="00F948DC" w:rsidP="00A475C4">
      <w:pPr>
        <w:ind w:left="567" w:hanging="567"/>
        <w:jc w:val="both"/>
        <w:rPr>
          <w:rFonts w:ascii="Book Antiqua" w:hAnsi="Book Antiqua" w:cs="Arial"/>
        </w:rPr>
      </w:pPr>
      <w:r>
        <w:rPr>
          <w:rFonts w:ascii="Book Antiqua" w:hAnsi="Book Antiqua" w:cs="Arial"/>
        </w:rPr>
        <w:t xml:space="preserve"> </w:t>
      </w:r>
      <w:r w:rsidR="00A475C4">
        <w:rPr>
          <w:rFonts w:ascii="Book Antiqua" w:hAnsi="Book Antiqua" w:cs="Arial"/>
        </w:rPr>
        <w:t xml:space="preserve"> </w:t>
      </w:r>
    </w:p>
    <w:p w14:paraId="257F8E70" w14:textId="77777777" w:rsidR="00D315B9" w:rsidRDefault="00D315B9" w:rsidP="00C25427">
      <w:pPr>
        <w:jc w:val="both"/>
        <w:rPr>
          <w:rFonts w:ascii="Book Antiqua" w:hAnsi="Book Antiqua" w:cs="Arial"/>
        </w:rPr>
      </w:pPr>
    </w:p>
    <w:p w14:paraId="29881F21" w14:textId="2E82C03F" w:rsidR="00847259" w:rsidRDefault="002729D5" w:rsidP="00847259">
      <w:pPr>
        <w:jc w:val="both"/>
        <w:rPr>
          <w:rFonts w:ascii="Book Antiqua" w:hAnsi="Book Antiqua" w:cs="Arial"/>
        </w:rPr>
      </w:pPr>
      <w:r>
        <w:rPr>
          <w:rFonts w:ascii="Book Antiqua" w:hAnsi="Book Antiqua" w:cs="Arial"/>
          <w:b/>
          <w:u w:val="single"/>
        </w:rPr>
        <w:t>Notice of Decision</w:t>
      </w:r>
    </w:p>
    <w:p w14:paraId="74456FAA" w14:textId="77777777" w:rsidR="002729D5" w:rsidRDefault="002729D5" w:rsidP="00213E75">
      <w:pPr>
        <w:pStyle w:val="ListParagraph"/>
        <w:numPr>
          <w:ilvl w:val="0"/>
          <w:numId w:val="2"/>
        </w:numPr>
        <w:spacing w:before="240"/>
        <w:contextualSpacing w:val="0"/>
        <w:jc w:val="both"/>
        <w:rPr>
          <w:rFonts w:ascii="Book Antiqua" w:hAnsi="Book Antiqua" w:cs="Arial"/>
        </w:rPr>
      </w:pPr>
      <w:r w:rsidRPr="002729D5">
        <w:rPr>
          <w:rFonts w:ascii="Book Antiqua" w:hAnsi="Book Antiqua" w:cs="Arial"/>
        </w:rPr>
        <w:t xml:space="preserve">Having set aside the decision of the First-tier Tribunal, </w:t>
      </w:r>
      <w:r>
        <w:rPr>
          <w:rFonts w:ascii="Book Antiqua" w:hAnsi="Book Antiqua" w:cs="Arial"/>
        </w:rPr>
        <w:t>the decision is remade dismissing the appeal.</w:t>
      </w:r>
    </w:p>
    <w:p w14:paraId="661EF08E" w14:textId="26D9B177" w:rsidR="00847259" w:rsidRPr="002729D5" w:rsidRDefault="00847259" w:rsidP="00213E75">
      <w:pPr>
        <w:pStyle w:val="ListParagraph"/>
        <w:numPr>
          <w:ilvl w:val="0"/>
          <w:numId w:val="2"/>
        </w:numPr>
        <w:spacing w:before="240"/>
        <w:contextualSpacing w:val="0"/>
        <w:jc w:val="both"/>
        <w:rPr>
          <w:rFonts w:ascii="Book Antiqua" w:hAnsi="Book Antiqua" w:cs="Arial"/>
        </w:rPr>
      </w:pPr>
      <w:r w:rsidRPr="002729D5">
        <w:rPr>
          <w:rFonts w:ascii="Book Antiqua" w:hAnsi="Book Antiqua" w:cs="Arial"/>
        </w:rPr>
        <w:t>No anonymity direction is made.</w:t>
      </w:r>
    </w:p>
    <w:p w14:paraId="0CAB93D4" w14:textId="0E4DC747" w:rsidR="00847259" w:rsidRDefault="00847259" w:rsidP="00847259">
      <w:pPr>
        <w:jc w:val="both"/>
        <w:rPr>
          <w:rFonts w:ascii="Book Antiqua" w:hAnsi="Book Antiqua" w:cs="Arial"/>
        </w:rPr>
      </w:pPr>
    </w:p>
    <w:p w14:paraId="1C485FC8" w14:textId="77777777" w:rsidR="00A509FA" w:rsidRPr="00AE6DDE" w:rsidRDefault="00A509FA" w:rsidP="00847259">
      <w:pPr>
        <w:jc w:val="both"/>
        <w:rPr>
          <w:rFonts w:ascii="Book Antiqua" w:hAnsi="Book Antiqua" w:cs="Arial"/>
        </w:rPr>
      </w:pPr>
    </w:p>
    <w:p w14:paraId="1F8F40BE" w14:textId="77DC73B7"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00B949CE">
        <w:rPr>
          <w:rFonts w:ascii="Book Antiqua" w:hAnsi="Book Antiqua" w:cs="Arial"/>
          <w:i/>
        </w:rPr>
        <w:t>Mark Hill</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B949CE">
        <w:rPr>
          <w:rFonts w:ascii="Book Antiqua" w:hAnsi="Book Antiqua" w:cs="Arial"/>
        </w:rPr>
        <w:tab/>
      </w:r>
      <w:r w:rsidR="001C41F5">
        <w:rPr>
          <w:rFonts w:ascii="Book Antiqua" w:hAnsi="Book Antiqua" w:cs="Arial"/>
        </w:rPr>
        <w:tab/>
      </w:r>
      <w:r w:rsidR="001C41F5">
        <w:rPr>
          <w:rFonts w:ascii="Book Antiqua" w:hAnsi="Book Antiqua" w:cs="Arial"/>
        </w:rPr>
        <w:tab/>
        <w:t>7 September 2018</w:t>
      </w:r>
      <w:r w:rsidR="00B949CE">
        <w:rPr>
          <w:rFonts w:ascii="Book Antiqua" w:hAnsi="Book Antiqua" w:cs="Arial"/>
        </w:rPr>
        <w:tab/>
      </w:r>
    </w:p>
    <w:p w14:paraId="620DDCE0" w14:textId="77777777" w:rsidR="001F2716" w:rsidRPr="00AE6DDE" w:rsidRDefault="001F2716" w:rsidP="00847259">
      <w:pPr>
        <w:jc w:val="both"/>
        <w:rPr>
          <w:rFonts w:ascii="Book Antiqua" w:hAnsi="Book Antiqua" w:cs="Arial"/>
        </w:rPr>
      </w:pPr>
    </w:p>
    <w:p w14:paraId="48DF56EA" w14:textId="77777777" w:rsidR="0062078F" w:rsidRDefault="00347A9C" w:rsidP="00847259">
      <w:pPr>
        <w:jc w:val="both"/>
        <w:rPr>
          <w:rFonts w:ascii="Book Antiqua" w:hAnsi="Book Antiqua" w:cs="Arial"/>
          <w:color w:val="000000"/>
        </w:rPr>
      </w:pPr>
      <w:smartTag w:uri="urn:schemas-microsoft-com:office:smarttags" w:element="place">
        <w:smartTag w:uri="urn:schemas-microsoft-com:office:smarttags" w:element="City">
          <w:r>
            <w:rPr>
              <w:rFonts w:ascii="Book Antiqua" w:hAnsi="Book Antiqua" w:cs="Arial"/>
              <w:color w:val="000000"/>
            </w:rPr>
            <w:t xml:space="preserve">Deputy Upper Tribunal Judge </w:t>
          </w:r>
          <w:r w:rsidR="00143A28">
            <w:rPr>
              <w:rFonts w:ascii="Book Antiqua" w:hAnsi="Book Antiqua" w:cs="Arial"/>
              <w:color w:val="000000"/>
            </w:rPr>
            <w:t>Hill</w:t>
          </w:r>
        </w:smartTag>
        <w:r w:rsidR="00143A28">
          <w:rPr>
            <w:rFonts w:ascii="Book Antiqua" w:hAnsi="Book Antiqua" w:cs="Arial"/>
            <w:color w:val="000000"/>
          </w:rPr>
          <w:t xml:space="preserve"> </w:t>
        </w:r>
        <w:smartTag w:uri="urn:schemas-microsoft-com:office:smarttags" w:element="State">
          <w:r w:rsidR="00143A28">
            <w:rPr>
              <w:rFonts w:ascii="Book Antiqua" w:hAnsi="Book Antiqua" w:cs="Arial"/>
              <w:color w:val="000000"/>
            </w:rPr>
            <w:t>QC</w:t>
          </w:r>
        </w:smartTag>
      </w:smartTag>
      <w:r w:rsidR="005E761F">
        <w:rPr>
          <w:rFonts w:ascii="Book Antiqua" w:hAnsi="Book Antiqua" w:cs="Arial"/>
          <w:color w:val="000000"/>
        </w:rPr>
        <w:t xml:space="preserve"> </w:t>
      </w:r>
    </w:p>
    <w:p w14:paraId="3B162B2C" w14:textId="77777777" w:rsidR="00847259" w:rsidRDefault="00847259" w:rsidP="00847259">
      <w:pPr>
        <w:jc w:val="both"/>
        <w:rPr>
          <w:rFonts w:ascii="Book Antiqua" w:hAnsi="Book Antiqua" w:cs="Arial"/>
          <w:color w:val="000000"/>
        </w:rPr>
      </w:pPr>
    </w:p>
    <w:p w14:paraId="5C82FA7E" w14:textId="77777777" w:rsidR="00847259" w:rsidRDefault="00847259" w:rsidP="00847259">
      <w:pPr>
        <w:jc w:val="both"/>
        <w:rPr>
          <w:rFonts w:ascii="Book Antiqua" w:hAnsi="Book Antiqua" w:cs="Arial"/>
          <w:color w:val="000000"/>
        </w:rPr>
      </w:pPr>
    </w:p>
    <w:p w14:paraId="51179109" w14:textId="77777777" w:rsidR="00B95326" w:rsidRPr="00AE6DDE" w:rsidRDefault="00B95326" w:rsidP="00402B9E">
      <w:pPr>
        <w:tabs>
          <w:tab w:val="left" w:pos="2520"/>
        </w:tabs>
        <w:ind w:left="540" w:hanging="540"/>
        <w:jc w:val="both"/>
        <w:rPr>
          <w:rFonts w:ascii="Book Antiqua" w:hAnsi="Book Antiqua" w:cs="Arial"/>
        </w:rPr>
      </w:pPr>
    </w:p>
    <w:sectPr w:rsidR="00B95326" w:rsidRPr="00AE6DDE"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63BC6" w14:textId="77777777" w:rsidR="00F948DC" w:rsidRDefault="00F948DC">
      <w:r>
        <w:separator/>
      </w:r>
    </w:p>
  </w:endnote>
  <w:endnote w:type="continuationSeparator" w:id="0">
    <w:p w14:paraId="650FA649" w14:textId="77777777" w:rsidR="00F948DC" w:rsidRDefault="00F9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37A2E" w14:textId="00742CB9" w:rsidR="00F948DC" w:rsidRPr="00AE6DDE" w:rsidRDefault="00F948DC"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2907C9">
      <w:rPr>
        <w:rStyle w:val="PageNumber"/>
        <w:rFonts w:ascii="Book Antiqua" w:hAnsi="Book Antiqua" w:cs="Arial"/>
        <w:noProof/>
        <w:sz w:val="16"/>
        <w:szCs w:val="16"/>
      </w:rPr>
      <w:t>6</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8033E" w14:textId="77777777" w:rsidR="00F948DC" w:rsidRPr="00AE6DDE" w:rsidRDefault="00F948DC"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A232A" w14:textId="77777777" w:rsidR="00F948DC" w:rsidRDefault="00F948DC">
      <w:r>
        <w:separator/>
      </w:r>
    </w:p>
  </w:footnote>
  <w:footnote w:type="continuationSeparator" w:id="0">
    <w:p w14:paraId="1AC9DE1F" w14:textId="77777777" w:rsidR="00F948DC" w:rsidRDefault="00F9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E9239" w14:textId="0E9B8D6C" w:rsidR="00F948DC" w:rsidRPr="00AE6DDE" w:rsidRDefault="00F948DC"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Pr>
        <w:rFonts w:ascii="Book Antiqua" w:hAnsi="Book Antiqua" w:cs="Arial"/>
        <w:sz w:val="16"/>
        <w:szCs w:val="16"/>
      </w:rPr>
      <w:t xml:space="preserve"> HU/06266/2015</w:t>
    </w:r>
    <w:r w:rsidRPr="00AE6DDE">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29FED" w14:textId="42823473" w:rsidR="00F948DC" w:rsidRPr="00AE6DDE" w:rsidRDefault="00F948DC">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11002"/>
    <w:multiLevelType w:val="hybridMultilevel"/>
    <w:tmpl w:val="7598B7EC"/>
    <w:lvl w:ilvl="0" w:tplc="73D4F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7C2BFE"/>
    <w:multiLevelType w:val="hybridMultilevel"/>
    <w:tmpl w:val="E9E46592"/>
    <w:lvl w:ilvl="0" w:tplc="564286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5B9"/>
    <w:rsid w:val="00000621"/>
    <w:rsid w:val="000036C2"/>
    <w:rsid w:val="00005EE2"/>
    <w:rsid w:val="00033D3D"/>
    <w:rsid w:val="00036302"/>
    <w:rsid w:val="00043568"/>
    <w:rsid w:val="00053E2B"/>
    <w:rsid w:val="00062F02"/>
    <w:rsid w:val="00071A7E"/>
    <w:rsid w:val="000746C0"/>
    <w:rsid w:val="00074D1D"/>
    <w:rsid w:val="00092580"/>
    <w:rsid w:val="00093D4D"/>
    <w:rsid w:val="000B24F7"/>
    <w:rsid w:val="000C4CC2"/>
    <w:rsid w:val="000D400D"/>
    <w:rsid w:val="000D5D94"/>
    <w:rsid w:val="000E3137"/>
    <w:rsid w:val="000F193E"/>
    <w:rsid w:val="000F1A0E"/>
    <w:rsid w:val="001156C7"/>
    <w:rsid w:val="001165A7"/>
    <w:rsid w:val="00140067"/>
    <w:rsid w:val="00143A28"/>
    <w:rsid w:val="00154110"/>
    <w:rsid w:val="00167D3A"/>
    <w:rsid w:val="00173946"/>
    <w:rsid w:val="00173A2D"/>
    <w:rsid w:val="001A3082"/>
    <w:rsid w:val="001B186A"/>
    <w:rsid w:val="001B2F75"/>
    <w:rsid w:val="001B700F"/>
    <w:rsid w:val="001C41F5"/>
    <w:rsid w:val="001F2716"/>
    <w:rsid w:val="00207617"/>
    <w:rsid w:val="00213E75"/>
    <w:rsid w:val="00224D49"/>
    <w:rsid w:val="0023134B"/>
    <w:rsid w:val="002376E5"/>
    <w:rsid w:val="00252EB7"/>
    <w:rsid w:val="00253D70"/>
    <w:rsid w:val="00254DBC"/>
    <w:rsid w:val="002729D5"/>
    <w:rsid w:val="00283659"/>
    <w:rsid w:val="002907C9"/>
    <w:rsid w:val="002C6BD4"/>
    <w:rsid w:val="002D083B"/>
    <w:rsid w:val="002D68BF"/>
    <w:rsid w:val="002F6B98"/>
    <w:rsid w:val="003133AE"/>
    <w:rsid w:val="00336CBF"/>
    <w:rsid w:val="00343FE3"/>
    <w:rsid w:val="00347A9C"/>
    <w:rsid w:val="003546C8"/>
    <w:rsid w:val="00360529"/>
    <w:rsid w:val="003A0375"/>
    <w:rsid w:val="003A7CF2"/>
    <w:rsid w:val="003C5CE5"/>
    <w:rsid w:val="003C7C71"/>
    <w:rsid w:val="003E267B"/>
    <w:rsid w:val="003E7CD1"/>
    <w:rsid w:val="003F4C61"/>
    <w:rsid w:val="00402B9E"/>
    <w:rsid w:val="00402EE2"/>
    <w:rsid w:val="004249CB"/>
    <w:rsid w:val="0044003A"/>
    <w:rsid w:val="0044127D"/>
    <w:rsid w:val="00441436"/>
    <w:rsid w:val="004448DB"/>
    <w:rsid w:val="00446C9A"/>
    <w:rsid w:val="00447988"/>
    <w:rsid w:val="00452F2B"/>
    <w:rsid w:val="00471E3C"/>
    <w:rsid w:val="00477193"/>
    <w:rsid w:val="004A0254"/>
    <w:rsid w:val="004A1848"/>
    <w:rsid w:val="004A6F4A"/>
    <w:rsid w:val="004B23CE"/>
    <w:rsid w:val="004D3291"/>
    <w:rsid w:val="004E1F64"/>
    <w:rsid w:val="004E4717"/>
    <w:rsid w:val="004F672C"/>
    <w:rsid w:val="0050388A"/>
    <w:rsid w:val="00507FEC"/>
    <w:rsid w:val="00510C5E"/>
    <w:rsid w:val="00510F0E"/>
    <w:rsid w:val="005261DF"/>
    <w:rsid w:val="00540821"/>
    <w:rsid w:val="005420FD"/>
    <w:rsid w:val="005473D4"/>
    <w:rsid w:val="005479E1"/>
    <w:rsid w:val="00553E0A"/>
    <w:rsid w:val="005570FD"/>
    <w:rsid w:val="005575EA"/>
    <w:rsid w:val="0057790C"/>
    <w:rsid w:val="00593795"/>
    <w:rsid w:val="00596130"/>
    <w:rsid w:val="005A75FF"/>
    <w:rsid w:val="005B6B35"/>
    <w:rsid w:val="005C2B9C"/>
    <w:rsid w:val="005D10AB"/>
    <w:rsid w:val="005E3B61"/>
    <w:rsid w:val="005E761F"/>
    <w:rsid w:val="00601D8F"/>
    <w:rsid w:val="0062078F"/>
    <w:rsid w:val="00653E97"/>
    <w:rsid w:val="00680BDE"/>
    <w:rsid w:val="00684A74"/>
    <w:rsid w:val="00690B8A"/>
    <w:rsid w:val="006E47C4"/>
    <w:rsid w:val="006F2CF1"/>
    <w:rsid w:val="00703184"/>
    <w:rsid w:val="007038ED"/>
    <w:rsid w:val="00703BC3"/>
    <w:rsid w:val="00704B61"/>
    <w:rsid w:val="00704DE4"/>
    <w:rsid w:val="00706685"/>
    <w:rsid w:val="00747C99"/>
    <w:rsid w:val="007552A9"/>
    <w:rsid w:val="00761858"/>
    <w:rsid w:val="00764A42"/>
    <w:rsid w:val="00767D59"/>
    <w:rsid w:val="00776E97"/>
    <w:rsid w:val="00780F86"/>
    <w:rsid w:val="007912AD"/>
    <w:rsid w:val="007A0794"/>
    <w:rsid w:val="007A07A1"/>
    <w:rsid w:val="007A63E3"/>
    <w:rsid w:val="007B0824"/>
    <w:rsid w:val="007B5D3C"/>
    <w:rsid w:val="007C775C"/>
    <w:rsid w:val="00812607"/>
    <w:rsid w:val="00821B72"/>
    <w:rsid w:val="00823477"/>
    <w:rsid w:val="00823EF2"/>
    <w:rsid w:val="00827025"/>
    <w:rsid w:val="008303B8"/>
    <w:rsid w:val="00833DCE"/>
    <w:rsid w:val="008453BF"/>
    <w:rsid w:val="00847259"/>
    <w:rsid w:val="008478F6"/>
    <w:rsid w:val="00854534"/>
    <w:rsid w:val="00871D34"/>
    <w:rsid w:val="00874D45"/>
    <w:rsid w:val="008B270C"/>
    <w:rsid w:val="008B3738"/>
    <w:rsid w:val="008B5078"/>
    <w:rsid w:val="008C3D3D"/>
    <w:rsid w:val="008D0BCD"/>
    <w:rsid w:val="008D4131"/>
    <w:rsid w:val="008F1932"/>
    <w:rsid w:val="008F2DF8"/>
    <w:rsid w:val="00921062"/>
    <w:rsid w:val="00942BEE"/>
    <w:rsid w:val="00947565"/>
    <w:rsid w:val="009722BC"/>
    <w:rsid w:val="009727A3"/>
    <w:rsid w:val="00984E64"/>
    <w:rsid w:val="00987774"/>
    <w:rsid w:val="0099043A"/>
    <w:rsid w:val="00994CC4"/>
    <w:rsid w:val="009A11E8"/>
    <w:rsid w:val="009B443B"/>
    <w:rsid w:val="009B4D3E"/>
    <w:rsid w:val="009B574F"/>
    <w:rsid w:val="009C307D"/>
    <w:rsid w:val="009D1EA3"/>
    <w:rsid w:val="009F5220"/>
    <w:rsid w:val="009F6BAB"/>
    <w:rsid w:val="00A15234"/>
    <w:rsid w:val="00A201AB"/>
    <w:rsid w:val="00A31C8B"/>
    <w:rsid w:val="00A475C4"/>
    <w:rsid w:val="00A509FA"/>
    <w:rsid w:val="00A57B5D"/>
    <w:rsid w:val="00A845DC"/>
    <w:rsid w:val="00A92942"/>
    <w:rsid w:val="00AD30EF"/>
    <w:rsid w:val="00AD5231"/>
    <w:rsid w:val="00AE6DDE"/>
    <w:rsid w:val="00AE7D4D"/>
    <w:rsid w:val="00B210F0"/>
    <w:rsid w:val="00B26AA2"/>
    <w:rsid w:val="00B30F7F"/>
    <w:rsid w:val="00B3524D"/>
    <w:rsid w:val="00B40F69"/>
    <w:rsid w:val="00B46616"/>
    <w:rsid w:val="00B55BD0"/>
    <w:rsid w:val="00B7040A"/>
    <w:rsid w:val="00B83391"/>
    <w:rsid w:val="00B837E5"/>
    <w:rsid w:val="00B87500"/>
    <w:rsid w:val="00B87C01"/>
    <w:rsid w:val="00B949CE"/>
    <w:rsid w:val="00B95326"/>
    <w:rsid w:val="00BA2C6D"/>
    <w:rsid w:val="00BA3238"/>
    <w:rsid w:val="00BC31CE"/>
    <w:rsid w:val="00BD4196"/>
    <w:rsid w:val="00BE1F6F"/>
    <w:rsid w:val="00BE6840"/>
    <w:rsid w:val="00BF22CA"/>
    <w:rsid w:val="00BF23BB"/>
    <w:rsid w:val="00BF556F"/>
    <w:rsid w:val="00C00229"/>
    <w:rsid w:val="00C146A4"/>
    <w:rsid w:val="00C25427"/>
    <w:rsid w:val="00C26032"/>
    <w:rsid w:val="00C345E1"/>
    <w:rsid w:val="00C43BFD"/>
    <w:rsid w:val="00C50F4A"/>
    <w:rsid w:val="00C520FF"/>
    <w:rsid w:val="00C53074"/>
    <w:rsid w:val="00C612EB"/>
    <w:rsid w:val="00CB6E35"/>
    <w:rsid w:val="00CD3634"/>
    <w:rsid w:val="00CD58CE"/>
    <w:rsid w:val="00CD59AC"/>
    <w:rsid w:val="00CE1A46"/>
    <w:rsid w:val="00D20757"/>
    <w:rsid w:val="00D22636"/>
    <w:rsid w:val="00D315B9"/>
    <w:rsid w:val="00D36D7D"/>
    <w:rsid w:val="00D40DDC"/>
    <w:rsid w:val="00D40FD9"/>
    <w:rsid w:val="00D43634"/>
    <w:rsid w:val="00D45631"/>
    <w:rsid w:val="00D53769"/>
    <w:rsid w:val="00D85C13"/>
    <w:rsid w:val="00D87AF7"/>
    <w:rsid w:val="00D9111A"/>
    <w:rsid w:val="00D91BE3"/>
    <w:rsid w:val="00D94AFC"/>
    <w:rsid w:val="00DB70AE"/>
    <w:rsid w:val="00DD1BBC"/>
    <w:rsid w:val="00DD5071"/>
    <w:rsid w:val="00DD5C39"/>
    <w:rsid w:val="00DE7DB7"/>
    <w:rsid w:val="00DF09E9"/>
    <w:rsid w:val="00DF2509"/>
    <w:rsid w:val="00E00973"/>
    <w:rsid w:val="00E00A0A"/>
    <w:rsid w:val="00E066DE"/>
    <w:rsid w:val="00E07F57"/>
    <w:rsid w:val="00E30683"/>
    <w:rsid w:val="00E331F2"/>
    <w:rsid w:val="00E429B1"/>
    <w:rsid w:val="00E453D8"/>
    <w:rsid w:val="00E50BCE"/>
    <w:rsid w:val="00E574BF"/>
    <w:rsid w:val="00E61292"/>
    <w:rsid w:val="00E67616"/>
    <w:rsid w:val="00E77C4D"/>
    <w:rsid w:val="00E81D01"/>
    <w:rsid w:val="00E845A5"/>
    <w:rsid w:val="00EB1762"/>
    <w:rsid w:val="00EE45D8"/>
    <w:rsid w:val="00EF11DA"/>
    <w:rsid w:val="00F22EDA"/>
    <w:rsid w:val="00F26405"/>
    <w:rsid w:val="00F731FB"/>
    <w:rsid w:val="00F74FA7"/>
    <w:rsid w:val="00F948DC"/>
    <w:rsid w:val="00FB0ECD"/>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6145"/>
    <o:shapelayout v:ext="edit">
      <o:idmap v:ext="edit" data="1"/>
    </o:shapelayout>
  </w:shapeDefaults>
  <w:decimalSymbol w:val="."/>
  <w:listSeparator w:val=","/>
  <w14:docId w14:val="277D2C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823477"/>
    <w:pPr>
      <w:ind w:left="720"/>
      <w:contextualSpacing/>
    </w:pPr>
  </w:style>
  <w:style w:type="character" w:customStyle="1" w:styleId="legds2">
    <w:name w:val="legds2"/>
    <w:basedOn w:val="DefaultParagraphFont"/>
    <w:rsid w:val="0044003A"/>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31987-4D8D-401C-BCC7-A8FB00F83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2160</Words>
  <Characters>10881</Characters>
  <Application>Microsoft Office Word</Application>
  <DocSecurity>0</DocSecurity>
  <Lines>90</Lines>
  <Paragraphs>26</Paragraphs>
  <ScaleCrop>false</ScaleCrop>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2018-09-27T10:48:00Z</dcterms:created>
  <dcterms:modified xsi:type="dcterms:W3CDTF">2018-09-27T10:49:00Z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