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C5748B" w:rsidP="00B74B3C">
      <w:pPr>
        <w:jc w:val="center"/>
        <w:rPr>
          <w:rFonts w:ascii="Book Antiqua" w:hAnsi="Book Antiqua" w:cs="Arial"/>
          <w:color w:val="000000"/>
        </w:rPr>
      </w:pPr>
      <w:r w:rsidRPr="00E44430">
        <w:rPr>
          <w:noProof/>
        </w:rPr>
        <w:drawing>
          <wp:inline distT="0" distB="0" distL="0" distR="0">
            <wp:extent cx="1455420" cy="112014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5420" cy="112014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9B259A">
        <w:rPr>
          <w:rFonts w:ascii="Book Antiqua" w:hAnsi="Book Antiqua" w:cs="Arial"/>
          <w:b/>
          <w:color w:val="000000"/>
        </w:rPr>
        <w:t>HU/06392/2015</w:t>
      </w:r>
      <w:bookmarkEnd w:id="0"/>
    </w:p>
    <w:p w:rsidR="00545B34" w:rsidRDefault="00545B34" w:rsidP="005E51FD">
      <w:pPr>
        <w:jc w:val="center"/>
        <w:rPr>
          <w:rFonts w:ascii="Book Antiqua" w:hAnsi="Book Antiqua" w:cs="Arial"/>
          <w:color w:val="000000"/>
        </w:rPr>
      </w:pPr>
    </w:p>
    <w:p w:rsidR="0040363F" w:rsidRPr="00106B9E" w:rsidRDefault="0040363F"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524"/>
        <w:gridCol w:w="4502"/>
      </w:tblGrid>
      <w:tr w:rsidR="00545B34" w:rsidRPr="00106B9E" w:rsidTr="00DB7D04">
        <w:tc>
          <w:tcPr>
            <w:tcW w:w="4644" w:type="dxa"/>
          </w:tcPr>
          <w:p w:rsidR="00545B34" w:rsidRPr="00106B9E" w:rsidRDefault="00545B34" w:rsidP="005E51FD">
            <w:pPr>
              <w:jc w:val="both"/>
              <w:rPr>
                <w:rFonts w:ascii="Book Antiqua" w:hAnsi="Book Antiqua" w:cs="Arial"/>
                <w:b/>
              </w:rPr>
            </w:pPr>
            <w:r w:rsidRPr="00106B9E">
              <w:rPr>
                <w:rFonts w:ascii="Book Antiqua" w:hAnsi="Book Antiqua" w:cs="Arial"/>
                <w:b/>
              </w:rPr>
              <w:t>Heard at</w:t>
            </w:r>
            <w:r w:rsidR="00FA76E8">
              <w:rPr>
                <w:rFonts w:ascii="Book Antiqua" w:hAnsi="Book Antiqua" w:cs="Arial"/>
              </w:rPr>
              <w:t xml:space="preserve"> Field House</w:t>
            </w:r>
            <w:r w:rsidRPr="00106B9E">
              <w:rPr>
                <w:rFonts w:ascii="Book Antiqua" w:hAnsi="Book Antiqua" w:cs="Arial"/>
                <w:b/>
              </w:rPr>
              <w:t xml:space="preserve">  </w:t>
            </w:r>
          </w:p>
        </w:tc>
        <w:tc>
          <w:tcPr>
            <w:tcW w:w="4598" w:type="dxa"/>
          </w:tcPr>
          <w:p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C5748B">
              <w:rPr>
                <w:rFonts w:ascii="Book Antiqua" w:hAnsi="Book Antiqua" w:cs="Arial"/>
                <w:b/>
                <w:color w:val="000000"/>
              </w:rPr>
              <w:t xml:space="preserve"> &amp; Reasons</w:t>
            </w:r>
            <w:r w:rsidR="00545B34" w:rsidRPr="00106B9E">
              <w:rPr>
                <w:rFonts w:ascii="Book Antiqua" w:hAnsi="Book Antiqua" w:cs="Arial"/>
                <w:b/>
                <w:color w:val="000000"/>
              </w:rPr>
              <w:t xml:space="preserve"> Promulgated</w:t>
            </w:r>
          </w:p>
        </w:tc>
      </w:tr>
      <w:tr w:rsidR="00545B34" w:rsidRPr="00106B9E" w:rsidTr="00DB7D04">
        <w:tc>
          <w:tcPr>
            <w:tcW w:w="4644" w:type="dxa"/>
          </w:tcPr>
          <w:p w:rsidR="00545B34" w:rsidRPr="00106B9E" w:rsidRDefault="00545B34" w:rsidP="005E51FD">
            <w:pPr>
              <w:jc w:val="both"/>
              <w:rPr>
                <w:rFonts w:ascii="Book Antiqua" w:hAnsi="Book Antiqua" w:cs="Arial"/>
                <w:b/>
              </w:rPr>
            </w:pPr>
            <w:r w:rsidRPr="00106B9E">
              <w:rPr>
                <w:rFonts w:ascii="Book Antiqua" w:hAnsi="Book Antiqua" w:cs="Arial"/>
                <w:b/>
              </w:rPr>
              <w:t xml:space="preserve">On </w:t>
            </w:r>
            <w:r w:rsidR="00FA76E8">
              <w:rPr>
                <w:rFonts w:ascii="Book Antiqua" w:hAnsi="Book Antiqua" w:cs="Arial"/>
              </w:rPr>
              <w:t>11 June 2018</w:t>
            </w:r>
          </w:p>
        </w:tc>
        <w:tc>
          <w:tcPr>
            <w:tcW w:w="4598" w:type="dxa"/>
          </w:tcPr>
          <w:p w:rsidR="00545B34" w:rsidRPr="00106B9E" w:rsidRDefault="00C5748B" w:rsidP="005E51FD">
            <w:pPr>
              <w:jc w:val="both"/>
              <w:rPr>
                <w:rFonts w:ascii="Book Antiqua" w:hAnsi="Book Antiqua" w:cs="Arial"/>
                <w:b/>
              </w:rPr>
            </w:pPr>
            <w:r>
              <w:rPr>
                <w:rFonts w:ascii="Book Antiqua" w:hAnsi="Book Antiqua" w:cs="Arial"/>
                <w:b/>
              </w:rPr>
              <w:t>On 21 June 2018</w:t>
            </w:r>
          </w:p>
        </w:tc>
      </w:tr>
      <w:tr w:rsidR="00545B34" w:rsidRPr="00106B9E" w:rsidTr="00DB7D04">
        <w:tc>
          <w:tcPr>
            <w:tcW w:w="4644" w:type="dxa"/>
          </w:tcPr>
          <w:p w:rsidR="00545B34" w:rsidRPr="00106B9E" w:rsidRDefault="00545B34" w:rsidP="005E51FD">
            <w:pPr>
              <w:jc w:val="both"/>
              <w:rPr>
                <w:rFonts w:ascii="Book Antiqua" w:hAnsi="Book Antiqua" w:cs="Arial"/>
                <w:b/>
              </w:rPr>
            </w:pPr>
          </w:p>
        </w:tc>
        <w:tc>
          <w:tcPr>
            <w:tcW w:w="4598" w:type="dxa"/>
          </w:tcPr>
          <w:p w:rsidR="00545B34" w:rsidRPr="00106B9E" w:rsidRDefault="00545B34" w:rsidP="005E51FD">
            <w:pPr>
              <w:jc w:val="both"/>
              <w:rPr>
                <w:rFonts w:ascii="Book Antiqua" w:hAnsi="Book Antiqua" w:cs="Arial"/>
                <w:b/>
              </w:rPr>
            </w:pPr>
          </w:p>
        </w:tc>
      </w:tr>
    </w:tbl>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5E51FD">
      <w:pPr>
        <w:jc w:val="center"/>
        <w:rPr>
          <w:rFonts w:ascii="Book Antiqua" w:hAnsi="Book Antiqua" w:cs="Arial"/>
          <w:b/>
          <w:color w:val="000000"/>
        </w:rPr>
      </w:pPr>
    </w:p>
    <w:p w:rsidR="0040363F" w:rsidRDefault="0040363F" w:rsidP="005E51FD">
      <w:pPr>
        <w:jc w:val="center"/>
        <w:outlineLvl w:val="0"/>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9B259A" w:rsidRPr="00CB1B50" w:rsidRDefault="009B259A" w:rsidP="009B259A">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9B259A" w:rsidRPr="009B259A" w:rsidRDefault="009B259A" w:rsidP="009B259A">
      <w:pPr>
        <w:jc w:val="center"/>
        <w:rPr>
          <w:rFonts w:ascii="Book Antiqua" w:hAnsi="Book Antiqua" w:cs="Arial"/>
          <w:b/>
        </w:rPr>
      </w:pPr>
      <w:r w:rsidRPr="009B259A">
        <w:rPr>
          <w:rFonts w:ascii="Book Antiqua" w:hAnsi="Book Antiqua" w:cs="Arial"/>
          <w:b/>
        </w:rPr>
        <w:t xml:space="preserve">MAKESUDUR </w:t>
      </w:r>
      <w:r w:rsidR="0040363F">
        <w:rPr>
          <w:rFonts w:ascii="Book Antiqua" w:hAnsi="Book Antiqua" w:cs="Arial"/>
          <w:b/>
        </w:rPr>
        <w:t>[</w:t>
      </w:r>
      <w:r w:rsidRPr="009B259A">
        <w:rPr>
          <w:rFonts w:ascii="Book Antiqua" w:hAnsi="Book Antiqua" w:cs="Arial"/>
          <w:b/>
        </w:rPr>
        <w:t>R</w:t>
      </w:r>
      <w:r w:rsidR="0040363F">
        <w:rPr>
          <w:rFonts w:ascii="Book Antiqua" w:hAnsi="Book Antiqua" w:cs="Arial"/>
          <w:b/>
        </w:rPr>
        <w:t>]</w:t>
      </w:r>
    </w:p>
    <w:p w:rsidR="009B259A" w:rsidRPr="00CB1B50" w:rsidRDefault="009B259A" w:rsidP="009B259A">
      <w:pPr>
        <w:jc w:val="center"/>
        <w:rPr>
          <w:rFonts w:ascii="Book Antiqua" w:hAnsi="Book Antiqua" w:cs="Arial"/>
          <w:b/>
          <w:color w:val="000000"/>
        </w:rPr>
      </w:pPr>
      <w:r>
        <w:rPr>
          <w:rFonts w:ascii="Book Antiqua" w:hAnsi="Book Antiqua" w:cs="Arial"/>
          <w:b/>
          <w:color w:val="000000"/>
        </w:rPr>
        <w:t>(</w:t>
      </w:r>
      <w:r w:rsidRPr="00CB1B50">
        <w:rPr>
          <w:rFonts w:ascii="Book Antiqua" w:hAnsi="Book Antiqua" w:cs="Arial"/>
          <w:b/>
          <w:color w:val="000000"/>
        </w:rPr>
        <w:t>ANONYMITY</w:t>
      </w:r>
      <w:r w:rsidR="00F402D2">
        <w:rPr>
          <w:rFonts w:ascii="Book Antiqua" w:hAnsi="Book Antiqua" w:cs="Arial"/>
          <w:b/>
          <w:color w:val="000000"/>
        </w:rPr>
        <w:t xml:space="preserve"> DIRECTION NOT MADE</w:t>
      </w:r>
      <w:r w:rsidRPr="00CB1B50">
        <w:rPr>
          <w:rFonts w:ascii="Book Antiqua" w:hAnsi="Book Antiqua" w:cs="Arial"/>
          <w:b/>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40363F" w:rsidRDefault="0040363F" w:rsidP="005E51FD">
      <w:pPr>
        <w:outlineLvl w:val="0"/>
        <w:rPr>
          <w:rFonts w:ascii="Book Antiqua" w:hAnsi="Book Antiqua" w:cs="Arial"/>
          <w:b/>
          <w:u w:val="single"/>
        </w:rPr>
      </w:pPr>
    </w:p>
    <w:p w:rsidR="0040363F" w:rsidRDefault="0040363F"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9B259A" w:rsidRPr="00F42D33" w:rsidRDefault="00545B34" w:rsidP="0040363F">
      <w:pPr>
        <w:tabs>
          <w:tab w:val="left" w:pos="2552"/>
        </w:tabs>
        <w:outlineLvl w:val="0"/>
        <w:rPr>
          <w:rFonts w:ascii="Book Antiqua" w:hAnsi="Book Antiqua" w:cs="Arial"/>
        </w:rPr>
      </w:pPr>
      <w:r w:rsidRPr="00F42D33">
        <w:rPr>
          <w:rFonts w:ascii="Book Antiqua" w:hAnsi="Book Antiqua" w:cs="Arial"/>
        </w:rPr>
        <w:t xml:space="preserve">For the Appellant: </w:t>
      </w:r>
      <w:r w:rsidR="0040363F">
        <w:rPr>
          <w:rFonts w:ascii="Book Antiqua" w:hAnsi="Book Antiqua" w:cs="Arial"/>
        </w:rPr>
        <w:tab/>
      </w:r>
      <w:r w:rsidR="00F402D2" w:rsidRPr="00F42D33">
        <w:rPr>
          <w:rFonts w:ascii="Book Antiqua" w:hAnsi="Book Antiqua" w:cs="Arial"/>
        </w:rPr>
        <w:t xml:space="preserve">Mr L </w:t>
      </w:r>
      <w:proofErr w:type="spellStart"/>
      <w:r w:rsidR="00F402D2" w:rsidRPr="00F42D33">
        <w:rPr>
          <w:rFonts w:ascii="Book Antiqua" w:hAnsi="Book Antiqua" w:cs="Arial"/>
        </w:rPr>
        <w:t>Tarlow</w:t>
      </w:r>
      <w:proofErr w:type="spellEnd"/>
      <w:r w:rsidR="00F402D2" w:rsidRPr="00F42D33">
        <w:rPr>
          <w:rFonts w:ascii="Book Antiqua" w:hAnsi="Book Antiqua" w:cs="Arial"/>
        </w:rPr>
        <w:t xml:space="preserve">, </w:t>
      </w:r>
      <w:r w:rsidR="009B259A" w:rsidRPr="00F42D33">
        <w:rPr>
          <w:rFonts w:ascii="Book Antiqua" w:hAnsi="Book Antiqua" w:cs="Arial"/>
        </w:rPr>
        <w:t xml:space="preserve">Senior Home Office Presenting Officer </w:t>
      </w:r>
    </w:p>
    <w:p w:rsidR="00545B34" w:rsidRPr="00F42D33" w:rsidRDefault="009B259A" w:rsidP="0040363F">
      <w:pPr>
        <w:tabs>
          <w:tab w:val="left" w:pos="2552"/>
        </w:tabs>
        <w:outlineLvl w:val="0"/>
        <w:rPr>
          <w:rFonts w:ascii="Book Antiqua" w:hAnsi="Book Antiqua" w:cs="Arial"/>
        </w:rPr>
      </w:pPr>
      <w:r w:rsidRPr="00F42D33">
        <w:rPr>
          <w:rFonts w:ascii="Book Antiqua" w:hAnsi="Book Antiqua" w:cs="Arial"/>
        </w:rPr>
        <w:t>For t</w:t>
      </w:r>
      <w:r w:rsidR="00545B34" w:rsidRPr="00F42D33">
        <w:rPr>
          <w:rFonts w:ascii="Book Antiqua" w:hAnsi="Book Antiqua" w:cs="Arial"/>
        </w:rPr>
        <w:t xml:space="preserve">he Respondent: </w:t>
      </w:r>
      <w:r w:rsidR="0040363F">
        <w:rPr>
          <w:rFonts w:ascii="Book Antiqua" w:hAnsi="Book Antiqua" w:cs="Arial"/>
        </w:rPr>
        <w:tab/>
      </w:r>
      <w:r w:rsidR="00F402D2" w:rsidRPr="00F42D33">
        <w:rPr>
          <w:rFonts w:ascii="Book Antiqua" w:hAnsi="Book Antiqua" w:cs="Arial"/>
        </w:rPr>
        <w:t xml:space="preserve">Mr M Hasan (counsel) </w:t>
      </w:r>
      <w:r w:rsidRPr="00F42D33">
        <w:rPr>
          <w:rFonts w:ascii="Book Antiqua" w:hAnsi="Book Antiqua" w:cs="Arial"/>
        </w:rPr>
        <w:t>Instructed by Kalam, solicitors</w:t>
      </w:r>
    </w:p>
    <w:p w:rsidR="0040363F" w:rsidRDefault="0040363F" w:rsidP="0040363F">
      <w:pPr>
        <w:jc w:val="center"/>
        <w:rPr>
          <w:rFonts w:ascii="Book Antiqua" w:hAnsi="Book Antiqua" w:cs="Arial"/>
          <w:b/>
          <w:u w:val="single"/>
        </w:rPr>
      </w:pPr>
    </w:p>
    <w:p w:rsidR="0040363F" w:rsidRDefault="0040363F" w:rsidP="0040363F">
      <w:pPr>
        <w:jc w:val="center"/>
        <w:rPr>
          <w:rFonts w:ascii="Book Antiqua" w:hAnsi="Book Antiqua" w:cs="Arial"/>
          <w:b/>
          <w:u w:val="single"/>
        </w:rPr>
      </w:pPr>
    </w:p>
    <w:p w:rsidR="00545B34" w:rsidRPr="00F42D33" w:rsidRDefault="00545B34" w:rsidP="0040363F">
      <w:pPr>
        <w:jc w:val="center"/>
        <w:rPr>
          <w:rFonts w:ascii="Book Antiqua" w:hAnsi="Book Antiqua" w:cs="Arial"/>
          <w:b/>
          <w:u w:val="single"/>
        </w:rPr>
      </w:pPr>
      <w:r w:rsidRPr="00F42D33">
        <w:rPr>
          <w:rFonts w:ascii="Book Antiqua" w:hAnsi="Book Antiqua" w:cs="Arial"/>
          <w:b/>
          <w:u w:val="single"/>
        </w:rPr>
        <w:t>DE</w:t>
      </w:r>
      <w:r w:rsidR="00755830" w:rsidRPr="00F42D33">
        <w:rPr>
          <w:rFonts w:ascii="Book Antiqua" w:hAnsi="Book Antiqua" w:cs="Arial"/>
          <w:b/>
          <w:u w:val="single"/>
        </w:rPr>
        <w:t>CISION</w:t>
      </w:r>
      <w:r w:rsidRPr="00F42D33">
        <w:rPr>
          <w:rFonts w:ascii="Book Antiqua" w:hAnsi="Book Antiqua" w:cs="Arial"/>
          <w:b/>
          <w:u w:val="single"/>
        </w:rPr>
        <w:t xml:space="preserve"> AND REASONS</w:t>
      </w:r>
    </w:p>
    <w:p w:rsidR="009B259A" w:rsidRPr="00F42D33" w:rsidRDefault="009B259A" w:rsidP="009B259A">
      <w:pPr>
        <w:jc w:val="both"/>
        <w:rPr>
          <w:rFonts w:ascii="Book Antiqua" w:hAnsi="Book Antiqua" w:cs="Arial"/>
        </w:rPr>
      </w:pPr>
    </w:p>
    <w:p w:rsidR="00545B34" w:rsidRPr="00F42D33" w:rsidRDefault="009B259A" w:rsidP="009B259A">
      <w:pPr>
        <w:jc w:val="both"/>
        <w:rPr>
          <w:rFonts w:ascii="Book Antiqua" w:hAnsi="Book Antiqua" w:cs="Arial"/>
        </w:rPr>
      </w:pPr>
      <w:r w:rsidRPr="00F42D33">
        <w:rPr>
          <w:rFonts w:ascii="Book Antiqua" w:hAnsi="Book Antiqua" w:cs="Arial"/>
        </w:rPr>
        <w:t xml:space="preserve">1. </w:t>
      </w:r>
      <w:r w:rsidR="00545B34" w:rsidRPr="00F42D33">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F42D33">
        <w:rPr>
          <w:rFonts w:ascii="Book Antiqua" w:hAnsi="Book Antiqua" w:cs="Arial"/>
        </w:rPr>
        <w:t xml:space="preserve">consider </w:t>
      </w:r>
      <w:r w:rsidR="00D16669" w:rsidRPr="00F42D33">
        <w:rPr>
          <w:rFonts w:ascii="Book Antiqua" w:hAnsi="Book Antiqua" w:cs="Arial"/>
        </w:rPr>
        <w:t>it</w:t>
      </w:r>
      <w:r w:rsidR="00545B34" w:rsidRPr="00F42D33">
        <w:rPr>
          <w:rFonts w:ascii="Book Antiqua" w:hAnsi="Book Antiqua" w:cs="Arial"/>
        </w:rPr>
        <w:t xml:space="preserve"> necessary to make an anonymity direction.</w:t>
      </w:r>
    </w:p>
    <w:p w:rsidR="009B259A" w:rsidRPr="00F42D33" w:rsidRDefault="009B259A" w:rsidP="009B259A">
      <w:pPr>
        <w:jc w:val="both"/>
        <w:rPr>
          <w:rFonts w:ascii="Book Antiqua" w:hAnsi="Book Antiqua" w:cs="Arial"/>
        </w:rPr>
      </w:pPr>
    </w:p>
    <w:p w:rsidR="00545B34" w:rsidRPr="00F42D33" w:rsidRDefault="009B259A" w:rsidP="009B259A">
      <w:pPr>
        <w:jc w:val="both"/>
        <w:rPr>
          <w:rFonts w:ascii="Book Antiqua" w:hAnsi="Book Antiqua" w:cs="Arial"/>
        </w:rPr>
      </w:pPr>
      <w:r w:rsidRPr="00F42D33">
        <w:rPr>
          <w:rFonts w:ascii="Book Antiqua" w:hAnsi="Book Antiqua" w:cs="Arial"/>
        </w:rPr>
        <w:t xml:space="preserve">2. </w:t>
      </w:r>
      <w:r w:rsidR="00545B34" w:rsidRPr="00F42D33">
        <w:rPr>
          <w:rFonts w:ascii="Book Antiqua" w:hAnsi="Book Antiqua" w:cs="Arial"/>
        </w:rPr>
        <w:t>The Secretary of State for the Hom</w:t>
      </w:r>
      <w:r w:rsidR="00087FA9" w:rsidRPr="00F42D33">
        <w:rPr>
          <w:rFonts w:ascii="Book Antiqua" w:hAnsi="Book Antiqua" w:cs="Arial"/>
        </w:rPr>
        <w:t>e Department brings this appeal</w:t>
      </w:r>
      <w:r w:rsidR="00545B34" w:rsidRPr="00F42D33">
        <w:rPr>
          <w:rFonts w:ascii="Book Antiqua" w:hAnsi="Book Antiqua" w:cs="Arial"/>
        </w:rPr>
        <w:t xml:space="preserve"> but to avoid confusion the parties are referred to as they were in the First-tier Tribunal. This is an </w:t>
      </w:r>
      <w:r w:rsidR="00545B34" w:rsidRPr="00F42D33">
        <w:rPr>
          <w:rFonts w:ascii="Book Antiqua" w:hAnsi="Book Antiqua" w:cs="Arial"/>
        </w:rPr>
        <w:lastRenderedPageBreak/>
        <w:t xml:space="preserve">appeal by the Secretary of State against a decision of First-tier Tribunal Judge </w:t>
      </w:r>
      <w:r w:rsidRPr="00F42D33">
        <w:rPr>
          <w:rFonts w:ascii="Book Antiqua" w:hAnsi="Book Antiqua" w:cs="Arial"/>
        </w:rPr>
        <w:t>Lucas</w:t>
      </w:r>
      <w:r w:rsidR="00545B34" w:rsidRPr="00F42D33">
        <w:rPr>
          <w:rFonts w:ascii="Book Antiqua" w:hAnsi="Book Antiqua" w:cs="Arial"/>
        </w:rPr>
        <w:t>, promulgated on</w:t>
      </w:r>
      <w:r w:rsidRPr="00F42D33">
        <w:rPr>
          <w:rFonts w:ascii="Book Antiqua" w:hAnsi="Book Antiqua" w:cs="Arial"/>
        </w:rPr>
        <w:t xml:space="preserve"> 26 October 2017, w</w:t>
      </w:r>
      <w:r w:rsidR="00545B34" w:rsidRPr="00F42D33">
        <w:rPr>
          <w:rFonts w:ascii="Book Antiqua" w:hAnsi="Book Antiqua" w:cs="Arial"/>
        </w:rPr>
        <w:t xml:space="preserve">hich allowed the Appellant’s appeal </w:t>
      </w:r>
      <w:r w:rsidRPr="00F42D33">
        <w:rPr>
          <w:rFonts w:ascii="Book Antiqua" w:hAnsi="Book Antiqua" w:cs="Arial"/>
        </w:rPr>
        <w:t xml:space="preserve">on article 8 ECHR grounds. </w:t>
      </w:r>
    </w:p>
    <w:p w:rsidR="00545B34" w:rsidRPr="00F42D33" w:rsidRDefault="00545B34" w:rsidP="005E51FD">
      <w:pPr>
        <w:jc w:val="both"/>
        <w:rPr>
          <w:rFonts w:ascii="Book Antiqua" w:hAnsi="Book Antiqua" w:cs="Arial"/>
        </w:rPr>
      </w:pPr>
    </w:p>
    <w:p w:rsidR="00545B34" w:rsidRPr="00F42D33" w:rsidRDefault="00545B34" w:rsidP="005E51FD">
      <w:pPr>
        <w:jc w:val="both"/>
        <w:rPr>
          <w:rFonts w:ascii="Book Antiqua" w:hAnsi="Book Antiqua" w:cs="Arial"/>
          <w:u w:val="single"/>
        </w:rPr>
      </w:pPr>
      <w:r w:rsidRPr="00F42D33">
        <w:rPr>
          <w:rFonts w:ascii="Book Antiqua" w:hAnsi="Book Antiqua" w:cs="Arial"/>
          <w:u w:val="single"/>
        </w:rPr>
        <w:t>Background</w:t>
      </w:r>
    </w:p>
    <w:p w:rsidR="00545B34" w:rsidRPr="00F42D33" w:rsidRDefault="00545B34" w:rsidP="005E51FD">
      <w:pPr>
        <w:ind w:left="360"/>
        <w:jc w:val="both"/>
        <w:rPr>
          <w:rFonts w:ascii="Book Antiqua" w:hAnsi="Book Antiqua" w:cs="Arial"/>
        </w:rPr>
      </w:pPr>
    </w:p>
    <w:p w:rsidR="00545B34" w:rsidRPr="00F42D33" w:rsidRDefault="009B259A" w:rsidP="009B259A">
      <w:pPr>
        <w:jc w:val="both"/>
        <w:rPr>
          <w:rFonts w:ascii="Book Antiqua" w:hAnsi="Book Antiqua" w:cs="Arial"/>
        </w:rPr>
      </w:pPr>
      <w:r w:rsidRPr="00F42D33">
        <w:rPr>
          <w:rFonts w:ascii="Book Antiqua" w:hAnsi="Book Antiqua" w:cs="Arial"/>
        </w:rPr>
        <w:t xml:space="preserve">3. </w:t>
      </w:r>
      <w:r w:rsidR="00087FA9" w:rsidRPr="00F42D33">
        <w:rPr>
          <w:rFonts w:ascii="Book Antiqua" w:hAnsi="Book Antiqua" w:cs="Arial"/>
        </w:rPr>
        <w:t>The Appellant</w:t>
      </w:r>
      <w:r w:rsidR="00545B34" w:rsidRPr="00F42D33">
        <w:rPr>
          <w:rFonts w:ascii="Book Antiqua" w:hAnsi="Book Antiqua" w:cs="Arial"/>
        </w:rPr>
        <w:t xml:space="preserve"> was born on </w:t>
      </w:r>
      <w:r w:rsidRPr="00F42D33">
        <w:rPr>
          <w:rFonts w:ascii="Book Antiqua" w:hAnsi="Book Antiqua" w:cs="Arial"/>
        </w:rPr>
        <w:t>15 May 1983</w:t>
      </w:r>
      <w:r w:rsidR="00545B34" w:rsidRPr="00F42D33">
        <w:rPr>
          <w:rFonts w:ascii="Book Antiqua" w:hAnsi="Book Antiqua" w:cs="Arial"/>
        </w:rPr>
        <w:t xml:space="preserve"> </w:t>
      </w:r>
      <w:r w:rsidR="00087FA9" w:rsidRPr="00F42D33">
        <w:rPr>
          <w:rFonts w:ascii="Book Antiqua" w:hAnsi="Book Antiqua" w:cs="Arial"/>
        </w:rPr>
        <w:t xml:space="preserve">and is a </w:t>
      </w:r>
      <w:r w:rsidR="00622E11" w:rsidRPr="00F42D33">
        <w:rPr>
          <w:rFonts w:ascii="Book Antiqua" w:hAnsi="Book Antiqua" w:cs="Arial"/>
        </w:rPr>
        <w:t>national</w:t>
      </w:r>
      <w:r w:rsidR="00087FA9" w:rsidRPr="00F42D33">
        <w:rPr>
          <w:rFonts w:ascii="Book Antiqua" w:hAnsi="Book Antiqua" w:cs="Arial"/>
        </w:rPr>
        <w:t xml:space="preserve"> of</w:t>
      </w:r>
      <w:r w:rsidR="00545B34" w:rsidRPr="00F42D33">
        <w:rPr>
          <w:rFonts w:ascii="Book Antiqua" w:hAnsi="Book Antiqua" w:cs="Arial"/>
        </w:rPr>
        <w:t xml:space="preserve"> </w:t>
      </w:r>
      <w:r w:rsidRPr="00F42D33">
        <w:rPr>
          <w:rFonts w:ascii="Book Antiqua" w:hAnsi="Book Antiqua" w:cs="Arial"/>
        </w:rPr>
        <w:t xml:space="preserve">Bangladesh. On 11 September 2015 </w:t>
      </w:r>
      <w:r w:rsidR="00545B34" w:rsidRPr="00F42D33">
        <w:rPr>
          <w:rFonts w:ascii="Book Antiqua" w:hAnsi="Book Antiqua" w:cs="Arial"/>
        </w:rPr>
        <w:t>the Secretary of State refused the Appellant’s application</w:t>
      </w:r>
      <w:r w:rsidRPr="00F42D33">
        <w:rPr>
          <w:rFonts w:ascii="Book Antiqua" w:hAnsi="Book Antiqua" w:cs="Arial"/>
        </w:rPr>
        <w:t xml:space="preserve"> for leave to remain in the UK</w:t>
      </w:r>
      <w:r w:rsidR="00545B34" w:rsidRPr="00F42D33">
        <w:rPr>
          <w:rFonts w:ascii="Book Antiqua" w:hAnsi="Book Antiqua" w:cs="Arial"/>
        </w:rPr>
        <w:t>. The re</w:t>
      </w:r>
      <w:r w:rsidRPr="00F42D33">
        <w:rPr>
          <w:rFonts w:ascii="Book Antiqua" w:hAnsi="Book Antiqua" w:cs="Arial"/>
        </w:rPr>
        <w:t xml:space="preserve">spondent believes that the appellant used a fraudulently obtained English language certificate to support an earlier application. </w:t>
      </w:r>
    </w:p>
    <w:p w:rsidR="00545B34" w:rsidRPr="00F42D33" w:rsidRDefault="00545B34" w:rsidP="005E51FD">
      <w:pPr>
        <w:pStyle w:val="ListParagraph"/>
        <w:rPr>
          <w:rFonts w:ascii="Book Antiqua" w:hAnsi="Book Antiqua" w:cs="Arial"/>
        </w:rPr>
      </w:pPr>
    </w:p>
    <w:p w:rsidR="00545B34" w:rsidRPr="00F42D33" w:rsidRDefault="00545B34" w:rsidP="005E51FD">
      <w:pPr>
        <w:jc w:val="both"/>
        <w:rPr>
          <w:rFonts w:ascii="Book Antiqua" w:hAnsi="Book Antiqua" w:cs="Arial"/>
          <w:u w:val="single"/>
        </w:rPr>
      </w:pPr>
      <w:r w:rsidRPr="00F42D33">
        <w:rPr>
          <w:rFonts w:ascii="Book Antiqua" w:hAnsi="Book Antiqua" w:cs="Arial"/>
          <w:u w:val="single"/>
        </w:rPr>
        <w:t>The Judge’s Decision</w:t>
      </w:r>
    </w:p>
    <w:p w:rsidR="009B259A" w:rsidRPr="00F42D33" w:rsidRDefault="009B259A" w:rsidP="005E51FD">
      <w:pPr>
        <w:jc w:val="both"/>
        <w:rPr>
          <w:rFonts w:ascii="Book Antiqua" w:hAnsi="Book Antiqua" w:cs="Arial"/>
          <w:u w:val="single"/>
        </w:rPr>
      </w:pPr>
    </w:p>
    <w:p w:rsidR="00545B34" w:rsidRPr="00F42D33" w:rsidRDefault="009B259A" w:rsidP="009B259A">
      <w:pPr>
        <w:jc w:val="both"/>
        <w:rPr>
          <w:rFonts w:ascii="Book Antiqua" w:hAnsi="Book Antiqua" w:cs="Arial"/>
          <w:color w:val="000000"/>
        </w:rPr>
      </w:pPr>
      <w:r w:rsidRPr="00F42D33">
        <w:rPr>
          <w:rFonts w:ascii="Book Antiqua" w:hAnsi="Book Antiqua" w:cs="Arial"/>
        </w:rPr>
        <w:t xml:space="preserve">4. </w:t>
      </w:r>
      <w:r w:rsidR="00545B34" w:rsidRPr="00F42D33">
        <w:rPr>
          <w:rFonts w:ascii="Book Antiqua" w:hAnsi="Book Antiqua" w:cs="Arial"/>
        </w:rPr>
        <w:t>The Appellant appealed to the First-tier Tribunal</w:t>
      </w:r>
      <w:r w:rsidR="00850890" w:rsidRPr="00F42D33">
        <w:rPr>
          <w:rFonts w:ascii="Book Antiqua" w:hAnsi="Book Antiqua" w:cs="Arial"/>
        </w:rPr>
        <w:t>.</w:t>
      </w:r>
      <w:r w:rsidR="00545B34" w:rsidRPr="00F42D33">
        <w:rPr>
          <w:rFonts w:ascii="Book Antiqua" w:hAnsi="Book Antiqua" w:cs="Arial"/>
        </w:rPr>
        <w:t xml:space="preserve"> First-tier Tribunal Judge </w:t>
      </w:r>
      <w:r w:rsidRPr="00F42D33">
        <w:rPr>
          <w:rFonts w:ascii="Book Antiqua" w:hAnsi="Book Antiqua" w:cs="Arial"/>
        </w:rPr>
        <w:t>Lucas</w:t>
      </w:r>
      <w:r w:rsidR="00850890" w:rsidRPr="00F42D33">
        <w:rPr>
          <w:rFonts w:ascii="Book Antiqua" w:hAnsi="Book Antiqua" w:cs="Arial"/>
        </w:rPr>
        <w:t xml:space="preserve"> (</w:t>
      </w:r>
      <w:r w:rsidR="00545B34" w:rsidRPr="00F42D33">
        <w:rPr>
          <w:rFonts w:ascii="Book Antiqua" w:hAnsi="Book Antiqua" w:cs="Arial"/>
        </w:rPr>
        <w:t xml:space="preserve">“the Judge”) </w:t>
      </w:r>
      <w:r w:rsidRPr="00F42D33">
        <w:rPr>
          <w:rFonts w:ascii="Book Antiqua" w:hAnsi="Book Antiqua" w:cs="Arial"/>
        </w:rPr>
        <w:t>allow</w:t>
      </w:r>
      <w:r w:rsidR="00545B34" w:rsidRPr="00F42D33">
        <w:rPr>
          <w:rFonts w:ascii="Book Antiqua" w:hAnsi="Book Antiqua" w:cs="Arial"/>
        </w:rPr>
        <w:t xml:space="preserve">ed the appeal against the Respondent’s decision. Grounds of appeal were lodged and on </w:t>
      </w:r>
      <w:r w:rsidR="00513743" w:rsidRPr="00F42D33">
        <w:rPr>
          <w:rFonts w:ascii="Book Antiqua" w:hAnsi="Book Antiqua" w:cs="Arial"/>
        </w:rPr>
        <w:t xml:space="preserve">5 April 2018 </w:t>
      </w:r>
      <w:r w:rsidR="00545B34" w:rsidRPr="00F42D33">
        <w:rPr>
          <w:rFonts w:ascii="Book Antiqua" w:hAnsi="Book Antiqua" w:cs="Arial"/>
        </w:rPr>
        <w:t xml:space="preserve">Judge </w:t>
      </w:r>
      <w:r w:rsidR="00513743" w:rsidRPr="00F42D33">
        <w:rPr>
          <w:rFonts w:ascii="Book Antiqua" w:hAnsi="Book Antiqua" w:cs="Arial"/>
        </w:rPr>
        <w:t>L Murray</w:t>
      </w:r>
      <w:r w:rsidR="00545B34" w:rsidRPr="00F42D33">
        <w:rPr>
          <w:rFonts w:ascii="Book Antiqua" w:hAnsi="Book Antiqua" w:cs="Arial"/>
        </w:rPr>
        <w:t xml:space="preserve"> gave </w:t>
      </w:r>
      <w:r w:rsidR="00850890" w:rsidRPr="00F42D33">
        <w:rPr>
          <w:rFonts w:ascii="Book Antiqua" w:hAnsi="Book Antiqua" w:cs="Arial"/>
          <w:color w:val="000000"/>
        </w:rPr>
        <w:t>permission to appeal stating</w:t>
      </w:r>
    </w:p>
    <w:p w:rsidR="00513743" w:rsidRPr="00F42D33" w:rsidRDefault="00847A2E" w:rsidP="0040363F">
      <w:pPr>
        <w:spacing w:before="120" w:after="120"/>
        <w:ind w:left="720"/>
        <w:jc w:val="both"/>
        <w:rPr>
          <w:rFonts w:ascii="Book Antiqua" w:hAnsi="Book Antiqua" w:cs="Arial"/>
          <w:color w:val="000000"/>
          <w:sz w:val="22"/>
          <w:szCs w:val="22"/>
        </w:rPr>
      </w:pPr>
      <w:r w:rsidRPr="00F42D33">
        <w:rPr>
          <w:rFonts w:ascii="Book Antiqua" w:hAnsi="Book Antiqua" w:cs="Arial"/>
          <w:color w:val="000000"/>
          <w:sz w:val="22"/>
          <w:szCs w:val="22"/>
        </w:rPr>
        <w:t xml:space="preserve">1. The respondent seeks permission to appeal, in time, against a decision of </w:t>
      </w:r>
      <w:r w:rsidR="007679B4" w:rsidRPr="00F42D33">
        <w:rPr>
          <w:rFonts w:ascii="Book Antiqua" w:hAnsi="Book Antiqua" w:cs="Arial"/>
          <w:color w:val="000000"/>
          <w:sz w:val="22"/>
          <w:szCs w:val="22"/>
        </w:rPr>
        <w:t>F</w:t>
      </w:r>
      <w:r w:rsidRPr="00F42D33">
        <w:rPr>
          <w:rFonts w:ascii="Book Antiqua" w:hAnsi="Book Antiqua" w:cs="Arial"/>
          <w:color w:val="000000"/>
          <w:sz w:val="22"/>
          <w:szCs w:val="22"/>
        </w:rPr>
        <w:t xml:space="preserve">irst-tier </w:t>
      </w:r>
      <w:r w:rsidR="007679B4" w:rsidRPr="00F42D33">
        <w:rPr>
          <w:rFonts w:ascii="Book Antiqua" w:hAnsi="Book Antiqua" w:cs="Arial"/>
          <w:color w:val="000000"/>
          <w:sz w:val="22"/>
          <w:szCs w:val="22"/>
        </w:rPr>
        <w:t>T</w:t>
      </w:r>
      <w:r w:rsidRPr="00F42D33">
        <w:rPr>
          <w:rFonts w:ascii="Book Antiqua" w:hAnsi="Book Antiqua" w:cs="Arial"/>
          <w:color w:val="000000"/>
          <w:sz w:val="22"/>
          <w:szCs w:val="22"/>
        </w:rPr>
        <w:t xml:space="preserve">ribunal </w:t>
      </w:r>
      <w:r w:rsidR="007679B4" w:rsidRPr="00F42D33">
        <w:rPr>
          <w:rFonts w:ascii="Book Antiqua" w:hAnsi="Book Antiqua" w:cs="Arial"/>
          <w:color w:val="000000"/>
          <w:sz w:val="22"/>
          <w:szCs w:val="22"/>
        </w:rPr>
        <w:t>J</w:t>
      </w:r>
      <w:r w:rsidRPr="00F42D33">
        <w:rPr>
          <w:rFonts w:ascii="Book Antiqua" w:hAnsi="Book Antiqua" w:cs="Arial"/>
          <w:color w:val="000000"/>
          <w:sz w:val="22"/>
          <w:szCs w:val="22"/>
        </w:rPr>
        <w:t>udge Lucas who</w:t>
      </w:r>
      <w:r w:rsidR="007679B4" w:rsidRPr="00F42D33">
        <w:rPr>
          <w:rFonts w:ascii="Book Antiqua" w:hAnsi="Book Antiqua" w:cs="Arial"/>
          <w:color w:val="000000"/>
          <w:sz w:val="22"/>
          <w:szCs w:val="22"/>
        </w:rPr>
        <w:t>,</w:t>
      </w:r>
      <w:r w:rsidRPr="00F42D33">
        <w:rPr>
          <w:rFonts w:ascii="Book Antiqua" w:hAnsi="Book Antiqua" w:cs="Arial"/>
          <w:color w:val="000000"/>
          <w:sz w:val="22"/>
          <w:szCs w:val="22"/>
        </w:rPr>
        <w:t xml:space="preserve"> in a decision and reasons promulgated on 26 October 2017</w:t>
      </w:r>
      <w:r w:rsidR="007679B4" w:rsidRPr="00F42D33">
        <w:rPr>
          <w:rFonts w:ascii="Book Antiqua" w:hAnsi="Book Antiqua" w:cs="Arial"/>
          <w:color w:val="000000"/>
          <w:sz w:val="22"/>
          <w:szCs w:val="22"/>
        </w:rPr>
        <w:t>,</w:t>
      </w:r>
      <w:r w:rsidRPr="00F42D33">
        <w:rPr>
          <w:rFonts w:ascii="Book Antiqua" w:hAnsi="Book Antiqua" w:cs="Arial"/>
          <w:color w:val="000000"/>
          <w:sz w:val="22"/>
          <w:szCs w:val="22"/>
        </w:rPr>
        <w:t xml:space="preserve"> allowed his human rights appeal.</w:t>
      </w:r>
    </w:p>
    <w:p w:rsidR="00847A2E" w:rsidRPr="00F42D33" w:rsidRDefault="00847A2E" w:rsidP="0040363F">
      <w:pPr>
        <w:spacing w:before="120" w:after="120"/>
        <w:ind w:left="720"/>
        <w:jc w:val="both"/>
        <w:rPr>
          <w:rFonts w:ascii="Book Antiqua" w:hAnsi="Book Antiqua" w:cs="Arial"/>
          <w:color w:val="000000"/>
          <w:sz w:val="22"/>
          <w:szCs w:val="22"/>
        </w:rPr>
      </w:pPr>
      <w:r w:rsidRPr="00F42D33">
        <w:rPr>
          <w:rFonts w:ascii="Book Antiqua" w:hAnsi="Book Antiqua" w:cs="Arial"/>
          <w:color w:val="000000"/>
          <w:sz w:val="22"/>
          <w:szCs w:val="22"/>
        </w:rPr>
        <w:t xml:space="preserve">2. The </w:t>
      </w:r>
      <w:r w:rsidR="007679B4" w:rsidRPr="00F42D33">
        <w:rPr>
          <w:rFonts w:ascii="Book Antiqua" w:hAnsi="Book Antiqua" w:cs="Arial"/>
          <w:color w:val="000000"/>
          <w:sz w:val="22"/>
          <w:szCs w:val="22"/>
        </w:rPr>
        <w:t>F</w:t>
      </w:r>
      <w:r w:rsidRPr="00F42D33">
        <w:rPr>
          <w:rFonts w:ascii="Book Antiqua" w:hAnsi="Book Antiqua" w:cs="Arial"/>
          <w:color w:val="000000"/>
          <w:sz w:val="22"/>
          <w:szCs w:val="22"/>
        </w:rPr>
        <w:t xml:space="preserve">irst-tier </w:t>
      </w:r>
      <w:r w:rsidR="007679B4" w:rsidRPr="00F42D33">
        <w:rPr>
          <w:rFonts w:ascii="Book Antiqua" w:hAnsi="Book Antiqua" w:cs="Arial"/>
          <w:color w:val="000000"/>
          <w:sz w:val="22"/>
          <w:szCs w:val="22"/>
        </w:rPr>
        <w:t>T</w:t>
      </w:r>
      <w:r w:rsidRPr="00F42D33">
        <w:rPr>
          <w:rFonts w:ascii="Book Antiqua" w:hAnsi="Book Antiqua" w:cs="Arial"/>
          <w:color w:val="000000"/>
          <w:sz w:val="22"/>
          <w:szCs w:val="22"/>
        </w:rPr>
        <w:t xml:space="preserve">ribunal found that the appellant did not employ deception in obtaining </w:t>
      </w:r>
      <w:r w:rsidR="007679B4" w:rsidRPr="00F42D33">
        <w:rPr>
          <w:rFonts w:ascii="Book Antiqua" w:hAnsi="Book Antiqua" w:cs="Arial"/>
          <w:color w:val="000000"/>
          <w:sz w:val="22"/>
          <w:szCs w:val="22"/>
        </w:rPr>
        <w:t xml:space="preserve">an </w:t>
      </w:r>
      <w:r w:rsidRPr="00F42D33">
        <w:rPr>
          <w:rFonts w:ascii="Book Antiqua" w:hAnsi="Book Antiqua" w:cs="Arial"/>
          <w:color w:val="000000"/>
          <w:sz w:val="22"/>
          <w:szCs w:val="22"/>
        </w:rPr>
        <w:t xml:space="preserve">English-language certificate. The grounds assert that the </w:t>
      </w:r>
      <w:r w:rsidR="007679B4" w:rsidRPr="00F42D33">
        <w:rPr>
          <w:rFonts w:ascii="Book Antiqua" w:hAnsi="Book Antiqua" w:cs="Arial"/>
          <w:color w:val="000000"/>
          <w:sz w:val="22"/>
          <w:szCs w:val="22"/>
        </w:rPr>
        <w:t>J</w:t>
      </w:r>
      <w:r w:rsidRPr="00F42D33">
        <w:rPr>
          <w:rFonts w:ascii="Book Antiqua" w:hAnsi="Book Antiqua" w:cs="Arial"/>
          <w:color w:val="000000"/>
          <w:sz w:val="22"/>
          <w:szCs w:val="22"/>
        </w:rPr>
        <w:t>udge erred in misinterpreting the evidence; failing to find that the respondent’s evidence discharge</w:t>
      </w:r>
      <w:r w:rsidR="007679B4" w:rsidRPr="00F42D33">
        <w:rPr>
          <w:rFonts w:ascii="Book Antiqua" w:hAnsi="Book Antiqua" w:cs="Arial"/>
          <w:color w:val="000000"/>
          <w:sz w:val="22"/>
          <w:szCs w:val="22"/>
        </w:rPr>
        <w:t>d</w:t>
      </w:r>
      <w:r w:rsidRPr="00F42D33">
        <w:rPr>
          <w:rFonts w:ascii="Book Antiqua" w:hAnsi="Book Antiqua" w:cs="Arial"/>
          <w:color w:val="000000"/>
          <w:sz w:val="22"/>
          <w:szCs w:val="22"/>
        </w:rPr>
        <w:t xml:space="preserve"> the evidential burden and in failing to give adequate reasons why the respondent had not met the legal burden in view of the fact that there was no innocent explanation. It is further argued that the </w:t>
      </w:r>
      <w:r w:rsidR="007679B4" w:rsidRPr="00F42D33">
        <w:rPr>
          <w:rFonts w:ascii="Book Antiqua" w:hAnsi="Book Antiqua" w:cs="Arial"/>
          <w:color w:val="000000"/>
          <w:sz w:val="22"/>
          <w:szCs w:val="22"/>
        </w:rPr>
        <w:t>F</w:t>
      </w:r>
      <w:r w:rsidRPr="00F42D33">
        <w:rPr>
          <w:rFonts w:ascii="Book Antiqua" w:hAnsi="Book Antiqua" w:cs="Arial"/>
          <w:color w:val="000000"/>
          <w:sz w:val="22"/>
          <w:szCs w:val="22"/>
        </w:rPr>
        <w:t xml:space="preserve">irst-tier </w:t>
      </w:r>
      <w:r w:rsidR="007679B4" w:rsidRPr="00F42D33">
        <w:rPr>
          <w:rFonts w:ascii="Book Antiqua" w:hAnsi="Book Antiqua" w:cs="Arial"/>
          <w:color w:val="000000"/>
          <w:sz w:val="22"/>
          <w:szCs w:val="22"/>
        </w:rPr>
        <w:t>T</w:t>
      </w:r>
      <w:r w:rsidRPr="00F42D33">
        <w:rPr>
          <w:rFonts w:ascii="Book Antiqua" w:hAnsi="Book Antiqua" w:cs="Arial"/>
          <w:color w:val="000000"/>
          <w:sz w:val="22"/>
          <w:szCs w:val="22"/>
        </w:rPr>
        <w:t>ribunal failed to give adequate reasons how the decision amounts to a disproportionate interference with the appellant’s human rights.</w:t>
      </w:r>
    </w:p>
    <w:p w:rsidR="00847A2E" w:rsidRPr="00F42D33" w:rsidRDefault="00847A2E" w:rsidP="0040363F">
      <w:pPr>
        <w:spacing w:before="120" w:after="120"/>
        <w:ind w:left="720"/>
        <w:jc w:val="both"/>
        <w:rPr>
          <w:rFonts w:ascii="Book Antiqua" w:hAnsi="Book Antiqua" w:cs="Arial"/>
          <w:color w:val="000000"/>
          <w:sz w:val="22"/>
          <w:szCs w:val="22"/>
        </w:rPr>
      </w:pPr>
      <w:r w:rsidRPr="00F42D33">
        <w:rPr>
          <w:rFonts w:ascii="Book Antiqua" w:hAnsi="Book Antiqua" w:cs="Arial"/>
          <w:color w:val="000000"/>
          <w:sz w:val="22"/>
          <w:szCs w:val="22"/>
        </w:rPr>
        <w:t xml:space="preserve">3. The grounds are arguable. It is arguable that the </w:t>
      </w:r>
      <w:r w:rsidR="007679B4" w:rsidRPr="00F42D33">
        <w:rPr>
          <w:rFonts w:ascii="Book Antiqua" w:hAnsi="Book Antiqua" w:cs="Arial"/>
          <w:color w:val="000000"/>
          <w:sz w:val="22"/>
          <w:szCs w:val="22"/>
        </w:rPr>
        <w:t>F</w:t>
      </w:r>
      <w:r w:rsidRPr="00F42D33">
        <w:rPr>
          <w:rFonts w:ascii="Book Antiqua" w:hAnsi="Book Antiqua" w:cs="Arial"/>
          <w:color w:val="000000"/>
          <w:sz w:val="22"/>
          <w:szCs w:val="22"/>
        </w:rPr>
        <w:t xml:space="preserve">irst-tier </w:t>
      </w:r>
      <w:r w:rsidR="007679B4" w:rsidRPr="00F42D33">
        <w:rPr>
          <w:rFonts w:ascii="Book Antiqua" w:hAnsi="Book Antiqua" w:cs="Arial"/>
          <w:color w:val="000000"/>
          <w:sz w:val="22"/>
          <w:szCs w:val="22"/>
        </w:rPr>
        <w:t>T</w:t>
      </w:r>
      <w:r w:rsidRPr="00F42D33">
        <w:rPr>
          <w:rFonts w:ascii="Book Antiqua" w:hAnsi="Book Antiqua" w:cs="Arial"/>
          <w:color w:val="000000"/>
          <w:sz w:val="22"/>
          <w:szCs w:val="22"/>
        </w:rPr>
        <w:t>ribunal fails adequately to address why the respondent’s evidence did not satisfy the evidential or the legal burden and failed to make any findings on the appellant’s evidence. It is further arguable that the article 8 balancing exercise is inadequately reasoned.</w:t>
      </w:r>
    </w:p>
    <w:p w:rsidR="00847A2E" w:rsidRPr="00F42D33" w:rsidRDefault="00847A2E" w:rsidP="009B259A">
      <w:pPr>
        <w:jc w:val="both"/>
        <w:rPr>
          <w:rFonts w:ascii="Book Antiqua" w:hAnsi="Book Antiqua" w:cs="Arial"/>
          <w:color w:val="000000"/>
          <w:u w:val="single"/>
        </w:rPr>
      </w:pPr>
      <w:r w:rsidRPr="00F42D33">
        <w:rPr>
          <w:rFonts w:ascii="Book Antiqua" w:hAnsi="Book Antiqua" w:cs="Arial"/>
          <w:color w:val="000000"/>
          <w:u w:val="single"/>
        </w:rPr>
        <w:t xml:space="preserve">The </w:t>
      </w:r>
      <w:r w:rsidR="007679B4" w:rsidRPr="00F42D33">
        <w:rPr>
          <w:rFonts w:ascii="Book Antiqua" w:hAnsi="Book Antiqua" w:cs="Arial"/>
          <w:color w:val="000000"/>
          <w:u w:val="single"/>
        </w:rPr>
        <w:t>H</w:t>
      </w:r>
      <w:r w:rsidRPr="00F42D33">
        <w:rPr>
          <w:rFonts w:ascii="Book Antiqua" w:hAnsi="Book Antiqua" w:cs="Arial"/>
          <w:color w:val="000000"/>
          <w:u w:val="single"/>
        </w:rPr>
        <w:t>earing.</w:t>
      </w:r>
    </w:p>
    <w:p w:rsidR="00F402D2" w:rsidRPr="00F42D33" w:rsidRDefault="00F402D2" w:rsidP="009B259A">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5</w:t>
      </w:r>
      <w:r w:rsidR="007679B4" w:rsidRPr="00F42D33">
        <w:rPr>
          <w:rFonts w:ascii="Book Antiqua" w:hAnsi="Book Antiqua" w:cs="Arial"/>
          <w:color w:val="000000"/>
        </w:rPr>
        <w:t>.</w:t>
      </w:r>
      <w:r w:rsidRPr="00F42D33">
        <w:rPr>
          <w:rFonts w:ascii="Book Antiqua" w:hAnsi="Book Antiqua" w:cs="Arial"/>
          <w:color w:val="000000"/>
        </w:rPr>
        <w:t xml:space="preserve"> </w:t>
      </w:r>
      <w:r w:rsidR="007679B4" w:rsidRPr="00F42D33">
        <w:rPr>
          <w:rFonts w:ascii="Book Antiqua" w:hAnsi="Book Antiqua" w:cs="Arial"/>
          <w:color w:val="000000"/>
        </w:rPr>
        <w:t>F</w:t>
      </w:r>
      <w:r w:rsidRPr="00F42D33">
        <w:rPr>
          <w:rFonts w:ascii="Book Antiqua" w:hAnsi="Book Antiqua" w:cs="Arial"/>
          <w:color w:val="000000"/>
        </w:rPr>
        <w:t>or the respondent</w:t>
      </w:r>
      <w:r w:rsidR="007679B4" w:rsidRPr="00F42D33">
        <w:rPr>
          <w:rFonts w:ascii="Book Antiqua" w:hAnsi="Book Antiqua" w:cs="Arial"/>
          <w:color w:val="000000"/>
        </w:rPr>
        <w:t>,</w:t>
      </w:r>
      <w:r w:rsidRPr="00F42D33">
        <w:rPr>
          <w:rFonts w:ascii="Book Antiqua" w:hAnsi="Book Antiqua" w:cs="Arial"/>
          <w:color w:val="000000"/>
        </w:rPr>
        <w:t xml:space="preserve"> Mr </w:t>
      </w:r>
      <w:proofErr w:type="spellStart"/>
      <w:r w:rsidRPr="00F42D33">
        <w:rPr>
          <w:rFonts w:ascii="Book Antiqua" w:hAnsi="Book Antiqua" w:cs="Arial"/>
          <w:color w:val="000000"/>
        </w:rPr>
        <w:t>T</w:t>
      </w:r>
      <w:r w:rsidR="007679B4" w:rsidRPr="00F42D33">
        <w:rPr>
          <w:rFonts w:ascii="Book Antiqua" w:hAnsi="Book Antiqua" w:cs="Arial"/>
          <w:color w:val="000000"/>
        </w:rPr>
        <w:t>arlow</w:t>
      </w:r>
      <w:proofErr w:type="spellEnd"/>
      <w:r w:rsidRPr="00F42D33">
        <w:rPr>
          <w:rFonts w:ascii="Book Antiqua" w:hAnsi="Book Antiqua" w:cs="Arial"/>
          <w:color w:val="000000"/>
        </w:rPr>
        <w:t xml:space="preserve"> moved the grounds of appeal. He told me that the decision contains material errors of law because the </w:t>
      </w:r>
      <w:r w:rsidR="007679B4" w:rsidRPr="00F42D33">
        <w:rPr>
          <w:rFonts w:ascii="Book Antiqua" w:hAnsi="Book Antiqua" w:cs="Arial"/>
          <w:color w:val="000000"/>
        </w:rPr>
        <w:t>J</w:t>
      </w:r>
      <w:r w:rsidRPr="00F42D33">
        <w:rPr>
          <w:rFonts w:ascii="Book Antiqua" w:hAnsi="Book Antiqua" w:cs="Arial"/>
          <w:color w:val="000000"/>
        </w:rPr>
        <w:t xml:space="preserve">udge failed to give adequate reasons for his findings. He told me that the essential point is that there are insufficient reasons in the article 8 assessment and inadequate reasoning in relation to the welfare of the appellant’s British citizen child. He took me to </w:t>
      </w:r>
      <w:r w:rsidR="007679B4" w:rsidRPr="00F42D33">
        <w:rPr>
          <w:rFonts w:ascii="Book Antiqua" w:hAnsi="Book Antiqua" w:cs="Arial"/>
          <w:color w:val="000000"/>
        </w:rPr>
        <w:t>[</w:t>
      </w:r>
      <w:r w:rsidRPr="00F42D33">
        <w:rPr>
          <w:rFonts w:ascii="Book Antiqua" w:hAnsi="Book Antiqua" w:cs="Arial"/>
          <w:color w:val="000000"/>
        </w:rPr>
        <w:t>22</w:t>
      </w:r>
      <w:r w:rsidR="007679B4" w:rsidRPr="00F42D33">
        <w:rPr>
          <w:rFonts w:ascii="Book Antiqua" w:hAnsi="Book Antiqua" w:cs="Arial"/>
          <w:color w:val="000000"/>
        </w:rPr>
        <w:t>]</w:t>
      </w:r>
      <w:r w:rsidRPr="00F42D33">
        <w:rPr>
          <w:rFonts w:ascii="Book Antiqua" w:hAnsi="Book Antiqua" w:cs="Arial"/>
          <w:color w:val="000000"/>
        </w:rPr>
        <w:t xml:space="preserve"> of the decision where </w:t>
      </w:r>
      <w:r w:rsidR="007679B4" w:rsidRPr="00F42D33">
        <w:rPr>
          <w:rFonts w:ascii="Book Antiqua" w:hAnsi="Book Antiqua" w:cs="Arial"/>
          <w:color w:val="000000"/>
        </w:rPr>
        <w:t>(</w:t>
      </w:r>
      <w:r w:rsidRPr="00F42D33">
        <w:rPr>
          <w:rFonts w:ascii="Book Antiqua" w:hAnsi="Book Antiqua" w:cs="Arial"/>
          <w:color w:val="000000"/>
        </w:rPr>
        <w:t>he told me that</w:t>
      </w:r>
      <w:r w:rsidR="007679B4" w:rsidRPr="00F42D33">
        <w:rPr>
          <w:rFonts w:ascii="Book Antiqua" w:hAnsi="Book Antiqua" w:cs="Arial"/>
          <w:color w:val="000000"/>
        </w:rPr>
        <w:t>)</w:t>
      </w:r>
      <w:r w:rsidRPr="00F42D33">
        <w:rPr>
          <w:rFonts w:ascii="Book Antiqua" w:hAnsi="Book Antiqua" w:cs="Arial"/>
          <w:color w:val="000000"/>
        </w:rPr>
        <w:t xml:space="preserve"> the </w:t>
      </w:r>
      <w:r w:rsidR="007679B4" w:rsidRPr="00F42D33">
        <w:rPr>
          <w:rFonts w:ascii="Book Antiqua" w:hAnsi="Book Antiqua" w:cs="Arial"/>
          <w:color w:val="000000"/>
        </w:rPr>
        <w:t>J</w:t>
      </w:r>
      <w:r w:rsidRPr="00F42D33">
        <w:rPr>
          <w:rFonts w:ascii="Book Antiqua" w:hAnsi="Book Antiqua" w:cs="Arial"/>
          <w:color w:val="000000"/>
        </w:rPr>
        <w:t>udge merely sets out the factual matrix of the effect of removal and gives no reasons for the conclusions reached. He urged me to set the decision aside.</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6</w:t>
      </w:r>
      <w:r w:rsidR="009343DB">
        <w:rPr>
          <w:rFonts w:ascii="Book Antiqua" w:hAnsi="Book Antiqua" w:cs="Arial"/>
          <w:color w:val="000000"/>
        </w:rPr>
        <w:t>.</w:t>
      </w:r>
      <w:r w:rsidRPr="00F42D33">
        <w:rPr>
          <w:rFonts w:ascii="Book Antiqua" w:hAnsi="Book Antiqua" w:cs="Arial"/>
          <w:color w:val="000000"/>
        </w:rPr>
        <w:t xml:space="preserve">(a) </w:t>
      </w:r>
      <w:r w:rsidR="007679B4" w:rsidRPr="00F42D33">
        <w:rPr>
          <w:rFonts w:ascii="Book Antiqua" w:hAnsi="Book Antiqua" w:cs="Arial"/>
          <w:color w:val="000000"/>
        </w:rPr>
        <w:t>F</w:t>
      </w:r>
      <w:r w:rsidRPr="00F42D33">
        <w:rPr>
          <w:rFonts w:ascii="Book Antiqua" w:hAnsi="Book Antiqua" w:cs="Arial"/>
          <w:color w:val="000000"/>
        </w:rPr>
        <w:t>or the appellant</w:t>
      </w:r>
      <w:r w:rsidR="007679B4" w:rsidRPr="00F42D33">
        <w:rPr>
          <w:rFonts w:ascii="Book Antiqua" w:hAnsi="Book Antiqua" w:cs="Arial"/>
          <w:color w:val="000000"/>
        </w:rPr>
        <w:t>,</w:t>
      </w:r>
      <w:r w:rsidRPr="00F42D33">
        <w:rPr>
          <w:rFonts w:ascii="Book Antiqua" w:hAnsi="Book Antiqua" w:cs="Arial"/>
          <w:color w:val="000000"/>
        </w:rPr>
        <w:t xml:space="preserve"> Mr Hassan told me that the decision does not contain errors of law. It may be a short decision</w:t>
      </w:r>
      <w:r w:rsidR="007679B4" w:rsidRPr="00F42D33">
        <w:rPr>
          <w:rFonts w:ascii="Book Antiqua" w:hAnsi="Book Antiqua" w:cs="Arial"/>
          <w:color w:val="000000"/>
        </w:rPr>
        <w:t>,</w:t>
      </w:r>
      <w:r w:rsidRPr="00F42D33">
        <w:rPr>
          <w:rFonts w:ascii="Book Antiqua" w:hAnsi="Book Antiqua" w:cs="Arial"/>
          <w:color w:val="000000"/>
        </w:rPr>
        <w:t xml:space="preserve"> but it contains adequate reasoning. He relied on the detailed rule 24 response for the appellant. He took me to </w:t>
      </w:r>
      <w:r w:rsidR="007679B4" w:rsidRPr="00F42D33">
        <w:rPr>
          <w:rFonts w:ascii="Book Antiqua" w:hAnsi="Book Antiqua" w:cs="Arial"/>
          <w:color w:val="000000"/>
        </w:rPr>
        <w:t>[</w:t>
      </w:r>
      <w:r w:rsidRPr="00F42D33">
        <w:rPr>
          <w:rFonts w:ascii="Book Antiqua" w:hAnsi="Book Antiqua" w:cs="Arial"/>
          <w:color w:val="000000"/>
        </w:rPr>
        <w:t>12</w:t>
      </w:r>
      <w:r w:rsidR="007679B4" w:rsidRPr="00F42D33">
        <w:rPr>
          <w:rFonts w:ascii="Book Antiqua" w:hAnsi="Book Antiqua" w:cs="Arial"/>
          <w:color w:val="000000"/>
        </w:rPr>
        <w:t>] of</w:t>
      </w:r>
      <w:r w:rsidRPr="00F42D33">
        <w:rPr>
          <w:rFonts w:ascii="Book Antiqua" w:hAnsi="Book Antiqua" w:cs="Arial"/>
          <w:color w:val="000000"/>
        </w:rPr>
        <w:t xml:space="preserve"> the decision where it is recorded that the respondent’s generic evidence bundle was neither served not </w:t>
      </w:r>
      <w:r w:rsidRPr="00F42D33">
        <w:rPr>
          <w:rFonts w:ascii="Book Antiqua" w:hAnsi="Book Antiqua" w:cs="Arial"/>
          <w:color w:val="000000"/>
        </w:rPr>
        <w:lastRenderedPageBreak/>
        <w:t xml:space="preserve">produced. He told me that the </w:t>
      </w:r>
      <w:r w:rsidR="005B2E6C" w:rsidRPr="00F42D33">
        <w:rPr>
          <w:rFonts w:ascii="Book Antiqua" w:hAnsi="Book Antiqua" w:cs="Arial"/>
          <w:color w:val="000000"/>
        </w:rPr>
        <w:t>J</w:t>
      </w:r>
      <w:r w:rsidRPr="00F42D33">
        <w:rPr>
          <w:rFonts w:ascii="Book Antiqua" w:hAnsi="Book Antiqua" w:cs="Arial"/>
          <w:color w:val="000000"/>
        </w:rPr>
        <w:t>udge took correct guidance in law a</w:t>
      </w:r>
      <w:r w:rsidR="005B2E6C" w:rsidRPr="00F42D33">
        <w:rPr>
          <w:rFonts w:ascii="Book Antiqua" w:hAnsi="Book Antiqua" w:cs="Arial"/>
          <w:color w:val="000000"/>
        </w:rPr>
        <w:t>nd</w:t>
      </w:r>
      <w:r w:rsidRPr="00F42D33">
        <w:rPr>
          <w:rFonts w:ascii="Book Antiqua" w:hAnsi="Book Antiqua" w:cs="Arial"/>
          <w:color w:val="000000"/>
        </w:rPr>
        <w:t xml:space="preserve"> applied the correct evidential burden. He told me that the </w:t>
      </w:r>
      <w:r w:rsidR="005B2E6C" w:rsidRPr="00F42D33">
        <w:rPr>
          <w:rFonts w:ascii="Book Antiqua" w:hAnsi="Book Antiqua" w:cs="Arial"/>
          <w:color w:val="000000"/>
        </w:rPr>
        <w:t>J</w:t>
      </w:r>
      <w:r w:rsidRPr="00F42D33">
        <w:rPr>
          <w:rFonts w:ascii="Book Antiqua" w:hAnsi="Book Antiqua" w:cs="Arial"/>
          <w:color w:val="000000"/>
        </w:rPr>
        <w:t>udge considered the appellant</w:t>
      </w:r>
      <w:r w:rsidR="005B2E6C" w:rsidRPr="00F42D33">
        <w:rPr>
          <w:rFonts w:ascii="Book Antiqua" w:hAnsi="Book Antiqua" w:cs="Arial"/>
          <w:color w:val="000000"/>
        </w:rPr>
        <w:t>’s</w:t>
      </w:r>
      <w:r w:rsidRPr="00F42D33">
        <w:rPr>
          <w:rFonts w:ascii="Book Antiqua" w:hAnsi="Book Antiqua" w:cs="Arial"/>
          <w:color w:val="000000"/>
        </w:rPr>
        <w:t xml:space="preserve"> innocent explanation, which is set out in the appellant’s witness statement in detail. He took me to </w:t>
      </w:r>
      <w:r w:rsidR="005B2E6C" w:rsidRPr="00F42D33">
        <w:rPr>
          <w:rFonts w:ascii="Book Antiqua" w:hAnsi="Book Antiqua" w:cs="Arial"/>
          <w:color w:val="000000"/>
        </w:rPr>
        <w:t>[</w:t>
      </w:r>
      <w:r w:rsidRPr="00F42D33">
        <w:rPr>
          <w:rFonts w:ascii="Book Antiqua" w:hAnsi="Book Antiqua" w:cs="Arial"/>
          <w:color w:val="000000"/>
        </w:rPr>
        <w:t>10</w:t>
      </w:r>
      <w:r w:rsidR="005B2E6C" w:rsidRPr="00F42D33">
        <w:rPr>
          <w:rFonts w:ascii="Book Antiqua" w:hAnsi="Book Antiqua" w:cs="Arial"/>
          <w:color w:val="000000"/>
        </w:rPr>
        <w:t>]</w:t>
      </w:r>
      <w:r w:rsidRPr="00F42D33">
        <w:rPr>
          <w:rFonts w:ascii="Book Antiqua" w:hAnsi="Book Antiqua" w:cs="Arial"/>
          <w:color w:val="000000"/>
        </w:rPr>
        <w:t xml:space="preserve"> of the decision and reminded me that the Home Office </w:t>
      </w:r>
      <w:r w:rsidR="005B2E6C" w:rsidRPr="00F42D33">
        <w:rPr>
          <w:rFonts w:ascii="Book Antiqua" w:hAnsi="Book Antiqua" w:cs="Arial"/>
          <w:color w:val="000000"/>
        </w:rPr>
        <w:t>P</w:t>
      </w:r>
      <w:r w:rsidRPr="00F42D33">
        <w:rPr>
          <w:rFonts w:ascii="Book Antiqua" w:hAnsi="Book Antiqua" w:cs="Arial"/>
          <w:color w:val="000000"/>
        </w:rPr>
        <w:t xml:space="preserve">resenting </w:t>
      </w:r>
      <w:r w:rsidR="005B2E6C" w:rsidRPr="00F42D33">
        <w:rPr>
          <w:rFonts w:ascii="Book Antiqua" w:hAnsi="Book Antiqua" w:cs="Arial"/>
          <w:color w:val="000000"/>
        </w:rPr>
        <w:t>O</w:t>
      </w:r>
      <w:r w:rsidRPr="00F42D33">
        <w:rPr>
          <w:rFonts w:ascii="Book Antiqua" w:hAnsi="Book Antiqua" w:cs="Arial"/>
          <w:color w:val="000000"/>
        </w:rPr>
        <w:t xml:space="preserve">fficer </w:t>
      </w:r>
      <w:r w:rsidR="005B2E6C" w:rsidRPr="00F42D33">
        <w:rPr>
          <w:rFonts w:ascii="Book Antiqua" w:hAnsi="Book Antiqua" w:cs="Arial"/>
          <w:color w:val="000000"/>
        </w:rPr>
        <w:t>(</w:t>
      </w:r>
      <w:r w:rsidRPr="00F42D33">
        <w:rPr>
          <w:rFonts w:ascii="Book Antiqua" w:hAnsi="Book Antiqua" w:cs="Arial"/>
          <w:color w:val="000000"/>
        </w:rPr>
        <w:t xml:space="preserve">before the </w:t>
      </w:r>
      <w:r w:rsidR="005B2E6C" w:rsidRPr="00F42D33">
        <w:rPr>
          <w:rFonts w:ascii="Book Antiqua" w:hAnsi="Book Antiqua" w:cs="Arial"/>
          <w:color w:val="000000"/>
        </w:rPr>
        <w:t>F</w:t>
      </w:r>
      <w:r w:rsidRPr="00F42D33">
        <w:rPr>
          <w:rFonts w:ascii="Book Antiqua" w:hAnsi="Book Antiqua" w:cs="Arial"/>
          <w:color w:val="000000"/>
        </w:rPr>
        <w:t xml:space="preserve">irst-tier </w:t>
      </w:r>
      <w:r w:rsidR="005B2E6C" w:rsidRPr="00F42D33">
        <w:rPr>
          <w:rFonts w:ascii="Book Antiqua" w:hAnsi="Book Antiqua" w:cs="Arial"/>
          <w:color w:val="000000"/>
        </w:rPr>
        <w:t>T</w:t>
      </w:r>
      <w:r w:rsidRPr="00F42D33">
        <w:rPr>
          <w:rFonts w:ascii="Book Antiqua" w:hAnsi="Book Antiqua" w:cs="Arial"/>
          <w:color w:val="000000"/>
        </w:rPr>
        <w:t>ribunal</w:t>
      </w:r>
      <w:r w:rsidR="005B2E6C" w:rsidRPr="00F42D33">
        <w:rPr>
          <w:rFonts w:ascii="Book Antiqua" w:hAnsi="Book Antiqua" w:cs="Arial"/>
          <w:color w:val="000000"/>
        </w:rPr>
        <w:t>)</w:t>
      </w:r>
      <w:r w:rsidRPr="00F42D33">
        <w:rPr>
          <w:rFonts w:ascii="Book Antiqua" w:hAnsi="Book Antiqua" w:cs="Arial"/>
          <w:color w:val="000000"/>
        </w:rPr>
        <w:t xml:space="preserve"> chose not to cross examination the appellant or his partner.</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 xml:space="preserve">(b) Mr Hassan told me that the </w:t>
      </w:r>
      <w:r w:rsidR="005B2E6C" w:rsidRPr="00F42D33">
        <w:rPr>
          <w:rFonts w:ascii="Book Antiqua" w:hAnsi="Book Antiqua" w:cs="Arial"/>
          <w:color w:val="000000"/>
        </w:rPr>
        <w:t>J</w:t>
      </w:r>
      <w:r w:rsidRPr="00F42D33">
        <w:rPr>
          <w:rFonts w:ascii="Book Antiqua" w:hAnsi="Book Antiqua" w:cs="Arial"/>
          <w:color w:val="000000"/>
        </w:rPr>
        <w:t xml:space="preserve">udge’s article 8 assessment is beyond criticism. He told me that the </w:t>
      </w:r>
      <w:r w:rsidR="005B2E6C" w:rsidRPr="00F42D33">
        <w:rPr>
          <w:rFonts w:ascii="Book Antiqua" w:hAnsi="Book Antiqua" w:cs="Arial"/>
          <w:color w:val="000000"/>
        </w:rPr>
        <w:t>J</w:t>
      </w:r>
      <w:r w:rsidRPr="00F42D33">
        <w:rPr>
          <w:rFonts w:ascii="Book Antiqua" w:hAnsi="Book Antiqua" w:cs="Arial"/>
          <w:color w:val="000000"/>
        </w:rPr>
        <w:t>udge took correct guidance in law a</w:t>
      </w:r>
      <w:r w:rsidR="005B2E6C" w:rsidRPr="00F42D33">
        <w:rPr>
          <w:rFonts w:ascii="Book Antiqua" w:hAnsi="Book Antiqua" w:cs="Arial"/>
          <w:color w:val="000000"/>
        </w:rPr>
        <w:t>nd</w:t>
      </w:r>
      <w:r w:rsidRPr="00F42D33">
        <w:rPr>
          <w:rFonts w:ascii="Book Antiqua" w:hAnsi="Book Antiqua" w:cs="Arial"/>
          <w:color w:val="000000"/>
        </w:rPr>
        <w:t xml:space="preserve"> found that the fact that the appellant’s wife and child </w:t>
      </w:r>
      <w:r w:rsidR="005B2E6C" w:rsidRPr="00F42D33">
        <w:rPr>
          <w:rFonts w:ascii="Book Antiqua" w:hAnsi="Book Antiqua" w:cs="Arial"/>
          <w:color w:val="000000"/>
        </w:rPr>
        <w:t xml:space="preserve">are </w:t>
      </w:r>
      <w:r w:rsidRPr="00F42D33">
        <w:rPr>
          <w:rFonts w:ascii="Book Antiqua" w:hAnsi="Book Antiqua" w:cs="Arial"/>
          <w:color w:val="000000"/>
        </w:rPr>
        <w:t xml:space="preserve">British citizens was determinative of the article 8 assessment. He told me that the </w:t>
      </w:r>
      <w:r w:rsidR="005B2E6C" w:rsidRPr="00F42D33">
        <w:rPr>
          <w:rFonts w:ascii="Book Antiqua" w:hAnsi="Book Antiqua" w:cs="Arial"/>
          <w:color w:val="000000"/>
        </w:rPr>
        <w:t>J</w:t>
      </w:r>
      <w:r w:rsidRPr="00F42D33">
        <w:rPr>
          <w:rFonts w:ascii="Book Antiqua" w:hAnsi="Book Antiqua" w:cs="Arial"/>
          <w:color w:val="000000"/>
        </w:rPr>
        <w:t>udge</w:t>
      </w:r>
      <w:r w:rsidR="005B2E6C" w:rsidRPr="00F42D33">
        <w:rPr>
          <w:rFonts w:ascii="Book Antiqua" w:hAnsi="Book Antiqua" w:cs="Arial"/>
          <w:color w:val="000000"/>
        </w:rPr>
        <w:t>’</w:t>
      </w:r>
      <w:r w:rsidRPr="00F42D33">
        <w:rPr>
          <w:rFonts w:ascii="Book Antiqua" w:hAnsi="Book Antiqua" w:cs="Arial"/>
          <w:color w:val="000000"/>
        </w:rPr>
        <w:t>s findings make it clear that section 117</w:t>
      </w:r>
      <w:proofErr w:type="gramStart"/>
      <w:r w:rsidRPr="00F42D33">
        <w:rPr>
          <w:rFonts w:ascii="Book Antiqua" w:hAnsi="Book Antiqua" w:cs="Arial"/>
          <w:color w:val="000000"/>
        </w:rPr>
        <w:t>B(</w:t>
      </w:r>
      <w:proofErr w:type="gramEnd"/>
      <w:r w:rsidRPr="00F42D33">
        <w:rPr>
          <w:rFonts w:ascii="Book Antiqua" w:hAnsi="Book Antiqua" w:cs="Arial"/>
          <w:color w:val="000000"/>
        </w:rPr>
        <w:t xml:space="preserve">6) of the 2002 </w:t>
      </w:r>
      <w:r w:rsidR="005B2E6C" w:rsidRPr="00F42D33">
        <w:rPr>
          <w:rFonts w:ascii="Book Antiqua" w:hAnsi="Book Antiqua" w:cs="Arial"/>
          <w:color w:val="000000"/>
        </w:rPr>
        <w:t>A</w:t>
      </w:r>
      <w:r w:rsidRPr="00F42D33">
        <w:rPr>
          <w:rFonts w:ascii="Book Antiqua" w:hAnsi="Book Antiqua" w:cs="Arial"/>
          <w:color w:val="000000"/>
        </w:rPr>
        <w:t>ct is satisfied. He urged me to dismiss the appeal and allow the decision to stand.</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u w:val="single"/>
        </w:rPr>
      </w:pPr>
      <w:r w:rsidRPr="00F42D33">
        <w:rPr>
          <w:rFonts w:ascii="Book Antiqua" w:hAnsi="Book Antiqua" w:cs="Arial"/>
          <w:color w:val="000000"/>
          <w:u w:val="single"/>
        </w:rPr>
        <w:t>Analysis</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 xml:space="preserve">7. The </w:t>
      </w:r>
      <w:r w:rsidR="005B2E6C" w:rsidRPr="00F42D33">
        <w:rPr>
          <w:rFonts w:ascii="Book Antiqua" w:hAnsi="Book Antiqua" w:cs="Arial"/>
          <w:color w:val="000000"/>
        </w:rPr>
        <w:t>J</w:t>
      </w:r>
      <w:r w:rsidRPr="00F42D33">
        <w:rPr>
          <w:rFonts w:ascii="Book Antiqua" w:hAnsi="Book Antiqua" w:cs="Arial"/>
          <w:color w:val="000000"/>
        </w:rPr>
        <w:t>udge</w:t>
      </w:r>
      <w:r w:rsidR="005B2E6C" w:rsidRPr="00F42D33">
        <w:rPr>
          <w:rFonts w:ascii="Book Antiqua" w:hAnsi="Book Antiqua" w:cs="Arial"/>
          <w:color w:val="000000"/>
        </w:rPr>
        <w:t>’</w:t>
      </w:r>
      <w:r w:rsidRPr="00F42D33">
        <w:rPr>
          <w:rFonts w:ascii="Book Antiqua" w:hAnsi="Book Antiqua" w:cs="Arial"/>
          <w:color w:val="000000"/>
        </w:rPr>
        <w:t xml:space="preserve">s findings are confined to </w:t>
      </w:r>
      <w:r w:rsidR="005B2E6C" w:rsidRPr="00F42D33">
        <w:rPr>
          <w:rFonts w:ascii="Book Antiqua" w:hAnsi="Book Antiqua" w:cs="Arial"/>
          <w:color w:val="000000"/>
        </w:rPr>
        <w:t>[</w:t>
      </w:r>
      <w:r w:rsidRPr="00F42D33">
        <w:rPr>
          <w:rFonts w:ascii="Book Antiqua" w:hAnsi="Book Antiqua" w:cs="Arial"/>
          <w:color w:val="000000"/>
        </w:rPr>
        <w:t>20</w:t>
      </w:r>
      <w:r w:rsidR="005B2E6C" w:rsidRPr="00F42D33">
        <w:rPr>
          <w:rFonts w:ascii="Book Antiqua" w:hAnsi="Book Antiqua" w:cs="Arial"/>
          <w:color w:val="000000"/>
        </w:rPr>
        <w:t>]</w:t>
      </w:r>
      <w:r w:rsidRPr="00F42D33">
        <w:rPr>
          <w:rFonts w:ascii="Book Antiqua" w:hAnsi="Book Antiqua" w:cs="Arial"/>
          <w:color w:val="000000"/>
        </w:rPr>
        <w:t xml:space="preserve"> to </w:t>
      </w:r>
      <w:r w:rsidR="005B2E6C" w:rsidRPr="00F42D33">
        <w:rPr>
          <w:rFonts w:ascii="Book Antiqua" w:hAnsi="Book Antiqua" w:cs="Arial"/>
          <w:color w:val="000000"/>
        </w:rPr>
        <w:t>[</w:t>
      </w:r>
      <w:r w:rsidRPr="00F42D33">
        <w:rPr>
          <w:rFonts w:ascii="Book Antiqua" w:hAnsi="Book Antiqua" w:cs="Arial"/>
          <w:color w:val="000000"/>
        </w:rPr>
        <w:t>23</w:t>
      </w:r>
      <w:r w:rsidR="005B2E6C" w:rsidRPr="00F42D33">
        <w:rPr>
          <w:rFonts w:ascii="Book Antiqua" w:hAnsi="Book Antiqua" w:cs="Arial"/>
          <w:color w:val="000000"/>
        </w:rPr>
        <w:t>]</w:t>
      </w:r>
      <w:r w:rsidRPr="00F42D33">
        <w:rPr>
          <w:rFonts w:ascii="Book Antiqua" w:hAnsi="Book Antiqua" w:cs="Arial"/>
          <w:color w:val="000000"/>
        </w:rPr>
        <w:t xml:space="preserve"> of the decision. The appellant’s application was submitted on 16 April 2015. The only competent ground of appeal is on EC</w:t>
      </w:r>
      <w:r w:rsidR="005B2E6C" w:rsidRPr="00F42D33">
        <w:rPr>
          <w:rFonts w:ascii="Book Antiqua" w:hAnsi="Book Antiqua" w:cs="Arial"/>
          <w:color w:val="000000"/>
        </w:rPr>
        <w:t>HR</w:t>
      </w:r>
      <w:r w:rsidRPr="00F42D33">
        <w:rPr>
          <w:rFonts w:ascii="Book Antiqua" w:hAnsi="Book Antiqua" w:cs="Arial"/>
          <w:color w:val="000000"/>
        </w:rPr>
        <w:t xml:space="preserve"> grounds.</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 xml:space="preserve">8. At </w:t>
      </w:r>
      <w:r w:rsidR="005B2E6C" w:rsidRPr="00F42D33">
        <w:rPr>
          <w:rFonts w:ascii="Book Antiqua" w:hAnsi="Book Antiqua" w:cs="Arial"/>
          <w:color w:val="000000"/>
        </w:rPr>
        <w:t>[</w:t>
      </w:r>
      <w:r w:rsidRPr="00F42D33">
        <w:rPr>
          <w:rFonts w:ascii="Book Antiqua" w:hAnsi="Book Antiqua" w:cs="Arial"/>
          <w:color w:val="000000"/>
        </w:rPr>
        <w:t>20</w:t>
      </w:r>
      <w:r w:rsidR="005B2E6C" w:rsidRPr="00F42D33">
        <w:rPr>
          <w:rFonts w:ascii="Book Antiqua" w:hAnsi="Book Antiqua" w:cs="Arial"/>
          <w:color w:val="000000"/>
        </w:rPr>
        <w:t>]</w:t>
      </w:r>
      <w:r w:rsidRPr="00F42D33">
        <w:rPr>
          <w:rFonts w:ascii="Book Antiqua" w:hAnsi="Book Antiqua" w:cs="Arial"/>
          <w:color w:val="000000"/>
        </w:rPr>
        <w:t xml:space="preserve"> the </w:t>
      </w:r>
      <w:r w:rsidR="005B2E6C" w:rsidRPr="00F42D33">
        <w:rPr>
          <w:rFonts w:ascii="Book Antiqua" w:hAnsi="Book Antiqua" w:cs="Arial"/>
          <w:color w:val="000000"/>
        </w:rPr>
        <w:t>J</w:t>
      </w:r>
      <w:r w:rsidRPr="00F42D33">
        <w:rPr>
          <w:rFonts w:ascii="Book Antiqua" w:hAnsi="Book Antiqua" w:cs="Arial"/>
          <w:color w:val="000000"/>
        </w:rPr>
        <w:t xml:space="preserve">udge </w:t>
      </w:r>
      <w:r w:rsidR="005B2E6C" w:rsidRPr="00F42D33">
        <w:rPr>
          <w:rFonts w:ascii="Book Antiqua" w:hAnsi="Book Antiqua" w:cs="Arial"/>
          <w:color w:val="000000"/>
        </w:rPr>
        <w:t xml:space="preserve">summarily </w:t>
      </w:r>
      <w:r w:rsidRPr="00F42D33">
        <w:rPr>
          <w:rFonts w:ascii="Book Antiqua" w:hAnsi="Book Antiqua" w:cs="Arial"/>
          <w:color w:val="000000"/>
        </w:rPr>
        <w:t xml:space="preserve">deals with the allegation that a fraudulently obtained English language certificate has been used. The </w:t>
      </w:r>
      <w:r w:rsidR="005B2E6C" w:rsidRPr="00F42D33">
        <w:rPr>
          <w:rFonts w:ascii="Book Antiqua" w:hAnsi="Book Antiqua" w:cs="Arial"/>
          <w:color w:val="000000"/>
        </w:rPr>
        <w:t>J</w:t>
      </w:r>
      <w:r w:rsidRPr="00F42D33">
        <w:rPr>
          <w:rFonts w:ascii="Book Antiqua" w:hAnsi="Book Antiqua" w:cs="Arial"/>
          <w:color w:val="000000"/>
        </w:rPr>
        <w:t xml:space="preserve">udge finds that the respondent does not discharge the burden of proof. That finding is safe because of what is contained at </w:t>
      </w:r>
      <w:r w:rsidR="005B2E6C" w:rsidRPr="00F42D33">
        <w:rPr>
          <w:rFonts w:ascii="Book Antiqua" w:hAnsi="Book Antiqua" w:cs="Arial"/>
          <w:color w:val="000000"/>
        </w:rPr>
        <w:t>[</w:t>
      </w:r>
      <w:r w:rsidRPr="00F42D33">
        <w:rPr>
          <w:rFonts w:ascii="Book Antiqua" w:hAnsi="Book Antiqua" w:cs="Arial"/>
          <w:color w:val="000000"/>
        </w:rPr>
        <w:t>10</w:t>
      </w:r>
      <w:r w:rsidR="005B2E6C" w:rsidRPr="00F42D33">
        <w:rPr>
          <w:rFonts w:ascii="Book Antiqua" w:hAnsi="Book Antiqua" w:cs="Arial"/>
          <w:color w:val="000000"/>
        </w:rPr>
        <w:t>]</w:t>
      </w:r>
      <w:r w:rsidRPr="00F42D33">
        <w:rPr>
          <w:rFonts w:ascii="Book Antiqua" w:hAnsi="Book Antiqua" w:cs="Arial"/>
          <w:color w:val="000000"/>
        </w:rPr>
        <w:t xml:space="preserve"> of the decision. There the </w:t>
      </w:r>
      <w:r w:rsidR="005B2E6C" w:rsidRPr="00F42D33">
        <w:rPr>
          <w:rFonts w:ascii="Book Antiqua" w:hAnsi="Book Antiqua" w:cs="Arial"/>
          <w:color w:val="000000"/>
        </w:rPr>
        <w:t>J</w:t>
      </w:r>
      <w:r w:rsidRPr="00F42D33">
        <w:rPr>
          <w:rFonts w:ascii="Book Antiqua" w:hAnsi="Book Antiqua" w:cs="Arial"/>
          <w:color w:val="000000"/>
        </w:rPr>
        <w:t>udge records that the appellant and his wife adopted the terms of their witness statements and</w:t>
      </w:r>
      <w:r w:rsidR="005B2E6C" w:rsidRPr="00F42D33">
        <w:rPr>
          <w:rFonts w:ascii="Book Antiqua" w:hAnsi="Book Antiqua" w:cs="Arial"/>
          <w:color w:val="000000"/>
        </w:rPr>
        <w:t xml:space="preserve"> their</w:t>
      </w:r>
      <w:r w:rsidRPr="00F42D33">
        <w:rPr>
          <w:rFonts w:ascii="Book Antiqua" w:hAnsi="Book Antiqua" w:cs="Arial"/>
          <w:color w:val="000000"/>
        </w:rPr>
        <w:t xml:space="preserve"> evidence went without challenge. At </w:t>
      </w:r>
      <w:r w:rsidR="005B2E6C" w:rsidRPr="00F42D33">
        <w:rPr>
          <w:rFonts w:ascii="Book Antiqua" w:hAnsi="Book Antiqua" w:cs="Arial"/>
          <w:color w:val="000000"/>
        </w:rPr>
        <w:t>[</w:t>
      </w:r>
      <w:r w:rsidRPr="00F42D33">
        <w:rPr>
          <w:rFonts w:ascii="Book Antiqua" w:hAnsi="Book Antiqua" w:cs="Arial"/>
          <w:color w:val="000000"/>
        </w:rPr>
        <w:t>12</w:t>
      </w:r>
      <w:r w:rsidR="005B2E6C" w:rsidRPr="00F42D33">
        <w:rPr>
          <w:rFonts w:ascii="Book Antiqua" w:hAnsi="Book Antiqua" w:cs="Arial"/>
          <w:color w:val="000000"/>
        </w:rPr>
        <w:t>]</w:t>
      </w:r>
      <w:r w:rsidRPr="00F42D33">
        <w:rPr>
          <w:rFonts w:ascii="Book Antiqua" w:hAnsi="Book Antiqua" w:cs="Arial"/>
          <w:color w:val="000000"/>
        </w:rPr>
        <w:t xml:space="preserve"> the </w:t>
      </w:r>
      <w:r w:rsidR="005B2E6C" w:rsidRPr="00F42D33">
        <w:rPr>
          <w:rFonts w:ascii="Book Antiqua" w:hAnsi="Book Antiqua" w:cs="Arial"/>
          <w:color w:val="000000"/>
        </w:rPr>
        <w:t>J</w:t>
      </w:r>
      <w:r w:rsidRPr="00F42D33">
        <w:rPr>
          <w:rFonts w:ascii="Book Antiqua" w:hAnsi="Book Antiqua" w:cs="Arial"/>
          <w:color w:val="000000"/>
        </w:rPr>
        <w:t>udge makes it clear that the respondent did not produce evidence in relation to the English language test.</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 xml:space="preserve">9. </w:t>
      </w:r>
      <w:r w:rsidR="005B2E6C" w:rsidRPr="00F42D33">
        <w:rPr>
          <w:rFonts w:ascii="Book Antiqua" w:hAnsi="Book Antiqua" w:cs="Arial"/>
          <w:color w:val="000000"/>
        </w:rPr>
        <w:t>As</w:t>
      </w:r>
      <w:r w:rsidRPr="00F42D33">
        <w:rPr>
          <w:rFonts w:ascii="Book Antiqua" w:hAnsi="Book Antiqua" w:cs="Arial"/>
          <w:color w:val="000000"/>
        </w:rPr>
        <w:t xml:space="preserve"> the respondent did not produce evidence</w:t>
      </w:r>
      <w:r w:rsidR="005B2E6C" w:rsidRPr="00F42D33">
        <w:rPr>
          <w:rFonts w:ascii="Book Antiqua" w:hAnsi="Book Antiqua" w:cs="Arial"/>
          <w:color w:val="000000"/>
        </w:rPr>
        <w:t xml:space="preserve"> about</w:t>
      </w:r>
      <w:r w:rsidRPr="00F42D33">
        <w:rPr>
          <w:rFonts w:ascii="Book Antiqua" w:hAnsi="Book Antiqua" w:cs="Arial"/>
          <w:color w:val="000000"/>
        </w:rPr>
        <w:t xml:space="preserve"> the English language test and </w:t>
      </w:r>
      <w:r w:rsidR="005B2E6C" w:rsidRPr="00F42D33">
        <w:rPr>
          <w:rFonts w:ascii="Book Antiqua" w:hAnsi="Book Antiqua" w:cs="Arial"/>
          <w:color w:val="000000"/>
        </w:rPr>
        <w:t>as</w:t>
      </w:r>
      <w:r w:rsidRPr="00F42D33">
        <w:rPr>
          <w:rFonts w:ascii="Book Antiqua" w:hAnsi="Book Antiqua" w:cs="Arial"/>
          <w:color w:val="000000"/>
        </w:rPr>
        <w:t xml:space="preserve"> the appellant’s innocent explanation contained in his witness statement goes without challenge the respondent cannot discharge the initial burden of proof.</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 xml:space="preserve">10. What is wrong with the decision is that there is no meaningful article 8 analysis. The </w:t>
      </w:r>
      <w:r w:rsidR="005B2E6C" w:rsidRPr="00F42D33">
        <w:rPr>
          <w:rFonts w:ascii="Book Antiqua" w:hAnsi="Book Antiqua" w:cs="Arial"/>
          <w:color w:val="000000"/>
        </w:rPr>
        <w:t>J</w:t>
      </w:r>
      <w:r w:rsidRPr="00F42D33">
        <w:rPr>
          <w:rFonts w:ascii="Book Antiqua" w:hAnsi="Book Antiqua" w:cs="Arial"/>
          <w:color w:val="000000"/>
        </w:rPr>
        <w:t>udge makes it clear that the appellant’s wife a</w:t>
      </w:r>
      <w:r w:rsidR="005B2E6C" w:rsidRPr="00F42D33">
        <w:rPr>
          <w:rFonts w:ascii="Book Antiqua" w:hAnsi="Book Antiqua" w:cs="Arial"/>
          <w:color w:val="000000"/>
        </w:rPr>
        <w:t>nd</w:t>
      </w:r>
      <w:r w:rsidRPr="00F42D33">
        <w:rPr>
          <w:rFonts w:ascii="Book Antiqua" w:hAnsi="Book Antiqua" w:cs="Arial"/>
          <w:color w:val="000000"/>
        </w:rPr>
        <w:t xml:space="preserve"> child </w:t>
      </w:r>
      <w:r w:rsidR="005B2E6C" w:rsidRPr="00F42D33">
        <w:rPr>
          <w:rFonts w:ascii="Book Antiqua" w:hAnsi="Book Antiqua" w:cs="Arial"/>
          <w:color w:val="000000"/>
        </w:rPr>
        <w:t>are</w:t>
      </w:r>
      <w:r w:rsidRPr="00F42D33">
        <w:rPr>
          <w:rFonts w:ascii="Book Antiqua" w:hAnsi="Book Antiqua" w:cs="Arial"/>
          <w:color w:val="000000"/>
        </w:rPr>
        <w:t xml:space="preserve"> British citizens (I</w:t>
      </w:r>
      <w:r w:rsidR="005B2E6C" w:rsidRPr="00F42D33">
        <w:rPr>
          <w:rFonts w:ascii="Book Antiqua" w:hAnsi="Book Antiqua" w:cs="Arial"/>
          <w:color w:val="000000"/>
        </w:rPr>
        <w:t xml:space="preserve"> a</w:t>
      </w:r>
      <w:r w:rsidRPr="00F42D33">
        <w:rPr>
          <w:rFonts w:ascii="Book Antiqua" w:hAnsi="Book Antiqua" w:cs="Arial"/>
          <w:color w:val="000000"/>
        </w:rPr>
        <w:t xml:space="preserve">m told that the appellant and his wife now have a second British citizen child), but no meaningful analysis is carried out. The </w:t>
      </w:r>
      <w:r w:rsidR="005B2E6C" w:rsidRPr="00F42D33">
        <w:rPr>
          <w:rFonts w:ascii="Book Antiqua" w:hAnsi="Book Antiqua" w:cs="Arial"/>
          <w:color w:val="000000"/>
        </w:rPr>
        <w:t>J</w:t>
      </w:r>
      <w:r w:rsidRPr="00F42D33">
        <w:rPr>
          <w:rFonts w:ascii="Book Antiqua" w:hAnsi="Book Antiqua" w:cs="Arial"/>
          <w:color w:val="000000"/>
        </w:rPr>
        <w:t xml:space="preserve">udge does not consider section 117B of the 2002 </w:t>
      </w:r>
      <w:r w:rsidR="005B2E6C" w:rsidRPr="00F42D33">
        <w:rPr>
          <w:rFonts w:ascii="Book Antiqua" w:hAnsi="Book Antiqua" w:cs="Arial"/>
          <w:color w:val="000000"/>
        </w:rPr>
        <w:t>A</w:t>
      </w:r>
      <w:r w:rsidRPr="00F42D33">
        <w:rPr>
          <w:rFonts w:ascii="Book Antiqua" w:hAnsi="Book Antiqua" w:cs="Arial"/>
          <w:color w:val="000000"/>
        </w:rPr>
        <w:t xml:space="preserve">ct. At </w:t>
      </w:r>
      <w:r w:rsidR="005B2E6C" w:rsidRPr="00F42D33">
        <w:rPr>
          <w:rFonts w:ascii="Book Antiqua" w:hAnsi="Book Antiqua" w:cs="Arial"/>
          <w:color w:val="000000"/>
        </w:rPr>
        <w:t>[</w:t>
      </w:r>
      <w:r w:rsidRPr="00F42D33">
        <w:rPr>
          <w:rFonts w:ascii="Book Antiqua" w:hAnsi="Book Antiqua" w:cs="Arial"/>
          <w:color w:val="000000"/>
        </w:rPr>
        <w:t>22</w:t>
      </w:r>
      <w:r w:rsidR="005B2E6C" w:rsidRPr="00F42D33">
        <w:rPr>
          <w:rFonts w:ascii="Book Antiqua" w:hAnsi="Book Antiqua" w:cs="Arial"/>
          <w:color w:val="000000"/>
        </w:rPr>
        <w:t>]</w:t>
      </w:r>
      <w:r w:rsidRPr="00F42D33">
        <w:rPr>
          <w:rFonts w:ascii="Book Antiqua" w:hAnsi="Book Antiqua" w:cs="Arial"/>
          <w:color w:val="000000"/>
        </w:rPr>
        <w:t xml:space="preserve"> the </w:t>
      </w:r>
      <w:r w:rsidR="005B2E6C" w:rsidRPr="00F42D33">
        <w:rPr>
          <w:rFonts w:ascii="Book Antiqua" w:hAnsi="Book Antiqua" w:cs="Arial"/>
          <w:color w:val="000000"/>
        </w:rPr>
        <w:t>J</w:t>
      </w:r>
      <w:r w:rsidRPr="00F42D33">
        <w:rPr>
          <w:rFonts w:ascii="Book Antiqua" w:hAnsi="Book Antiqua" w:cs="Arial"/>
          <w:color w:val="000000"/>
        </w:rPr>
        <w:t xml:space="preserve">udge </w:t>
      </w:r>
      <w:r w:rsidR="005B2E6C" w:rsidRPr="00F42D33">
        <w:rPr>
          <w:rFonts w:ascii="Book Antiqua" w:hAnsi="Book Antiqua" w:cs="Arial"/>
          <w:color w:val="000000"/>
        </w:rPr>
        <w:t>torpid</w:t>
      </w:r>
      <w:r w:rsidRPr="00F42D33">
        <w:rPr>
          <w:rFonts w:ascii="Book Antiqua" w:hAnsi="Book Antiqua" w:cs="Arial"/>
          <w:color w:val="000000"/>
        </w:rPr>
        <w:t>ly says that requiring the appellant’s wife and child to either remain in the UK wh</w:t>
      </w:r>
      <w:r w:rsidR="005B2E6C" w:rsidRPr="00F42D33">
        <w:rPr>
          <w:rFonts w:ascii="Book Antiqua" w:hAnsi="Book Antiqua" w:cs="Arial"/>
          <w:color w:val="000000"/>
        </w:rPr>
        <w:t>ile</w:t>
      </w:r>
      <w:r w:rsidRPr="00F42D33">
        <w:rPr>
          <w:rFonts w:ascii="Book Antiqua" w:hAnsi="Book Antiqua" w:cs="Arial"/>
          <w:color w:val="000000"/>
        </w:rPr>
        <w:t xml:space="preserve"> the appellant goes to Bangladesh</w:t>
      </w:r>
      <w:r w:rsidR="005B2E6C" w:rsidRPr="00F42D33">
        <w:rPr>
          <w:rFonts w:ascii="Book Antiqua" w:hAnsi="Book Antiqua" w:cs="Arial"/>
          <w:color w:val="000000"/>
        </w:rPr>
        <w:t>, alternatively</w:t>
      </w:r>
      <w:r w:rsidRPr="00F42D33">
        <w:rPr>
          <w:rFonts w:ascii="Book Antiqua" w:hAnsi="Book Antiqua" w:cs="Arial"/>
          <w:color w:val="000000"/>
        </w:rPr>
        <w:t xml:space="preserve"> requiring the appellant’s wife and child to accompany him to Bangladesh</w:t>
      </w:r>
      <w:r w:rsidR="005B2E6C" w:rsidRPr="00F42D33">
        <w:rPr>
          <w:rFonts w:ascii="Book Antiqua" w:hAnsi="Book Antiqua" w:cs="Arial"/>
          <w:color w:val="000000"/>
        </w:rPr>
        <w:t>,</w:t>
      </w:r>
      <w:r w:rsidRPr="00F42D33">
        <w:rPr>
          <w:rFonts w:ascii="Book Antiqua" w:hAnsi="Book Antiqua" w:cs="Arial"/>
          <w:color w:val="000000"/>
        </w:rPr>
        <w:t xml:space="preserve"> is unreasonable </w:t>
      </w:r>
      <w:r w:rsidR="005B2E6C" w:rsidRPr="00F42D33">
        <w:rPr>
          <w:rFonts w:ascii="Book Antiqua" w:hAnsi="Book Antiqua" w:cs="Arial"/>
          <w:color w:val="000000"/>
        </w:rPr>
        <w:t xml:space="preserve">and </w:t>
      </w:r>
      <w:r w:rsidRPr="00F42D33">
        <w:rPr>
          <w:rFonts w:ascii="Book Antiqua" w:hAnsi="Book Antiqua" w:cs="Arial"/>
          <w:color w:val="000000"/>
        </w:rPr>
        <w:t>disproportionate. He does</w:t>
      </w:r>
      <w:r w:rsidR="005B2E6C" w:rsidRPr="00F42D33">
        <w:rPr>
          <w:rFonts w:ascii="Book Antiqua" w:hAnsi="Book Antiqua" w:cs="Arial"/>
          <w:color w:val="000000"/>
        </w:rPr>
        <w:t xml:space="preserve"> </w:t>
      </w:r>
      <w:r w:rsidRPr="00F42D33">
        <w:rPr>
          <w:rFonts w:ascii="Book Antiqua" w:hAnsi="Book Antiqua" w:cs="Arial"/>
          <w:color w:val="000000"/>
        </w:rPr>
        <w:t>n</w:t>
      </w:r>
      <w:r w:rsidR="005B2E6C" w:rsidRPr="00F42D33">
        <w:rPr>
          <w:rFonts w:ascii="Book Antiqua" w:hAnsi="Book Antiqua" w:cs="Arial"/>
          <w:color w:val="000000"/>
        </w:rPr>
        <w:t>o</w:t>
      </w:r>
      <w:r w:rsidRPr="00F42D33">
        <w:rPr>
          <w:rFonts w:ascii="Book Antiqua" w:hAnsi="Book Antiqua" w:cs="Arial"/>
          <w:color w:val="000000"/>
        </w:rPr>
        <w:t>t say why.</w:t>
      </w:r>
    </w:p>
    <w:p w:rsidR="00F402D2" w:rsidRPr="00F42D33" w:rsidRDefault="00F402D2" w:rsidP="00F402D2">
      <w:pPr>
        <w:jc w:val="both"/>
        <w:rPr>
          <w:rFonts w:ascii="Book Antiqua" w:hAnsi="Book Antiqua" w:cs="Arial"/>
          <w:color w:val="000000"/>
        </w:rPr>
      </w:pPr>
    </w:p>
    <w:p w:rsidR="005B2E6C" w:rsidRPr="00F42D33" w:rsidRDefault="00F402D2" w:rsidP="005B2E6C">
      <w:pPr>
        <w:jc w:val="both"/>
        <w:rPr>
          <w:rFonts w:ascii="Book Antiqua" w:hAnsi="Book Antiqua" w:cs="Arial"/>
          <w:lang w:val="en-US"/>
        </w:rPr>
      </w:pPr>
      <w:r w:rsidRPr="00F42D33">
        <w:rPr>
          <w:rFonts w:ascii="Book Antiqua" w:hAnsi="Book Antiqua" w:cs="Arial"/>
          <w:color w:val="000000"/>
        </w:rPr>
        <w:t xml:space="preserve">11. </w:t>
      </w:r>
      <w:r w:rsidR="005B2E6C" w:rsidRPr="00F42D33">
        <w:rPr>
          <w:rFonts w:ascii="Book Antiqua" w:hAnsi="Book Antiqua" w:cs="Arial"/>
          <w:bCs/>
          <w:iCs/>
        </w:rPr>
        <w:t xml:space="preserve">In </w:t>
      </w:r>
      <w:r w:rsidR="005B2E6C" w:rsidRPr="00F42D33">
        <w:rPr>
          <w:rFonts w:ascii="Book Antiqua" w:hAnsi="Book Antiqua" w:cs="Arial"/>
          <w:bCs/>
          <w:iCs/>
          <w:u w:val="single"/>
        </w:rPr>
        <w:t>MK (duty to give reasons) Pakistan</w:t>
      </w:r>
      <w:r w:rsidR="005B2E6C" w:rsidRPr="00F42D33">
        <w:rPr>
          <w:rFonts w:ascii="Book Antiqua" w:hAnsi="Book Antiqua" w:cs="Arial"/>
          <w:bCs/>
          <w:iCs/>
        </w:rPr>
        <w:t xml:space="preserve"> </w:t>
      </w:r>
      <w:r w:rsidR="005B2E6C" w:rsidRPr="00F42D33">
        <w:rPr>
          <w:rFonts w:ascii="Book Antiqua" w:hAnsi="Book Antiqua" w:cs="Arial"/>
          <w:bCs/>
        </w:rPr>
        <w:t>[2013] UKUT 00641 (IAC)</w:t>
      </w:r>
      <w:r w:rsidR="005B2E6C" w:rsidRPr="00F42D33">
        <w:rPr>
          <w:rFonts w:ascii="Book Antiqua" w:hAnsi="Book Antiqua" w:cs="Arial"/>
        </w:rPr>
        <w:t>, it was held that (</w:t>
      </w:r>
      <w:proofErr w:type="spellStart"/>
      <w:r w:rsidR="005B2E6C" w:rsidRPr="00F42D33">
        <w:rPr>
          <w:rFonts w:ascii="Book Antiqua" w:hAnsi="Book Antiqua" w:cs="Arial"/>
        </w:rPr>
        <w:t>i</w:t>
      </w:r>
      <w:proofErr w:type="spellEnd"/>
      <w:r w:rsidR="005B2E6C" w:rsidRPr="00F42D33">
        <w:rPr>
          <w:rFonts w:ascii="Book Antiqua" w:hAnsi="Book Antiqua" w:cs="Arial"/>
        </w:rPr>
        <w:t xml:space="preserve">) It was axiomatic that a determination disclosed clearly the reasons for a tribunal’s decision. (ii) If a tribunal found oral evidence to be implausible, incredible or unreliable or a document to be worth no weight whatsoever, it was necessary to say so in the determination and for such findings to be supported by reasons. A bare </w:t>
      </w:r>
      <w:r w:rsidR="005B2E6C" w:rsidRPr="00F42D33">
        <w:rPr>
          <w:rFonts w:ascii="Book Antiqua" w:hAnsi="Book Antiqua" w:cs="Arial"/>
        </w:rPr>
        <w:lastRenderedPageBreak/>
        <w:t>statement that a witness was not believed or that a document was afforded no weight was unlikely to satisfy the requirement to give reasons.</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 xml:space="preserve">12. The </w:t>
      </w:r>
      <w:r w:rsidR="005B2E6C" w:rsidRPr="00F42D33">
        <w:rPr>
          <w:rFonts w:ascii="Book Antiqua" w:hAnsi="Book Antiqua" w:cs="Arial"/>
          <w:color w:val="000000"/>
        </w:rPr>
        <w:t>J</w:t>
      </w:r>
      <w:r w:rsidRPr="00F42D33">
        <w:rPr>
          <w:rFonts w:ascii="Book Antiqua" w:hAnsi="Book Antiqua" w:cs="Arial"/>
          <w:color w:val="000000"/>
        </w:rPr>
        <w:t>udge races to conclusions and does</w:t>
      </w:r>
      <w:r w:rsidR="005B2E6C" w:rsidRPr="00F42D33">
        <w:rPr>
          <w:rFonts w:ascii="Book Antiqua" w:hAnsi="Book Antiqua" w:cs="Arial"/>
          <w:color w:val="000000"/>
        </w:rPr>
        <w:t xml:space="preserve"> </w:t>
      </w:r>
      <w:r w:rsidRPr="00F42D33">
        <w:rPr>
          <w:rFonts w:ascii="Book Antiqua" w:hAnsi="Book Antiqua" w:cs="Arial"/>
          <w:color w:val="000000"/>
        </w:rPr>
        <w:t>n</w:t>
      </w:r>
      <w:r w:rsidR="005B2E6C" w:rsidRPr="00F42D33">
        <w:rPr>
          <w:rFonts w:ascii="Book Antiqua" w:hAnsi="Book Antiqua" w:cs="Arial"/>
          <w:color w:val="000000"/>
        </w:rPr>
        <w:t>o</w:t>
      </w:r>
      <w:r w:rsidRPr="00F42D33">
        <w:rPr>
          <w:rFonts w:ascii="Book Antiqua" w:hAnsi="Book Antiqua" w:cs="Arial"/>
          <w:color w:val="000000"/>
        </w:rPr>
        <w:t xml:space="preserve">t give his reasons. That is a material error of law. I set the </w:t>
      </w:r>
      <w:r w:rsidR="005B2E6C" w:rsidRPr="00F42D33">
        <w:rPr>
          <w:rFonts w:ascii="Book Antiqua" w:hAnsi="Book Antiqua" w:cs="Arial"/>
          <w:color w:val="000000"/>
        </w:rPr>
        <w:t>J</w:t>
      </w:r>
      <w:r w:rsidRPr="00F42D33">
        <w:rPr>
          <w:rFonts w:ascii="Book Antiqua" w:hAnsi="Book Antiqua" w:cs="Arial"/>
          <w:color w:val="000000"/>
        </w:rPr>
        <w:t>udge</w:t>
      </w:r>
      <w:r w:rsidR="005B2E6C" w:rsidRPr="00F42D33">
        <w:rPr>
          <w:rFonts w:ascii="Book Antiqua" w:hAnsi="Book Antiqua" w:cs="Arial"/>
          <w:color w:val="000000"/>
        </w:rPr>
        <w:t>’</w:t>
      </w:r>
      <w:r w:rsidRPr="00F42D33">
        <w:rPr>
          <w:rFonts w:ascii="Book Antiqua" w:hAnsi="Book Antiqua" w:cs="Arial"/>
          <w:color w:val="000000"/>
        </w:rPr>
        <w:t>s decision aside.</w:t>
      </w:r>
      <w:r w:rsidR="005B2E6C" w:rsidRPr="00F42D33">
        <w:rPr>
          <w:rFonts w:ascii="Book Antiqua" w:hAnsi="Book Antiqua" w:cs="Arial"/>
          <w:color w:val="000000"/>
        </w:rPr>
        <w:t xml:space="preserve"> </w:t>
      </w:r>
      <w:r w:rsidRPr="00F42D33">
        <w:rPr>
          <w:rFonts w:ascii="Book Antiqua" w:hAnsi="Book Antiqua" w:cs="Arial"/>
          <w:color w:val="000000"/>
        </w:rPr>
        <w:t xml:space="preserve"> Although I set the </w:t>
      </w:r>
      <w:r w:rsidR="005B2E6C" w:rsidRPr="00F42D33">
        <w:rPr>
          <w:rFonts w:ascii="Book Antiqua" w:hAnsi="Book Antiqua" w:cs="Arial"/>
          <w:color w:val="000000"/>
        </w:rPr>
        <w:t>J</w:t>
      </w:r>
      <w:r w:rsidRPr="00F42D33">
        <w:rPr>
          <w:rFonts w:ascii="Book Antiqua" w:hAnsi="Book Antiqua" w:cs="Arial"/>
          <w:color w:val="000000"/>
        </w:rPr>
        <w:t>udge</w:t>
      </w:r>
      <w:r w:rsidR="005B2E6C" w:rsidRPr="00F42D33">
        <w:rPr>
          <w:rFonts w:ascii="Book Antiqua" w:hAnsi="Book Antiqua" w:cs="Arial"/>
          <w:color w:val="000000"/>
        </w:rPr>
        <w:t>’</w:t>
      </w:r>
      <w:r w:rsidRPr="00F42D33">
        <w:rPr>
          <w:rFonts w:ascii="Book Antiqua" w:hAnsi="Book Antiqua" w:cs="Arial"/>
          <w:color w:val="000000"/>
        </w:rPr>
        <w:t>s decision aside there is sufficient material me to substitute my own decision.</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u w:val="single"/>
        </w:rPr>
      </w:pPr>
      <w:r w:rsidRPr="00F42D33">
        <w:rPr>
          <w:rFonts w:ascii="Book Antiqua" w:hAnsi="Book Antiqua" w:cs="Arial"/>
          <w:color w:val="000000"/>
          <w:u w:val="single"/>
        </w:rPr>
        <w:t xml:space="preserve">The </w:t>
      </w:r>
      <w:r w:rsidR="005B2E6C" w:rsidRPr="00F42D33">
        <w:rPr>
          <w:rFonts w:ascii="Book Antiqua" w:hAnsi="Book Antiqua" w:cs="Arial"/>
          <w:color w:val="000000"/>
          <w:u w:val="single"/>
        </w:rPr>
        <w:t>R</w:t>
      </w:r>
      <w:r w:rsidRPr="00F42D33">
        <w:rPr>
          <w:rFonts w:ascii="Book Antiqua" w:hAnsi="Book Antiqua" w:cs="Arial"/>
          <w:color w:val="000000"/>
          <w:u w:val="single"/>
        </w:rPr>
        <w:t xml:space="preserve">elevant </w:t>
      </w:r>
      <w:r w:rsidR="005B2E6C" w:rsidRPr="00F42D33">
        <w:rPr>
          <w:rFonts w:ascii="Book Antiqua" w:hAnsi="Book Antiqua" w:cs="Arial"/>
          <w:color w:val="000000"/>
          <w:u w:val="single"/>
        </w:rPr>
        <w:t>F</w:t>
      </w:r>
      <w:r w:rsidRPr="00F42D33">
        <w:rPr>
          <w:rFonts w:ascii="Book Antiqua" w:hAnsi="Book Antiqua" w:cs="Arial"/>
          <w:color w:val="000000"/>
          <w:u w:val="single"/>
        </w:rPr>
        <w:t>acts</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1</w:t>
      </w:r>
      <w:r w:rsidR="005B2E6C" w:rsidRPr="00F42D33">
        <w:rPr>
          <w:rFonts w:ascii="Book Antiqua" w:hAnsi="Book Antiqua" w:cs="Arial"/>
          <w:color w:val="000000"/>
        </w:rPr>
        <w:t>3</w:t>
      </w:r>
      <w:r w:rsidRPr="00F42D33">
        <w:rPr>
          <w:rFonts w:ascii="Book Antiqua" w:hAnsi="Book Antiqua" w:cs="Arial"/>
          <w:color w:val="000000"/>
        </w:rPr>
        <w:t>. The appellant entered the UK on 18 December 2010 as a student. He had leave to remain in the UK until 31</w:t>
      </w:r>
      <w:r w:rsidR="005B2E6C" w:rsidRPr="00F42D33">
        <w:rPr>
          <w:rFonts w:ascii="Book Antiqua" w:hAnsi="Book Antiqua" w:cs="Arial"/>
          <w:color w:val="000000"/>
          <w:vertAlign w:val="superscript"/>
        </w:rPr>
        <w:t xml:space="preserve"> </w:t>
      </w:r>
      <w:r w:rsidRPr="00F42D33">
        <w:rPr>
          <w:rFonts w:ascii="Book Antiqua" w:hAnsi="Book Antiqua" w:cs="Arial"/>
          <w:color w:val="000000"/>
        </w:rPr>
        <w:t>March 2014, but leave was curtailed on 27 April 2012 to expire on 26 June 2012.</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1</w:t>
      </w:r>
      <w:r w:rsidR="005B2E6C" w:rsidRPr="00F42D33">
        <w:rPr>
          <w:rFonts w:ascii="Book Antiqua" w:hAnsi="Book Antiqua" w:cs="Arial"/>
          <w:color w:val="000000"/>
        </w:rPr>
        <w:t>4</w:t>
      </w:r>
      <w:r w:rsidRPr="00F42D33">
        <w:rPr>
          <w:rFonts w:ascii="Book Antiqua" w:hAnsi="Book Antiqua" w:cs="Arial"/>
          <w:color w:val="000000"/>
        </w:rPr>
        <w:t>. The appellant was then granted leave to remain as a student from 16 December 2013 to 30 July 2014. He then applied for further leave to remain as a student in July 2014</w:t>
      </w:r>
      <w:r w:rsidR="005B2E6C" w:rsidRPr="00F42D33">
        <w:rPr>
          <w:rFonts w:ascii="Book Antiqua" w:hAnsi="Book Antiqua" w:cs="Arial"/>
          <w:color w:val="000000"/>
        </w:rPr>
        <w:t>,</w:t>
      </w:r>
      <w:r w:rsidRPr="00F42D33">
        <w:rPr>
          <w:rFonts w:ascii="Book Antiqua" w:hAnsi="Book Antiqua" w:cs="Arial"/>
          <w:color w:val="000000"/>
        </w:rPr>
        <w:t xml:space="preserve"> but that application was refused on 23 September 2014. The respondent’s decision of 23 September 2014 was not served on the appellant.</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1</w:t>
      </w:r>
      <w:r w:rsidR="005B2E6C" w:rsidRPr="00F42D33">
        <w:rPr>
          <w:rFonts w:ascii="Book Antiqua" w:hAnsi="Book Antiqua" w:cs="Arial"/>
          <w:color w:val="000000"/>
        </w:rPr>
        <w:t>5</w:t>
      </w:r>
      <w:r w:rsidRPr="00F42D33">
        <w:rPr>
          <w:rFonts w:ascii="Book Antiqua" w:hAnsi="Book Antiqua" w:cs="Arial"/>
          <w:color w:val="000000"/>
        </w:rPr>
        <w:t xml:space="preserve">. The appellant applied for leave to remain as a spouse on 16 April 2015. The respondent refused that application on 11 September 2015. It is against that decision that the appellant appeals. </w:t>
      </w:r>
      <w:r w:rsidR="00A901DF" w:rsidRPr="00F42D33">
        <w:rPr>
          <w:rFonts w:ascii="Book Antiqua" w:hAnsi="Book Antiqua" w:cs="Arial"/>
          <w:color w:val="000000"/>
        </w:rPr>
        <w:t>T</w:t>
      </w:r>
      <w:r w:rsidRPr="00F42D33">
        <w:rPr>
          <w:rFonts w:ascii="Book Antiqua" w:hAnsi="Book Antiqua" w:cs="Arial"/>
          <w:color w:val="000000"/>
        </w:rPr>
        <w:t>he re</w:t>
      </w:r>
      <w:r w:rsidR="00A901DF" w:rsidRPr="00F42D33">
        <w:rPr>
          <w:rFonts w:ascii="Book Antiqua" w:hAnsi="Book Antiqua" w:cs="Arial"/>
          <w:color w:val="000000"/>
        </w:rPr>
        <w:t>spondent’s re</w:t>
      </w:r>
      <w:r w:rsidRPr="00F42D33">
        <w:rPr>
          <w:rFonts w:ascii="Book Antiqua" w:hAnsi="Book Antiqua" w:cs="Arial"/>
          <w:color w:val="000000"/>
        </w:rPr>
        <w:t>fus</w:t>
      </w:r>
      <w:r w:rsidR="00A901DF" w:rsidRPr="00F42D33">
        <w:rPr>
          <w:rFonts w:ascii="Book Antiqua" w:hAnsi="Book Antiqua" w:cs="Arial"/>
          <w:color w:val="000000"/>
        </w:rPr>
        <w:t>ed the application because</w:t>
      </w:r>
      <w:r w:rsidRPr="00F42D33">
        <w:rPr>
          <w:rFonts w:ascii="Book Antiqua" w:hAnsi="Book Antiqua" w:cs="Arial"/>
          <w:color w:val="000000"/>
        </w:rPr>
        <w:t xml:space="preserve"> the respondent believes that the appellant fraudulently obtained </w:t>
      </w:r>
      <w:r w:rsidR="00A901DF" w:rsidRPr="00F42D33">
        <w:rPr>
          <w:rFonts w:ascii="Book Antiqua" w:hAnsi="Book Antiqua" w:cs="Arial"/>
          <w:color w:val="000000"/>
        </w:rPr>
        <w:t xml:space="preserve">an </w:t>
      </w:r>
      <w:r w:rsidRPr="00F42D33">
        <w:rPr>
          <w:rFonts w:ascii="Book Antiqua" w:hAnsi="Book Antiqua" w:cs="Arial"/>
          <w:color w:val="000000"/>
        </w:rPr>
        <w:t>English language certificate and used it in an earlier application for leave to remain submitted on 28 September 2012.</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1</w:t>
      </w:r>
      <w:r w:rsidR="00A901DF" w:rsidRPr="00F42D33">
        <w:rPr>
          <w:rFonts w:ascii="Book Antiqua" w:hAnsi="Book Antiqua" w:cs="Arial"/>
          <w:color w:val="000000"/>
        </w:rPr>
        <w:t>6</w:t>
      </w:r>
      <w:r w:rsidRPr="00F42D33">
        <w:rPr>
          <w:rFonts w:ascii="Book Antiqua" w:hAnsi="Book Antiqua" w:cs="Arial"/>
          <w:color w:val="000000"/>
        </w:rPr>
        <w:t xml:space="preserve">. </w:t>
      </w:r>
      <w:r w:rsidR="00A901DF" w:rsidRPr="00F42D33">
        <w:rPr>
          <w:rFonts w:ascii="Book Antiqua" w:hAnsi="Book Antiqua" w:cs="Arial"/>
          <w:color w:val="000000"/>
        </w:rPr>
        <w:t>On</w:t>
      </w:r>
      <w:r w:rsidRPr="00F42D33">
        <w:rPr>
          <w:rFonts w:ascii="Book Antiqua" w:hAnsi="Book Antiqua" w:cs="Arial"/>
          <w:color w:val="000000"/>
        </w:rPr>
        <w:t xml:space="preserve"> 1 July 2014 the appellant married his wife in a religious ceremony. The ceremony was followed by a civil registration ceremony taking place on 12 August 2014. The appellant’s wife is a British citizen. On 6 July 2015 the</w:t>
      </w:r>
      <w:r w:rsidR="00A901DF" w:rsidRPr="00F42D33">
        <w:rPr>
          <w:rFonts w:ascii="Book Antiqua" w:hAnsi="Book Antiqua" w:cs="Arial"/>
          <w:color w:val="000000"/>
        </w:rPr>
        <w:t>ir</w:t>
      </w:r>
      <w:r w:rsidRPr="00F42D33">
        <w:rPr>
          <w:rFonts w:ascii="Book Antiqua" w:hAnsi="Book Antiqua" w:cs="Arial"/>
          <w:color w:val="000000"/>
        </w:rPr>
        <w:t xml:space="preserve"> daughter was born. The</w:t>
      </w:r>
      <w:r w:rsidR="00A901DF" w:rsidRPr="00F42D33">
        <w:rPr>
          <w:rFonts w:ascii="Book Antiqua" w:hAnsi="Book Antiqua" w:cs="Arial"/>
          <w:color w:val="000000"/>
        </w:rPr>
        <w:t>ir</w:t>
      </w:r>
      <w:r w:rsidRPr="00F42D33">
        <w:rPr>
          <w:rFonts w:ascii="Book Antiqua" w:hAnsi="Book Antiqua" w:cs="Arial"/>
          <w:color w:val="000000"/>
        </w:rPr>
        <w:t xml:space="preserve"> daughter is a British citizen. The</w:t>
      </w:r>
      <w:r w:rsidR="00A901DF" w:rsidRPr="00F42D33">
        <w:rPr>
          <w:rFonts w:ascii="Book Antiqua" w:hAnsi="Book Antiqua" w:cs="Arial"/>
          <w:color w:val="000000"/>
        </w:rPr>
        <w:t>y</w:t>
      </w:r>
      <w:r w:rsidRPr="00F42D33">
        <w:rPr>
          <w:rFonts w:ascii="Book Antiqua" w:hAnsi="Book Antiqua" w:cs="Arial"/>
          <w:color w:val="000000"/>
        </w:rPr>
        <w:t xml:space="preserve"> now have a second child who is a British citizen.</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1</w:t>
      </w:r>
      <w:r w:rsidR="00A901DF" w:rsidRPr="00F42D33">
        <w:rPr>
          <w:rFonts w:ascii="Book Antiqua" w:hAnsi="Book Antiqua" w:cs="Arial"/>
          <w:color w:val="000000"/>
        </w:rPr>
        <w:t>7</w:t>
      </w:r>
      <w:r w:rsidRPr="00F42D33">
        <w:rPr>
          <w:rFonts w:ascii="Book Antiqua" w:hAnsi="Book Antiqua" w:cs="Arial"/>
          <w:color w:val="000000"/>
        </w:rPr>
        <w:t>. The appellant’s wife is in full-time employment. She is £19,000 per annum.</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1</w:t>
      </w:r>
      <w:r w:rsidR="00A901DF" w:rsidRPr="00F42D33">
        <w:rPr>
          <w:rFonts w:ascii="Book Antiqua" w:hAnsi="Book Antiqua" w:cs="Arial"/>
          <w:color w:val="000000"/>
        </w:rPr>
        <w:t>8</w:t>
      </w:r>
      <w:r w:rsidRPr="00F42D33">
        <w:rPr>
          <w:rFonts w:ascii="Book Antiqua" w:hAnsi="Book Antiqua" w:cs="Arial"/>
          <w:color w:val="000000"/>
        </w:rPr>
        <w:t xml:space="preserve">. In March 2015 the appellant obtained GESE grade 5 qualification in the English language from Trinity College London. The Home Office carried out an investigation into the validity of the English language test certificate relied on by the appellant. Those investigations indicated that the appellant produced an English language certificate from Portsmouth international college </w:t>
      </w:r>
      <w:r w:rsidR="00A901DF" w:rsidRPr="00F42D33">
        <w:rPr>
          <w:rFonts w:ascii="Book Antiqua" w:hAnsi="Book Antiqua" w:cs="Arial"/>
          <w:color w:val="000000"/>
        </w:rPr>
        <w:t>&amp;</w:t>
      </w:r>
      <w:r w:rsidRPr="00F42D33">
        <w:rPr>
          <w:rFonts w:ascii="Book Antiqua" w:hAnsi="Book Antiqua" w:cs="Arial"/>
          <w:color w:val="000000"/>
        </w:rPr>
        <w:t xml:space="preserve"> f</w:t>
      </w:r>
      <w:r w:rsidR="00A901DF" w:rsidRPr="00F42D33">
        <w:rPr>
          <w:rFonts w:ascii="Book Antiqua" w:hAnsi="Book Antiqua" w:cs="Arial"/>
          <w:color w:val="000000"/>
        </w:rPr>
        <w:t>ou</w:t>
      </w:r>
      <w:r w:rsidRPr="00F42D33">
        <w:rPr>
          <w:rFonts w:ascii="Book Antiqua" w:hAnsi="Book Antiqua" w:cs="Arial"/>
          <w:color w:val="000000"/>
        </w:rPr>
        <w:t>nd that the test certificate is invalid.</w:t>
      </w:r>
    </w:p>
    <w:p w:rsidR="00F402D2" w:rsidRPr="00F42D33" w:rsidRDefault="00F402D2" w:rsidP="00F402D2">
      <w:pPr>
        <w:jc w:val="both"/>
        <w:rPr>
          <w:rFonts w:ascii="Book Antiqua" w:hAnsi="Book Antiqua" w:cs="Arial"/>
          <w:color w:val="000000"/>
        </w:rPr>
      </w:pPr>
    </w:p>
    <w:p w:rsidR="00F402D2" w:rsidRPr="00F42D33" w:rsidRDefault="00A901DF" w:rsidP="00F402D2">
      <w:pPr>
        <w:jc w:val="both"/>
        <w:rPr>
          <w:rFonts w:ascii="Book Antiqua" w:hAnsi="Book Antiqua" w:cs="Arial"/>
          <w:color w:val="000000"/>
        </w:rPr>
      </w:pPr>
      <w:r w:rsidRPr="00F42D33">
        <w:rPr>
          <w:rFonts w:ascii="Book Antiqua" w:hAnsi="Book Antiqua" w:cs="Arial"/>
          <w:color w:val="000000"/>
        </w:rPr>
        <w:t>19</w:t>
      </w:r>
      <w:r w:rsidR="00F402D2" w:rsidRPr="00F42D33">
        <w:rPr>
          <w:rFonts w:ascii="Book Antiqua" w:hAnsi="Book Antiqua" w:cs="Arial"/>
          <w:color w:val="000000"/>
        </w:rPr>
        <w:t>. The appellant has never claimed to have obtained an English language test certificate from Portsmouth international college. The appellant’s position has always been that in addition to the certificate obtained from Trinity College London in March 2015 he undertook a TO</w:t>
      </w:r>
      <w:r w:rsidRPr="00F42D33">
        <w:rPr>
          <w:rFonts w:ascii="Book Antiqua" w:hAnsi="Book Antiqua" w:cs="Arial"/>
          <w:color w:val="000000"/>
        </w:rPr>
        <w:t>EI</w:t>
      </w:r>
      <w:r w:rsidR="00F402D2" w:rsidRPr="00F42D33">
        <w:rPr>
          <w:rFonts w:ascii="Book Antiqua" w:hAnsi="Book Antiqua" w:cs="Arial"/>
          <w:color w:val="000000"/>
        </w:rPr>
        <w:t>C speaking test at Training Connect limited, Holloway, London.</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lastRenderedPageBreak/>
        <w:t>2</w:t>
      </w:r>
      <w:r w:rsidR="00A901DF" w:rsidRPr="00F42D33">
        <w:rPr>
          <w:rFonts w:ascii="Book Antiqua" w:hAnsi="Book Antiqua" w:cs="Arial"/>
          <w:color w:val="000000"/>
        </w:rPr>
        <w:t>0</w:t>
      </w:r>
      <w:r w:rsidRPr="00F42D33">
        <w:rPr>
          <w:rFonts w:ascii="Book Antiqua" w:hAnsi="Book Antiqua" w:cs="Arial"/>
          <w:color w:val="000000"/>
        </w:rPr>
        <w:t xml:space="preserve">. At the hearing before the </w:t>
      </w:r>
      <w:r w:rsidR="00A901DF" w:rsidRPr="00F42D33">
        <w:rPr>
          <w:rFonts w:ascii="Book Antiqua" w:hAnsi="Book Antiqua" w:cs="Arial"/>
          <w:color w:val="000000"/>
        </w:rPr>
        <w:t>F</w:t>
      </w:r>
      <w:r w:rsidRPr="00F42D33">
        <w:rPr>
          <w:rFonts w:ascii="Book Antiqua" w:hAnsi="Book Antiqua" w:cs="Arial"/>
          <w:color w:val="000000"/>
        </w:rPr>
        <w:t xml:space="preserve">irst-tier </w:t>
      </w:r>
      <w:r w:rsidR="00A901DF" w:rsidRPr="00F42D33">
        <w:rPr>
          <w:rFonts w:ascii="Book Antiqua" w:hAnsi="Book Antiqua" w:cs="Arial"/>
          <w:color w:val="000000"/>
        </w:rPr>
        <w:t>T</w:t>
      </w:r>
      <w:r w:rsidRPr="00F42D33">
        <w:rPr>
          <w:rFonts w:ascii="Book Antiqua" w:hAnsi="Book Antiqua" w:cs="Arial"/>
          <w:color w:val="000000"/>
        </w:rPr>
        <w:t>ribunal on 20 October 2017</w:t>
      </w:r>
      <w:r w:rsidR="00A901DF" w:rsidRPr="00F42D33">
        <w:rPr>
          <w:rFonts w:ascii="Book Antiqua" w:hAnsi="Book Antiqua" w:cs="Arial"/>
          <w:color w:val="000000"/>
        </w:rPr>
        <w:t>,</w:t>
      </w:r>
      <w:r w:rsidRPr="00F42D33">
        <w:rPr>
          <w:rFonts w:ascii="Book Antiqua" w:hAnsi="Book Antiqua" w:cs="Arial"/>
          <w:color w:val="000000"/>
        </w:rPr>
        <w:t xml:space="preserve"> the respondent did not produce any evidence in relation to the English language test certificate relied on by the appellant </w:t>
      </w:r>
      <w:r w:rsidR="00A901DF" w:rsidRPr="00F42D33">
        <w:rPr>
          <w:rFonts w:ascii="Book Antiqua" w:hAnsi="Book Antiqua" w:cs="Arial"/>
          <w:color w:val="000000"/>
        </w:rPr>
        <w:t>nor did</w:t>
      </w:r>
      <w:r w:rsidRPr="00F42D33">
        <w:rPr>
          <w:rFonts w:ascii="Book Antiqua" w:hAnsi="Book Antiqua" w:cs="Arial"/>
          <w:color w:val="000000"/>
        </w:rPr>
        <w:t xml:space="preserve"> the respondent produce a copy of the application submitted by the appellant on 28 September 2012.</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2</w:t>
      </w:r>
      <w:r w:rsidR="00A901DF" w:rsidRPr="00F42D33">
        <w:rPr>
          <w:rFonts w:ascii="Book Antiqua" w:hAnsi="Book Antiqua" w:cs="Arial"/>
          <w:color w:val="000000"/>
        </w:rPr>
        <w:t>1</w:t>
      </w:r>
      <w:r w:rsidRPr="00F42D33">
        <w:rPr>
          <w:rFonts w:ascii="Book Antiqua" w:hAnsi="Book Antiqua" w:cs="Arial"/>
          <w:color w:val="000000"/>
        </w:rPr>
        <w:t>. The appellant’s wife has visited Bangladesh on holiday. She felt unsettled and unsafe there. The appellant’s wife is a British citizen who is entirely immersed in British culture. The appellant’s wife does not want to go to Bangladesh. She fears for her safety and the safety of their children in Bangladesh.</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u w:val="single"/>
        </w:rPr>
      </w:pPr>
      <w:r w:rsidRPr="00F42D33">
        <w:rPr>
          <w:rFonts w:ascii="Book Antiqua" w:hAnsi="Book Antiqua" w:cs="Arial"/>
          <w:color w:val="000000"/>
          <w:u w:val="single"/>
        </w:rPr>
        <w:t>Conclusions</w:t>
      </w:r>
    </w:p>
    <w:p w:rsidR="00687393" w:rsidRPr="00F42D33" w:rsidRDefault="00687393"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2</w:t>
      </w:r>
      <w:r w:rsidR="00687393" w:rsidRPr="00F42D33">
        <w:rPr>
          <w:rFonts w:ascii="Book Antiqua" w:hAnsi="Book Antiqua" w:cs="Arial"/>
          <w:color w:val="000000"/>
        </w:rPr>
        <w:t>2</w:t>
      </w:r>
      <w:r w:rsidRPr="00F42D33">
        <w:rPr>
          <w:rFonts w:ascii="Book Antiqua" w:hAnsi="Book Antiqua" w:cs="Arial"/>
          <w:color w:val="000000"/>
        </w:rPr>
        <w:t xml:space="preserve">. The only evidence the respondent produces to support the assertion that the appellant </w:t>
      </w:r>
      <w:r w:rsidR="00687393" w:rsidRPr="00F42D33">
        <w:rPr>
          <w:rFonts w:ascii="Book Antiqua" w:hAnsi="Book Antiqua" w:cs="Arial"/>
          <w:color w:val="000000"/>
        </w:rPr>
        <w:t>h</w:t>
      </w:r>
      <w:r w:rsidRPr="00F42D33">
        <w:rPr>
          <w:rFonts w:ascii="Book Antiqua" w:hAnsi="Book Antiqua" w:cs="Arial"/>
          <w:color w:val="000000"/>
        </w:rPr>
        <w:t>as fraudulently obtained an English language test certificate is contained within the respondent PF</w:t>
      </w:r>
      <w:r w:rsidR="00687393" w:rsidRPr="00F42D33">
        <w:rPr>
          <w:rFonts w:ascii="Book Antiqua" w:hAnsi="Book Antiqua" w:cs="Arial"/>
          <w:color w:val="000000"/>
        </w:rPr>
        <w:t>1</w:t>
      </w:r>
      <w:r w:rsidRPr="00F42D33">
        <w:rPr>
          <w:rFonts w:ascii="Book Antiqua" w:hAnsi="Book Antiqua" w:cs="Arial"/>
          <w:color w:val="000000"/>
        </w:rPr>
        <w:t xml:space="preserve"> bundle. It is very difficult to make any sense of the documents</w:t>
      </w:r>
      <w:r w:rsidR="00687393" w:rsidRPr="00F42D33">
        <w:rPr>
          <w:rFonts w:ascii="Book Antiqua" w:hAnsi="Book Antiqua" w:cs="Arial"/>
          <w:color w:val="000000"/>
        </w:rPr>
        <w:t xml:space="preserve"> at</w:t>
      </w:r>
      <w:r w:rsidRPr="00F42D33">
        <w:rPr>
          <w:rFonts w:ascii="Book Antiqua" w:hAnsi="Book Antiqua" w:cs="Arial"/>
          <w:color w:val="000000"/>
        </w:rPr>
        <w:t xml:space="preserve"> annexe F there</w:t>
      </w:r>
      <w:r w:rsidR="00687393" w:rsidRPr="00F42D33">
        <w:rPr>
          <w:rFonts w:ascii="Book Antiqua" w:hAnsi="Book Antiqua" w:cs="Arial"/>
          <w:color w:val="000000"/>
        </w:rPr>
        <w:t>. T</w:t>
      </w:r>
      <w:r w:rsidRPr="00F42D33">
        <w:rPr>
          <w:rFonts w:ascii="Book Antiqua" w:hAnsi="Book Antiqua" w:cs="Arial"/>
          <w:color w:val="000000"/>
        </w:rPr>
        <w:t>he</w:t>
      </w:r>
      <w:r w:rsidR="00687393" w:rsidRPr="00F42D33">
        <w:rPr>
          <w:rFonts w:ascii="Book Antiqua" w:hAnsi="Book Antiqua" w:cs="Arial"/>
          <w:color w:val="000000"/>
        </w:rPr>
        <w:t>re is</w:t>
      </w:r>
      <w:r w:rsidRPr="00F42D33">
        <w:rPr>
          <w:rFonts w:ascii="Book Antiqua" w:hAnsi="Book Antiqua" w:cs="Arial"/>
          <w:color w:val="000000"/>
        </w:rPr>
        <w:t xml:space="preserve"> one document entitled </w:t>
      </w:r>
      <w:r w:rsidR="00687393" w:rsidRPr="00F42D33">
        <w:rPr>
          <w:rFonts w:ascii="Book Antiqua" w:hAnsi="Book Antiqua" w:cs="Arial"/>
          <w:color w:val="000000"/>
        </w:rPr>
        <w:t>“</w:t>
      </w:r>
      <w:r w:rsidRPr="00F42D33">
        <w:rPr>
          <w:rFonts w:ascii="Book Antiqua" w:hAnsi="Book Antiqua" w:cs="Arial"/>
          <w:color w:val="000000"/>
        </w:rPr>
        <w:t>ETS invalid test analysis</w:t>
      </w:r>
      <w:r w:rsidR="00687393" w:rsidRPr="00F42D33">
        <w:rPr>
          <w:rFonts w:ascii="Book Antiqua" w:hAnsi="Book Antiqua" w:cs="Arial"/>
          <w:color w:val="000000"/>
        </w:rPr>
        <w:t>”</w:t>
      </w:r>
      <w:r w:rsidRPr="00F42D33">
        <w:rPr>
          <w:rFonts w:ascii="Book Antiqua" w:hAnsi="Book Antiqua" w:cs="Arial"/>
          <w:color w:val="000000"/>
        </w:rPr>
        <w:t>. That document contains the appellants details, including the date of his application</w:t>
      </w:r>
      <w:r w:rsidR="00687393" w:rsidRPr="00F42D33">
        <w:rPr>
          <w:rFonts w:ascii="Book Antiqua" w:hAnsi="Book Antiqua" w:cs="Arial"/>
          <w:color w:val="000000"/>
        </w:rPr>
        <w:t xml:space="preserve"> in</w:t>
      </w:r>
      <w:r w:rsidRPr="00F42D33">
        <w:rPr>
          <w:rFonts w:ascii="Book Antiqua" w:hAnsi="Book Antiqua" w:cs="Arial"/>
          <w:color w:val="000000"/>
        </w:rPr>
        <w:t xml:space="preserve"> September 2012, and the date that he took an English language test.</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2</w:t>
      </w:r>
      <w:r w:rsidR="00687393" w:rsidRPr="00F42D33">
        <w:rPr>
          <w:rFonts w:ascii="Book Antiqua" w:hAnsi="Book Antiqua" w:cs="Arial"/>
          <w:color w:val="000000"/>
        </w:rPr>
        <w:t>3</w:t>
      </w:r>
      <w:r w:rsidRPr="00F42D33">
        <w:rPr>
          <w:rFonts w:ascii="Book Antiqua" w:hAnsi="Book Antiqua" w:cs="Arial"/>
          <w:color w:val="000000"/>
        </w:rPr>
        <w:t xml:space="preserve">. The </w:t>
      </w:r>
      <w:r w:rsidR="00687393" w:rsidRPr="00F42D33">
        <w:rPr>
          <w:rFonts w:ascii="Book Antiqua" w:hAnsi="Book Antiqua" w:cs="Arial"/>
          <w:color w:val="000000"/>
        </w:rPr>
        <w:t>“E</w:t>
      </w:r>
      <w:r w:rsidRPr="00F42D33">
        <w:rPr>
          <w:rFonts w:ascii="Book Antiqua" w:hAnsi="Book Antiqua" w:cs="Arial"/>
          <w:color w:val="000000"/>
        </w:rPr>
        <w:t>TS invalid test analysis</w:t>
      </w:r>
      <w:r w:rsidR="00687393" w:rsidRPr="00F42D33">
        <w:rPr>
          <w:rFonts w:ascii="Book Antiqua" w:hAnsi="Book Antiqua" w:cs="Arial"/>
          <w:color w:val="000000"/>
        </w:rPr>
        <w:t>”</w:t>
      </w:r>
      <w:r w:rsidRPr="00F42D33">
        <w:rPr>
          <w:rFonts w:ascii="Book Antiqua" w:hAnsi="Book Antiqua" w:cs="Arial"/>
          <w:color w:val="000000"/>
        </w:rPr>
        <w:t xml:space="preserve"> says that the appellant’s English language test is invalid and that the test centre is Portsmouth </w:t>
      </w:r>
      <w:r w:rsidR="00687393" w:rsidRPr="00F42D33">
        <w:rPr>
          <w:rFonts w:ascii="Book Antiqua" w:hAnsi="Book Antiqua" w:cs="Arial"/>
          <w:color w:val="000000"/>
        </w:rPr>
        <w:t>I</w:t>
      </w:r>
      <w:r w:rsidRPr="00F42D33">
        <w:rPr>
          <w:rFonts w:ascii="Book Antiqua" w:hAnsi="Book Antiqua" w:cs="Arial"/>
          <w:color w:val="000000"/>
        </w:rPr>
        <w:t xml:space="preserve">nternational </w:t>
      </w:r>
      <w:r w:rsidR="00687393" w:rsidRPr="00F42D33">
        <w:rPr>
          <w:rFonts w:ascii="Book Antiqua" w:hAnsi="Book Antiqua" w:cs="Arial"/>
          <w:color w:val="000000"/>
        </w:rPr>
        <w:t>C</w:t>
      </w:r>
      <w:r w:rsidRPr="00F42D33">
        <w:rPr>
          <w:rFonts w:ascii="Book Antiqua" w:hAnsi="Book Antiqua" w:cs="Arial"/>
          <w:color w:val="000000"/>
        </w:rPr>
        <w:t xml:space="preserve">ollege. It has never been the appellant’s case that he attended Portsmouth </w:t>
      </w:r>
      <w:r w:rsidR="00687393" w:rsidRPr="00F42D33">
        <w:rPr>
          <w:rFonts w:ascii="Book Antiqua" w:hAnsi="Book Antiqua" w:cs="Arial"/>
          <w:color w:val="000000"/>
        </w:rPr>
        <w:t>I</w:t>
      </w:r>
      <w:r w:rsidRPr="00F42D33">
        <w:rPr>
          <w:rFonts w:ascii="Book Antiqua" w:hAnsi="Book Antiqua" w:cs="Arial"/>
          <w:color w:val="000000"/>
        </w:rPr>
        <w:t xml:space="preserve">nternational </w:t>
      </w:r>
      <w:r w:rsidR="00687393" w:rsidRPr="00F42D33">
        <w:rPr>
          <w:rFonts w:ascii="Book Antiqua" w:hAnsi="Book Antiqua" w:cs="Arial"/>
          <w:color w:val="000000"/>
        </w:rPr>
        <w:t>C</w:t>
      </w:r>
      <w:r w:rsidRPr="00F42D33">
        <w:rPr>
          <w:rFonts w:ascii="Book Antiqua" w:hAnsi="Book Antiqua" w:cs="Arial"/>
          <w:color w:val="000000"/>
        </w:rPr>
        <w:t>ollege.</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2</w:t>
      </w:r>
      <w:r w:rsidR="00687393" w:rsidRPr="00F42D33">
        <w:rPr>
          <w:rFonts w:ascii="Book Antiqua" w:hAnsi="Book Antiqua" w:cs="Arial"/>
          <w:color w:val="000000"/>
        </w:rPr>
        <w:t>4</w:t>
      </w:r>
      <w:r w:rsidRPr="00F42D33">
        <w:rPr>
          <w:rFonts w:ascii="Book Antiqua" w:hAnsi="Book Antiqua" w:cs="Arial"/>
          <w:color w:val="000000"/>
        </w:rPr>
        <w:t xml:space="preserve">. No other evidence (not even the usual generic bundle for </w:t>
      </w:r>
      <w:r w:rsidR="00687393" w:rsidRPr="00F42D33">
        <w:rPr>
          <w:rFonts w:ascii="Book Antiqua" w:hAnsi="Book Antiqua" w:cs="Arial"/>
          <w:color w:val="000000"/>
        </w:rPr>
        <w:t>E</w:t>
      </w:r>
      <w:r w:rsidRPr="00F42D33">
        <w:rPr>
          <w:rFonts w:ascii="Book Antiqua" w:hAnsi="Book Antiqua" w:cs="Arial"/>
          <w:color w:val="000000"/>
        </w:rPr>
        <w:t>TS cases) is produced. All parties agree that the initial burden of proof rests with the respondent. The respondent cannot discharge the burden of proof by producing an analysis document linking the appellant to</w:t>
      </w:r>
      <w:r w:rsidR="00C375A8" w:rsidRPr="00F42D33">
        <w:rPr>
          <w:rFonts w:ascii="Book Antiqua" w:hAnsi="Book Antiqua" w:cs="Arial"/>
          <w:color w:val="000000"/>
        </w:rPr>
        <w:t xml:space="preserve"> a</w:t>
      </w:r>
      <w:r w:rsidRPr="00F42D33">
        <w:rPr>
          <w:rFonts w:ascii="Book Antiqua" w:hAnsi="Book Antiqua" w:cs="Arial"/>
          <w:color w:val="000000"/>
        </w:rPr>
        <w:t xml:space="preserve"> test centre that he has never attended. Because of the paucity of evidence</w:t>
      </w:r>
      <w:r w:rsidR="00C375A8" w:rsidRPr="00F42D33">
        <w:rPr>
          <w:rFonts w:ascii="Book Antiqua" w:hAnsi="Book Antiqua" w:cs="Arial"/>
          <w:color w:val="000000"/>
        </w:rPr>
        <w:t>,</w:t>
      </w:r>
      <w:r w:rsidRPr="00F42D33">
        <w:rPr>
          <w:rFonts w:ascii="Book Antiqua" w:hAnsi="Book Antiqua" w:cs="Arial"/>
          <w:color w:val="000000"/>
        </w:rPr>
        <w:t xml:space="preserve"> the </w:t>
      </w:r>
      <w:r w:rsidR="00C375A8" w:rsidRPr="00F42D33">
        <w:rPr>
          <w:rFonts w:ascii="Book Antiqua" w:hAnsi="Book Antiqua" w:cs="Arial"/>
          <w:color w:val="000000"/>
        </w:rPr>
        <w:t xml:space="preserve">initial </w:t>
      </w:r>
      <w:r w:rsidRPr="00F42D33">
        <w:rPr>
          <w:rFonts w:ascii="Book Antiqua" w:hAnsi="Book Antiqua" w:cs="Arial"/>
          <w:color w:val="000000"/>
        </w:rPr>
        <w:t>burden of proof is not discharged by the</w:t>
      </w:r>
      <w:r w:rsidR="00C375A8" w:rsidRPr="00F42D33">
        <w:rPr>
          <w:rFonts w:ascii="Book Antiqua" w:hAnsi="Book Antiqua" w:cs="Arial"/>
          <w:color w:val="000000"/>
        </w:rPr>
        <w:t xml:space="preserve"> responde</w:t>
      </w:r>
      <w:r w:rsidRPr="00F42D33">
        <w:rPr>
          <w:rFonts w:ascii="Book Antiqua" w:hAnsi="Book Antiqua" w:cs="Arial"/>
          <w:color w:val="000000"/>
        </w:rPr>
        <w:t xml:space="preserve">nt, so that the allegation of obtaining </w:t>
      </w:r>
      <w:r w:rsidR="00C375A8" w:rsidRPr="00F42D33">
        <w:rPr>
          <w:rFonts w:ascii="Book Antiqua" w:hAnsi="Book Antiqua" w:cs="Arial"/>
          <w:color w:val="000000"/>
        </w:rPr>
        <w:t xml:space="preserve">an </w:t>
      </w:r>
      <w:r w:rsidRPr="00F42D33">
        <w:rPr>
          <w:rFonts w:ascii="Book Antiqua" w:hAnsi="Book Antiqua" w:cs="Arial"/>
          <w:color w:val="000000"/>
        </w:rPr>
        <w:t>English-language certificate by using a proxy test taker is not established.</w:t>
      </w:r>
    </w:p>
    <w:p w:rsidR="00F402D2" w:rsidRPr="00F42D33" w:rsidRDefault="00F402D2" w:rsidP="00F402D2">
      <w:pPr>
        <w:jc w:val="both"/>
        <w:rPr>
          <w:rFonts w:ascii="Book Antiqua" w:hAnsi="Book Antiqua" w:cs="Arial"/>
          <w:color w:val="000000"/>
        </w:rPr>
      </w:pPr>
    </w:p>
    <w:p w:rsidR="00F402D2" w:rsidRPr="00F42D33" w:rsidRDefault="00F402D2" w:rsidP="00F402D2">
      <w:pPr>
        <w:jc w:val="both"/>
        <w:rPr>
          <w:rFonts w:ascii="Book Antiqua" w:hAnsi="Book Antiqua" w:cs="Arial"/>
          <w:color w:val="000000"/>
        </w:rPr>
      </w:pPr>
      <w:r w:rsidRPr="00F42D33">
        <w:rPr>
          <w:rFonts w:ascii="Book Antiqua" w:hAnsi="Book Antiqua" w:cs="Arial"/>
          <w:color w:val="000000"/>
        </w:rPr>
        <w:t>2</w:t>
      </w:r>
      <w:r w:rsidR="00C375A8" w:rsidRPr="00F42D33">
        <w:rPr>
          <w:rFonts w:ascii="Book Antiqua" w:hAnsi="Book Antiqua" w:cs="Arial"/>
          <w:color w:val="000000"/>
        </w:rPr>
        <w:t>5</w:t>
      </w:r>
      <w:r w:rsidRPr="00F42D33">
        <w:rPr>
          <w:rFonts w:ascii="Book Antiqua" w:hAnsi="Book Antiqua" w:cs="Arial"/>
          <w:color w:val="000000"/>
        </w:rPr>
        <w:t>. It is beyond dispute that the appellant’s wife and two children are British citizens.</w:t>
      </w:r>
    </w:p>
    <w:p w:rsidR="00F402D2" w:rsidRPr="00F42D33" w:rsidRDefault="00F402D2" w:rsidP="00F402D2">
      <w:pPr>
        <w:jc w:val="both"/>
        <w:rPr>
          <w:rFonts w:ascii="Book Antiqua" w:hAnsi="Book Antiqua" w:cs="Arial"/>
          <w:color w:val="000000"/>
        </w:rPr>
      </w:pPr>
    </w:p>
    <w:p w:rsidR="00C375A8" w:rsidRPr="00F42D33" w:rsidRDefault="00F402D2" w:rsidP="00C375A8">
      <w:pPr>
        <w:jc w:val="both"/>
        <w:rPr>
          <w:rFonts w:ascii="Book Antiqua" w:hAnsi="Book Antiqua" w:cs="Arial"/>
        </w:rPr>
      </w:pPr>
      <w:r w:rsidRPr="00F42D33">
        <w:rPr>
          <w:rFonts w:ascii="Book Antiqua" w:hAnsi="Book Antiqua" w:cs="Arial"/>
          <w:color w:val="000000"/>
        </w:rPr>
        <w:t>2</w:t>
      </w:r>
      <w:r w:rsidR="00C375A8" w:rsidRPr="00F42D33">
        <w:rPr>
          <w:rFonts w:ascii="Book Antiqua" w:hAnsi="Book Antiqua" w:cs="Arial"/>
          <w:color w:val="000000"/>
        </w:rPr>
        <w:t xml:space="preserve">6. </w:t>
      </w:r>
      <w:r w:rsidR="00C375A8" w:rsidRPr="00F42D33">
        <w:rPr>
          <w:rFonts w:ascii="Book Antiqua" w:hAnsi="Book Antiqua" w:cs="Arial"/>
        </w:rPr>
        <w:t>The respondent’s IDIs on Family Migration deals with British children at Paragraph 11.2.3. The August 2015 version</w:t>
      </w:r>
      <w:r w:rsidR="009343DB">
        <w:rPr>
          <w:rFonts w:ascii="Book Antiqua" w:hAnsi="Book Antiqua" w:cs="Arial"/>
        </w:rPr>
        <w:t xml:space="preserve"> (The decision in this case was made in September 2015)</w:t>
      </w:r>
      <w:r w:rsidR="00C375A8" w:rsidRPr="00F42D33">
        <w:rPr>
          <w:rFonts w:ascii="Book Antiqua" w:hAnsi="Book Antiqua" w:cs="Arial"/>
        </w:rPr>
        <w:t xml:space="preserve"> states that, save in cases involving criminality, the decision maker must not take a decision in relation to the parent or primary carer of a British Citizen child where the effect of that decision would be to force that British child to leave the EU, regardless of the age of that child. However, it also states that "</w:t>
      </w:r>
      <w:r w:rsidR="00C375A8" w:rsidRPr="00F42D33">
        <w:rPr>
          <w:rFonts w:ascii="Book Antiqua" w:hAnsi="Book Antiqua" w:cs="Arial"/>
          <w:i/>
        </w:rPr>
        <w:t xml:space="preserve">where a decision to refuse the application would require a parent or primary carer to return to a country </w:t>
      </w:r>
      <w:r w:rsidR="00C375A8" w:rsidRPr="00F42D33">
        <w:rPr>
          <w:rFonts w:ascii="Book Antiqua" w:hAnsi="Book Antiqua" w:cs="Arial"/>
          <w:bCs/>
          <w:i/>
        </w:rPr>
        <w:t>outside the EU,</w:t>
      </w:r>
      <w:r w:rsidR="00C375A8" w:rsidRPr="00F42D33">
        <w:rPr>
          <w:rFonts w:ascii="Book Antiqua" w:hAnsi="Book Antiqua" w:cs="Arial"/>
          <w:b/>
          <w:bCs/>
          <w:i/>
        </w:rPr>
        <w:t xml:space="preserve"> </w:t>
      </w:r>
      <w:r w:rsidR="00C375A8" w:rsidRPr="00F42D33">
        <w:rPr>
          <w:rFonts w:ascii="Book Antiqua" w:hAnsi="Book Antiqua" w:cs="Arial"/>
          <w:i/>
        </w:rPr>
        <w:t>the case must always be assessed on the basis that it would be unreasonable to expect a British Citizen child to leave the EU with that parent or primary carer</w:t>
      </w:r>
      <w:r w:rsidR="00C375A8" w:rsidRPr="00F42D33">
        <w:rPr>
          <w:rFonts w:ascii="Book Antiqua" w:hAnsi="Book Antiqua" w:cs="Arial"/>
        </w:rPr>
        <w:t>".</w:t>
      </w:r>
    </w:p>
    <w:p w:rsidR="00C375A8" w:rsidRPr="00C375A8" w:rsidRDefault="00C375A8" w:rsidP="00C375A8">
      <w:pPr>
        <w:autoSpaceDE w:val="0"/>
        <w:autoSpaceDN w:val="0"/>
        <w:adjustRightInd w:val="0"/>
        <w:jc w:val="both"/>
        <w:rPr>
          <w:rFonts w:ascii="Book Antiqua" w:hAnsi="Book Antiqua" w:cs="Arial"/>
          <w:color w:val="000000"/>
        </w:rPr>
      </w:pPr>
    </w:p>
    <w:p w:rsidR="00C375A8" w:rsidRPr="00C375A8" w:rsidRDefault="00C375A8" w:rsidP="00C375A8">
      <w:pPr>
        <w:autoSpaceDE w:val="0"/>
        <w:autoSpaceDN w:val="0"/>
        <w:adjustRightInd w:val="0"/>
        <w:jc w:val="both"/>
        <w:rPr>
          <w:rFonts w:ascii="Book Antiqua" w:hAnsi="Book Antiqua" w:cs="Georgia"/>
          <w:lang w:eastAsia="en-US"/>
        </w:rPr>
      </w:pPr>
      <w:r w:rsidRPr="00F42D33">
        <w:rPr>
          <w:rFonts w:ascii="Book Antiqua" w:hAnsi="Book Antiqua" w:cs="Arial"/>
          <w:color w:val="000000"/>
          <w:lang w:eastAsia="en-US"/>
        </w:rPr>
        <w:t>27</w:t>
      </w:r>
      <w:r w:rsidRPr="00C375A8">
        <w:rPr>
          <w:rFonts w:ascii="Book Antiqua" w:hAnsi="Book Antiqua" w:cs="Arial"/>
          <w:color w:val="000000"/>
          <w:lang w:eastAsia="en-US"/>
        </w:rPr>
        <w:t xml:space="preserve">. The Upper Tribunal in </w:t>
      </w:r>
      <w:r w:rsidRPr="00C375A8">
        <w:rPr>
          <w:rFonts w:ascii="Book Antiqua" w:hAnsi="Book Antiqua" w:cs="Arial"/>
          <w:color w:val="000000"/>
          <w:u w:val="single"/>
          <w:lang w:eastAsia="en-US"/>
        </w:rPr>
        <w:t>SF and others (Guidance, post-2014 Act) Albania</w:t>
      </w:r>
      <w:r w:rsidRPr="00C375A8">
        <w:rPr>
          <w:rFonts w:ascii="Book Antiqua" w:hAnsi="Book Antiqua" w:cs="Arial"/>
          <w:color w:val="000000"/>
          <w:lang w:eastAsia="en-US"/>
        </w:rPr>
        <w:t xml:space="preserve"> [2017] UKUT 00120 (IAC) held, considering this guidance, that e</w:t>
      </w:r>
      <w:r w:rsidRPr="00C375A8">
        <w:rPr>
          <w:rFonts w:ascii="Book Antiqua" w:hAnsi="Book Antiqua" w:cs="Arial"/>
          <w:iCs/>
          <w:lang w:eastAsia="en-US"/>
        </w:rPr>
        <w:t xml:space="preserve">ven in the absence of a “not in accordance with the law” ground of appeal, the Tribunal ought to take the Secretary </w:t>
      </w:r>
      <w:r w:rsidRPr="00C375A8">
        <w:rPr>
          <w:rFonts w:ascii="Book Antiqua" w:hAnsi="Book Antiqua" w:cs="Arial"/>
          <w:iCs/>
          <w:lang w:eastAsia="en-US"/>
        </w:rPr>
        <w:lastRenderedPageBreak/>
        <w:t>of State’s guidance into account if it points clearly to a particular outcome in the instant case.  Only in that way can consistency be obtained between those cases that do, and those cases that do not, come before the Tribunal</w:t>
      </w:r>
    </w:p>
    <w:p w:rsidR="00C375A8" w:rsidRPr="00C375A8" w:rsidRDefault="00C375A8" w:rsidP="00C375A8">
      <w:pPr>
        <w:spacing w:before="100" w:beforeAutospacing="1" w:after="100" w:afterAutospacing="1"/>
        <w:rPr>
          <w:rFonts w:ascii="Book Antiqua" w:hAnsi="Book Antiqua"/>
        </w:rPr>
      </w:pPr>
      <w:r w:rsidRPr="00F42D33">
        <w:rPr>
          <w:rFonts w:ascii="Book Antiqua" w:hAnsi="Book Antiqua" w:cs="Arial"/>
          <w:color w:val="000000"/>
        </w:rPr>
        <w:t>28</w:t>
      </w:r>
      <w:r w:rsidRPr="00C375A8">
        <w:rPr>
          <w:rFonts w:ascii="Book Antiqua" w:hAnsi="Book Antiqua" w:cs="Arial"/>
          <w:color w:val="000000"/>
        </w:rPr>
        <w:t xml:space="preserve">. </w:t>
      </w:r>
      <w:r w:rsidRPr="00C375A8">
        <w:rPr>
          <w:rFonts w:ascii="Book Antiqua" w:hAnsi="Book Antiqua"/>
        </w:rPr>
        <w:t>E-LTRPT.2.2. says</w:t>
      </w:r>
    </w:p>
    <w:p w:rsidR="00C375A8" w:rsidRPr="00C375A8" w:rsidRDefault="00C375A8" w:rsidP="0040363F">
      <w:pPr>
        <w:spacing w:before="120" w:after="120"/>
        <w:ind w:left="360"/>
        <w:rPr>
          <w:rFonts w:ascii="Book Antiqua" w:hAnsi="Book Antiqua"/>
          <w:sz w:val="22"/>
          <w:szCs w:val="22"/>
        </w:rPr>
      </w:pPr>
      <w:r w:rsidRPr="00C375A8">
        <w:rPr>
          <w:rFonts w:ascii="Book Antiqua" w:hAnsi="Book Antiqua"/>
          <w:sz w:val="22"/>
          <w:szCs w:val="22"/>
        </w:rPr>
        <w:t>The child of the applicant must be-</w:t>
      </w:r>
    </w:p>
    <w:p w:rsidR="00C375A8" w:rsidRPr="00C375A8" w:rsidRDefault="00C375A8" w:rsidP="0040363F">
      <w:pPr>
        <w:spacing w:before="120" w:after="120"/>
        <w:ind w:left="1080"/>
        <w:rPr>
          <w:rFonts w:ascii="Book Antiqua" w:hAnsi="Book Antiqua"/>
          <w:sz w:val="22"/>
          <w:szCs w:val="22"/>
        </w:rPr>
      </w:pPr>
      <w:r w:rsidRPr="00C375A8">
        <w:rPr>
          <w:rFonts w:ascii="Book Antiqua" w:hAnsi="Book Antiqua"/>
          <w:sz w:val="22"/>
          <w:szCs w:val="22"/>
        </w:rPr>
        <w:t>(a) under the age of 18 years at the date of application, or where the child has turned 18 years of age since the applicant was first granted entry clearance or leave to remain as a parent under this Appendix, must not have formed an independent family unit or be leading an independent life;</w:t>
      </w:r>
    </w:p>
    <w:p w:rsidR="00C375A8" w:rsidRPr="00C375A8" w:rsidRDefault="00C375A8" w:rsidP="0040363F">
      <w:pPr>
        <w:spacing w:before="120" w:after="120"/>
        <w:ind w:left="1080"/>
        <w:rPr>
          <w:rFonts w:ascii="Book Antiqua" w:hAnsi="Book Antiqua"/>
          <w:sz w:val="22"/>
          <w:szCs w:val="22"/>
        </w:rPr>
      </w:pPr>
      <w:r w:rsidRPr="00C375A8">
        <w:rPr>
          <w:rFonts w:ascii="Book Antiqua" w:hAnsi="Book Antiqua"/>
          <w:sz w:val="22"/>
          <w:szCs w:val="22"/>
        </w:rPr>
        <w:t>(b) living in the UK; and</w:t>
      </w:r>
    </w:p>
    <w:p w:rsidR="00C375A8" w:rsidRPr="00C375A8" w:rsidRDefault="00C375A8" w:rsidP="0040363F">
      <w:pPr>
        <w:spacing w:before="120" w:after="120"/>
        <w:ind w:left="1080"/>
        <w:rPr>
          <w:rFonts w:ascii="Book Antiqua" w:hAnsi="Book Antiqua"/>
          <w:sz w:val="22"/>
          <w:szCs w:val="22"/>
        </w:rPr>
      </w:pPr>
      <w:r w:rsidRPr="00C375A8">
        <w:rPr>
          <w:rFonts w:ascii="Book Antiqua" w:hAnsi="Book Antiqua"/>
          <w:sz w:val="22"/>
          <w:szCs w:val="22"/>
        </w:rPr>
        <w:t>(c) a British Citizen or settled in the UK; or</w:t>
      </w:r>
    </w:p>
    <w:p w:rsidR="00C375A8" w:rsidRPr="00C375A8" w:rsidRDefault="00C375A8" w:rsidP="0040363F">
      <w:pPr>
        <w:spacing w:before="120" w:after="120"/>
        <w:ind w:left="1080"/>
        <w:rPr>
          <w:rFonts w:ascii="Book Antiqua" w:hAnsi="Book Antiqua"/>
          <w:sz w:val="22"/>
          <w:szCs w:val="22"/>
        </w:rPr>
      </w:pPr>
      <w:r w:rsidRPr="00C375A8">
        <w:rPr>
          <w:rFonts w:ascii="Book Antiqua" w:hAnsi="Book Antiqua"/>
          <w:sz w:val="22"/>
          <w:szCs w:val="22"/>
        </w:rPr>
        <w:t>(d) has lived in the UK continuously for at least the 7 years immediately preceding the date of application and paragraph EX.1. applies.</w:t>
      </w:r>
    </w:p>
    <w:p w:rsidR="00C375A8" w:rsidRPr="00C375A8" w:rsidRDefault="00C375A8" w:rsidP="00C375A8">
      <w:pPr>
        <w:spacing w:before="100" w:beforeAutospacing="1" w:after="100" w:afterAutospacing="1"/>
        <w:rPr>
          <w:rFonts w:ascii="Book Antiqua" w:hAnsi="Book Antiqua"/>
        </w:rPr>
      </w:pPr>
      <w:r w:rsidRPr="00C375A8">
        <w:rPr>
          <w:rFonts w:ascii="Book Antiqua" w:hAnsi="Book Antiqua" w:cs="Arial"/>
          <w:color w:val="000000"/>
        </w:rPr>
        <w:t>2</w:t>
      </w:r>
      <w:r w:rsidRPr="00F42D33">
        <w:rPr>
          <w:rFonts w:ascii="Book Antiqua" w:hAnsi="Book Antiqua" w:cs="Arial"/>
          <w:color w:val="000000"/>
        </w:rPr>
        <w:t>9</w:t>
      </w:r>
      <w:r w:rsidRPr="00C375A8">
        <w:rPr>
          <w:rFonts w:ascii="Book Antiqua" w:hAnsi="Book Antiqua" w:cs="Arial"/>
          <w:color w:val="000000"/>
        </w:rPr>
        <w:t xml:space="preserve">. </w:t>
      </w:r>
      <w:r w:rsidRPr="00C375A8">
        <w:rPr>
          <w:rFonts w:ascii="Book Antiqua" w:hAnsi="Book Antiqua"/>
        </w:rPr>
        <w:t>E-LTRPT.2.4. says</w:t>
      </w:r>
    </w:p>
    <w:p w:rsidR="00C375A8" w:rsidRPr="00C375A8" w:rsidRDefault="00C375A8" w:rsidP="0040363F">
      <w:pPr>
        <w:spacing w:before="120" w:after="120"/>
        <w:ind w:left="720"/>
        <w:rPr>
          <w:rFonts w:ascii="Book Antiqua" w:hAnsi="Book Antiqua"/>
          <w:sz w:val="22"/>
          <w:szCs w:val="22"/>
        </w:rPr>
      </w:pPr>
      <w:r w:rsidRPr="00C375A8">
        <w:rPr>
          <w:rFonts w:ascii="Book Antiqua" w:hAnsi="Book Antiqua"/>
          <w:sz w:val="22"/>
          <w:szCs w:val="22"/>
        </w:rPr>
        <w:t xml:space="preserve">(a) The applicant must provide evidence that they have either- </w:t>
      </w:r>
    </w:p>
    <w:p w:rsidR="00C375A8" w:rsidRPr="00C375A8" w:rsidRDefault="00C375A8" w:rsidP="0040363F">
      <w:pPr>
        <w:spacing w:before="120" w:after="120"/>
        <w:ind w:left="1440"/>
        <w:rPr>
          <w:rFonts w:ascii="Book Antiqua" w:hAnsi="Book Antiqua"/>
          <w:sz w:val="22"/>
          <w:szCs w:val="22"/>
        </w:rPr>
      </w:pPr>
      <w:r w:rsidRPr="00C375A8">
        <w:rPr>
          <w:rFonts w:ascii="Book Antiqua" w:hAnsi="Book Antiqua"/>
          <w:sz w:val="22"/>
          <w:szCs w:val="22"/>
        </w:rPr>
        <w:t>(</w:t>
      </w:r>
      <w:proofErr w:type="spellStart"/>
      <w:r w:rsidRPr="00C375A8">
        <w:rPr>
          <w:rFonts w:ascii="Book Antiqua" w:hAnsi="Book Antiqua"/>
          <w:sz w:val="22"/>
          <w:szCs w:val="22"/>
        </w:rPr>
        <w:t>i</w:t>
      </w:r>
      <w:proofErr w:type="spellEnd"/>
      <w:r w:rsidRPr="00C375A8">
        <w:rPr>
          <w:rFonts w:ascii="Book Antiqua" w:hAnsi="Book Antiqua"/>
          <w:sz w:val="22"/>
          <w:szCs w:val="22"/>
        </w:rPr>
        <w:t>) sole parental responsibility for the child, or that the child normally lives with them; or</w:t>
      </w:r>
    </w:p>
    <w:p w:rsidR="00C375A8" w:rsidRPr="00C375A8" w:rsidRDefault="00C375A8" w:rsidP="0040363F">
      <w:pPr>
        <w:spacing w:before="120" w:after="120"/>
        <w:ind w:left="1440"/>
        <w:rPr>
          <w:rFonts w:ascii="Book Antiqua" w:hAnsi="Book Antiqua"/>
          <w:sz w:val="22"/>
          <w:szCs w:val="22"/>
        </w:rPr>
      </w:pPr>
      <w:r w:rsidRPr="00C375A8">
        <w:rPr>
          <w:rFonts w:ascii="Book Antiqua" w:hAnsi="Book Antiqua"/>
          <w:sz w:val="22"/>
          <w:szCs w:val="22"/>
        </w:rPr>
        <w:t>(ii) direct access (in person) to the child, as agreed with the parent or carer with whom the child normally lives or as ordered by a court in the UK; and</w:t>
      </w:r>
    </w:p>
    <w:p w:rsidR="00C375A8" w:rsidRPr="00C375A8" w:rsidRDefault="00C375A8" w:rsidP="0040363F">
      <w:pPr>
        <w:spacing w:before="120" w:after="120"/>
        <w:ind w:left="720"/>
        <w:rPr>
          <w:rFonts w:ascii="Book Antiqua" w:hAnsi="Book Antiqua"/>
          <w:sz w:val="22"/>
          <w:szCs w:val="22"/>
        </w:rPr>
      </w:pPr>
      <w:r w:rsidRPr="00C375A8">
        <w:rPr>
          <w:rFonts w:ascii="Book Antiqua" w:hAnsi="Book Antiqua"/>
          <w:sz w:val="22"/>
          <w:szCs w:val="22"/>
        </w:rPr>
        <w:t>(b) The applicant must provide evidence that they are taking, and intend to continue to take, an active role in the child’s upbringing.</w:t>
      </w:r>
    </w:p>
    <w:p w:rsidR="00C375A8" w:rsidRPr="00F42D33" w:rsidRDefault="00C375A8" w:rsidP="00C375A8">
      <w:pPr>
        <w:pStyle w:val="PlainText"/>
        <w:jc w:val="both"/>
        <w:rPr>
          <w:rFonts w:ascii="Book Antiqua" w:hAnsi="Book Antiqua" w:cs="Arial"/>
          <w:sz w:val="24"/>
          <w:szCs w:val="24"/>
        </w:rPr>
      </w:pPr>
      <w:r w:rsidRPr="00F42D33">
        <w:rPr>
          <w:rFonts w:ascii="Book Antiqua" w:hAnsi="Book Antiqua" w:cs="Arial"/>
          <w:color w:val="000000"/>
          <w:sz w:val="24"/>
          <w:szCs w:val="24"/>
        </w:rPr>
        <w:t>30</w:t>
      </w:r>
      <w:r w:rsidRPr="00C375A8">
        <w:rPr>
          <w:rFonts w:ascii="Book Antiqua" w:hAnsi="Book Antiqua" w:cs="Arial"/>
          <w:color w:val="000000"/>
          <w:sz w:val="24"/>
          <w:szCs w:val="24"/>
        </w:rPr>
        <w:t>.</w:t>
      </w:r>
      <w:r w:rsidRPr="00F42D33">
        <w:rPr>
          <w:rFonts w:ascii="Book Antiqua" w:hAnsi="Book Antiqua" w:cs="Arial"/>
          <w:sz w:val="24"/>
          <w:szCs w:val="24"/>
        </w:rPr>
        <w:t xml:space="preserve"> (a) In the reasons for refusal letter the respondent says that the appellant cannot met the suitability requirements of R-LTRP1.1 because the respondent believes he fraudulently obtained an English Language certificate. On the facts as I find them to be, the appellant does meet the suitability requirements of the rules. It is beyond dispute that the appellant’s wife and children are British citizens, so that EX.1 must be considered. </w:t>
      </w:r>
    </w:p>
    <w:p w:rsidR="00C375A8" w:rsidRPr="00F42D33" w:rsidRDefault="00C375A8" w:rsidP="00C375A8">
      <w:pPr>
        <w:spacing w:before="240"/>
        <w:jc w:val="both"/>
        <w:rPr>
          <w:rFonts w:ascii="Book Antiqua" w:hAnsi="Book Antiqua" w:cs="Arial"/>
          <w:color w:val="000000"/>
        </w:rPr>
      </w:pPr>
      <w:r w:rsidRPr="00F42D33">
        <w:rPr>
          <w:rFonts w:ascii="Book Antiqua" w:hAnsi="Book Antiqua" w:cs="Arial"/>
        </w:rPr>
        <w:t>(</w:t>
      </w:r>
      <w:r w:rsidR="0089549F" w:rsidRPr="00F42D33">
        <w:rPr>
          <w:rFonts w:ascii="Book Antiqua" w:hAnsi="Book Antiqua" w:cs="Arial"/>
        </w:rPr>
        <w:t>b</w:t>
      </w:r>
      <w:r w:rsidRPr="00F42D33">
        <w:rPr>
          <w:rFonts w:ascii="Book Antiqua" w:hAnsi="Book Antiqua" w:cs="Arial"/>
        </w:rPr>
        <w:t xml:space="preserve">) </w:t>
      </w:r>
      <w:r w:rsidRPr="00F42D33">
        <w:rPr>
          <w:rFonts w:ascii="Book Antiqua" w:hAnsi="Book Antiqua" w:cs="Arial"/>
          <w:color w:val="000000"/>
        </w:rPr>
        <w:t>EX.1 says</w:t>
      </w:r>
    </w:p>
    <w:p w:rsidR="00C375A8" w:rsidRPr="00F42D33" w:rsidRDefault="00C375A8" w:rsidP="0040363F">
      <w:pPr>
        <w:pStyle w:val="NormalWeb"/>
        <w:spacing w:before="120" w:beforeAutospacing="0" w:after="120" w:afterAutospacing="0"/>
        <w:ind w:left="360"/>
        <w:rPr>
          <w:rFonts w:ascii="Book Antiqua" w:hAnsi="Book Antiqua" w:cs="Arial"/>
        </w:rPr>
      </w:pPr>
      <w:r w:rsidRPr="00F42D33">
        <w:rPr>
          <w:rFonts w:ascii="Book Antiqua" w:hAnsi="Book Antiqua" w:cs="Arial"/>
        </w:rPr>
        <w:t>EX.1. This paragraph applies if</w:t>
      </w:r>
    </w:p>
    <w:p w:rsidR="00C375A8" w:rsidRPr="009343DB" w:rsidRDefault="00C375A8" w:rsidP="0040363F">
      <w:pPr>
        <w:spacing w:before="120" w:after="120"/>
        <w:ind w:left="1800"/>
        <w:rPr>
          <w:rFonts w:ascii="Book Antiqua" w:hAnsi="Book Antiqua" w:cs="Arial"/>
          <w:sz w:val="22"/>
          <w:szCs w:val="22"/>
        </w:rPr>
      </w:pPr>
      <w:r w:rsidRPr="009343DB">
        <w:rPr>
          <w:rFonts w:ascii="Book Antiqua" w:hAnsi="Book Antiqua" w:cs="Arial"/>
          <w:sz w:val="22"/>
          <w:szCs w:val="22"/>
        </w:rPr>
        <w:t>(a) (</w:t>
      </w:r>
      <w:proofErr w:type="spellStart"/>
      <w:r w:rsidRPr="009343DB">
        <w:rPr>
          <w:rFonts w:ascii="Book Antiqua" w:hAnsi="Book Antiqua" w:cs="Arial"/>
          <w:sz w:val="22"/>
          <w:szCs w:val="22"/>
        </w:rPr>
        <w:t>i</w:t>
      </w:r>
      <w:proofErr w:type="spellEnd"/>
      <w:r w:rsidRPr="009343DB">
        <w:rPr>
          <w:rFonts w:ascii="Book Antiqua" w:hAnsi="Book Antiqua" w:cs="Arial"/>
          <w:sz w:val="22"/>
          <w:szCs w:val="22"/>
        </w:rPr>
        <w:t xml:space="preserve">) the applicant has a genuine and subsisting parental relationship with a child who- </w:t>
      </w:r>
    </w:p>
    <w:p w:rsidR="00C375A8" w:rsidRPr="009343DB" w:rsidRDefault="00C375A8" w:rsidP="0040363F">
      <w:pPr>
        <w:spacing w:before="120" w:after="120"/>
        <w:ind w:left="2520"/>
        <w:rPr>
          <w:rFonts w:ascii="Book Antiqua" w:hAnsi="Book Antiqua" w:cs="Arial"/>
          <w:sz w:val="22"/>
          <w:szCs w:val="22"/>
        </w:rPr>
      </w:pPr>
      <w:r w:rsidRPr="009343DB">
        <w:rPr>
          <w:rFonts w:ascii="Book Antiqua" w:hAnsi="Book Antiqua" w:cs="Arial"/>
          <w:sz w:val="22"/>
          <w:szCs w:val="22"/>
        </w:rPr>
        <w:t>(aa) is under the age of 18 years, or was under the age of 18 years when the applicant was first granted leave on the basis that this paragraph applied;</w:t>
      </w:r>
    </w:p>
    <w:p w:rsidR="00C375A8" w:rsidRPr="009343DB" w:rsidRDefault="00C375A8" w:rsidP="0040363F">
      <w:pPr>
        <w:spacing w:before="120" w:after="120"/>
        <w:ind w:left="2520"/>
        <w:rPr>
          <w:rFonts w:ascii="Book Antiqua" w:hAnsi="Book Antiqua" w:cs="Arial"/>
          <w:sz w:val="22"/>
          <w:szCs w:val="22"/>
        </w:rPr>
      </w:pPr>
      <w:r w:rsidRPr="009343DB">
        <w:rPr>
          <w:rFonts w:ascii="Book Antiqua" w:hAnsi="Book Antiqua" w:cs="Arial"/>
          <w:sz w:val="22"/>
          <w:szCs w:val="22"/>
        </w:rPr>
        <w:t>(bb) is in the UK;</w:t>
      </w:r>
    </w:p>
    <w:p w:rsidR="00C375A8" w:rsidRPr="009343DB" w:rsidRDefault="00C375A8" w:rsidP="0040363F">
      <w:pPr>
        <w:spacing w:before="120" w:after="120"/>
        <w:ind w:left="2520"/>
        <w:rPr>
          <w:rFonts w:ascii="Book Antiqua" w:hAnsi="Book Antiqua" w:cs="Arial"/>
          <w:sz w:val="22"/>
          <w:szCs w:val="22"/>
        </w:rPr>
      </w:pPr>
      <w:r w:rsidRPr="009343DB">
        <w:rPr>
          <w:rFonts w:ascii="Book Antiqua" w:hAnsi="Book Antiqua" w:cs="Arial"/>
          <w:sz w:val="22"/>
          <w:szCs w:val="22"/>
        </w:rPr>
        <w:t>(cc) is a British Citizen or has lived in the UK continuously for at least the 7 years immediately preceding the date of application; and</w:t>
      </w:r>
    </w:p>
    <w:p w:rsidR="00C375A8" w:rsidRPr="009343DB" w:rsidRDefault="00C375A8" w:rsidP="0040363F">
      <w:pPr>
        <w:spacing w:before="120" w:after="120"/>
        <w:ind w:left="1800"/>
        <w:rPr>
          <w:rFonts w:ascii="Book Antiqua" w:hAnsi="Book Antiqua" w:cs="Arial"/>
          <w:sz w:val="22"/>
          <w:szCs w:val="22"/>
        </w:rPr>
      </w:pPr>
      <w:r w:rsidRPr="009343DB">
        <w:rPr>
          <w:rFonts w:ascii="Book Antiqua" w:hAnsi="Book Antiqua" w:cs="Arial"/>
          <w:sz w:val="22"/>
          <w:szCs w:val="22"/>
        </w:rPr>
        <w:lastRenderedPageBreak/>
        <w:t>(ii) taking into account their best interests as a primary consideration, it would not be reasonable to expect the child to leave the UK;</w:t>
      </w:r>
    </w:p>
    <w:p w:rsidR="00C375A8" w:rsidRPr="00F42D33" w:rsidRDefault="00C375A8" w:rsidP="00C375A8">
      <w:pPr>
        <w:jc w:val="both"/>
        <w:rPr>
          <w:rFonts w:ascii="Book Antiqua" w:hAnsi="Book Antiqua" w:cs="Arial"/>
        </w:rPr>
      </w:pPr>
      <w:r w:rsidRPr="00F42D33">
        <w:rPr>
          <w:rFonts w:ascii="Book Antiqua" w:hAnsi="Book Antiqua" w:cs="Arial"/>
        </w:rPr>
        <w:t>(</w:t>
      </w:r>
      <w:r w:rsidR="0089549F" w:rsidRPr="00F42D33">
        <w:rPr>
          <w:rFonts w:ascii="Book Antiqua" w:hAnsi="Book Antiqua" w:cs="Arial"/>
        </w:rPr>
        <w:t>b</w:t>
      </w:r>
      <w:r w:rsidRPr="00F42D33">
        <w:rPr>
          <w:rFonts w:ascii="Book Antiqua" w:hAnsi="Book Antiqua" w:cs="Arial"/>
        </w:rPr>
        <w:t xml:space="preserve">)   The guidance given by the respondent in the IDIs on Family Migration (February 2018) is that the questions a decision maker should pose are: </w:t>
      </w:r>
    </w:p>
    <w:p w:rsidR="00C375A8" w:rsidRPr="009343DB" w:rsidRDefault="00C375A8" w:rsidP="0040363F">
      <w:pPr>
        <w:spacing w:before="120" w:after="120"/>
        <w:ind w:left="720"/>
        <w:jc w:val="both"/>
        <w:rPr>
          <w:rFonts w:ascii="Book Antiqua" w:hAnsi="Book Antiqua" w:cs="Arial"/>
          <w:sz w:val="22"/>
          <w:szCs w:val="22"/>
        </w:rPr>
      </w:pPr>
      <w:r w:rsidRPr="009343DB">
        <w:rPr>
          <w:rFonts w:ascii="Book Antiqua" w:hAnsi="Book Antiqua" w:cs="Arial"/>
          <w:sz w:val="22"/>
          <w:szCs w:val="22"/>
        </w:rPr>
        <w:t>(</w:t>
      </w:r>
      <w:proofErr w:type="spellStart"/>
      <w:r w:rsidRPr="009343DB">
        <w:rPr>
          <w:rFonts w:ascii="Book Antiqua" w:hAnsi="Book Antiqua" w:cs="Arial"/>
          <w:sz w:val="22"/>
          <w:szCs w:val="22"/>
        </w:rPr>
        <w:t>i</w:t>
      </w:r>
      <w:proofErr w:type="spellEnd"/>
      <w:r w:rsidRPr="009343DB">
        <w:rPr>
          <w:rFonts w:ascii="Book Antiqua" w:hAnsi="Book Antiqua" w:cs="Arial"/>
          <w:sz w:val="22"/>
          <w:szCs w:val="22"/>
        </w:rPr>
        <w:t xml:space="preserve">) is there a genuine and subsisting parental relationship? </w:t>
      </w:r>
    </w:p>
    <w:p w:rsidR="00C375A8" w:rsidRPr="009343DB" w:rsidRDefault="00C375A8" w:rsidP="0040363F">
      <w:pPr>
        <w:spacing w:before="120" w:after="120"/>
        <w:ind w:left="720"/>
        <w:jc w:val="both"/>
        <w:rPr>
          <w:rFonts w:ascii="Book Antiqua" w:hAnsi="Book Antiqua" w:cs="Arial"/>
          <w:sz w:val="22"/>
          <w:szCs w:val="22"/>
        </w:rPr>
      </w:pPr>
      <w:r w:rsidRPr="009343DB">
        <w:rPr>
          <w:rFonts w:ascii="Book Antiqua" w:hAnsi="Book Antiqua" w:cs="Arial"/>
          <w:sz w:val="22"/>
          <w:szCs w:val="22"/>
        </w:rPr>
        <w:t>(ii) is the child a British citizen or have they lived in the UK for a continuous period of at least 7 years?</w:t>
      </w:r>
    </w:p>
    <w:p w:rsidR="00C375A8" w:rsidRPr="009343DB" w:rsidRDefault="00C375A8" w:rsidP="0040363F">
      <w:pPr>
        <w:spacing w:before="120" w:after="120"/>
        <w:ind w:left="720"/>
        <w:jc w:val="both"/>
        <w:rPr>
          <w:rFonts w:ascii="Book Antiqua" w:hAnsi="Book Antiqua" w:cs="Arial"/>
          <w:b/>
          <w:sz w:val="22"/>
          <w:szCs w:val="22"/>
        </w:rPr>
      </w:pPr>
      <w:r w:rsidRPr="009343DB">
        <w:rPr>
          <w:rFonts w:ascii="Book Antiqua" w:hAnsi="Book Antiqua" w:cs="Arial"/>
          <w:sz w:val="22"/>
          <w:szCs w:val="22"/>
        </w:rPr>
        <w:t>(iii) will the consequence of the refusal of the application be that the child is required to leave the UK</w:t>
      </w:r>
      <w:r w:rsidRPr="009343DB">
        <w:rPr>
          <w:rFonts w:ascii="Book Antiqua" w:hAnsi="Book Antiqua" w:cs="Arial"/>
          <w:b/>
          <w:sz w:val="22"/>
          <w:szCs w:val="22"/>
        </w:rPr>
        <w:t>?</w:t>
      </w:r>
    </w:p>
    <w:p w:rsidR="00C375A8" w:rsidRPr="009343DB" w:rsidRDefault="00C375A8" w:rsidP="0040363F">
      <w:pPr>
        <w:spacing w:before="120" w:after="120"/>
        <w:ind w:left="720"/>
        <w:jc w:val="both"/>
        <w:rPr>
          <w:rFonts w:ascii="Book Antiqua" w:hAnsi="Book Antiqua" w:cs="Arial"/>
          <w:sz w:val="22"/>
          <w:szCs w:val="22"/>
        </w:rPr>
      </w:pPr>
      <w:r w:rsidRPr="009343DB">
        <w:rPr>
          <w:rFonts w:ascii="Book Antiqua" w:hAnsi="Book Antiqua" w:cs="Arial"/>
          <w:sz w:val="22"/>
          <w:szCs w:val="22"/>
        </w:rPr>
        <w:t>(iv) would it be reasonable to expect the child to leave the UK. In many cases where one parent has a right to remain in the UK, the child would not leave?</w:t>
      </w:r>
    </w:p>
    <w:p w:rsidR="00C375A8" w:rsidRPr="00F42D33" w:rsidRDefault="00C375A8" w:rsidP="00C375A8">
      <w:pPr>
        <w:jc w:val="both"/>
        <w:rPr>
          <w:rFonts w:ascii="Book Antiqua" w:hAnsi="Book Antiqua" w:cs="Arial"/>
        </w:rPr>
      </w:pPr>
      <w:r w:rsidRPr="00F42D33">
        <w:rPr>
          <w:rFonts w:ascii="Book Antiqua" w:hAnsi="Book Antiqua" w:cs="Arial"/>
        </w:rPr>
        <w:t>(</w:t>
      </w:r>
      <w:r w:rsidR="0089549F" w:rsidRPr="00F42D33">
        <w:rPr>
          <w:rFonts w:ascii="Book Antiqua" w:hAnsi="Book Antiqua" w:cs="Arial"/>
        </w:rPr>
        <w:t>c</w:t>
      </w:r>
      <w:r w:rsidRPr="00F42D33">
        <w:rPr>
          <w:rFonts w:ascii="Book Antiqua" w:hAnsi="Book Antiqua" w:cs="Arial"/>
        </w:rPr>
        <w:t xml:space="preserve">)  The respondent’s guidance suggests that the test is whether the child would be likely to leave rather than actually be required to leave.  The Home Office now say in those circumstances EX.1 (a) would not apply but the impact on the child of the appellant’s departure from the UK should be considered taking into account the best interests of the child as a primary consideration and if refusal would lead to unjustifiably harsh consequences, then leave can be granted on the basis of exceptional circumstances.  </w:t>
      </w:r>
    </w:p>
    <w:p w:rsidR="00C375A8" w:rsidRPr="00F42D33" w:rsidRDefault="00C375A8" w:rsidP="00C375A8">
      <w:pPr>
        <w:jc w:val="both"/>
        <w:rPr>
          <w:rFonts w:ascii="Book Antiqua" w:hAnsi="Book Antiqua" w:cs="Arial"/>
        </w:rPr>
      </w:pPr>
    </w:p>
    <w:p w:rsidR="00C375A8" w:rsidRPr="00F42D33" w:rsidRDefault="00C375A8" w:rsidP="00C375A8">
      <w:pPr>
        <w:jc w:val="both"/>
        <w:rPr>
          <w:rFonts w:ascii="Book Antiqua" w:hAnsi="Book Antiqua" w:cs="Arial"/>
        </w:rPr>
      </w:pPr>
      <w:r w:rsidRPr="00F42D33">
        <w:rPr>
          <w:rFonts w:ascii="Book Antiqua" w:hAnsi="Book Antiqua" w:cs="Arial"/>
        </w:rPr>
        <w:t>(</w:t>
      </w:r>
      <w:r w:rsidR="0089549F" w:rsidRPr="00F42D33">
        <w:rPr>
          <w:rFonts w:ascii="Book Antiqua" w:hAnsi="Book Antiqua" w:cs="Arial"/>
        </w:rPr>
        <w:t>d</w:t>
      </w:r>
      <w:r w:rsidRPr="00F42D33">
        <w:rPr>
          <w:rFonts w:ascii="Book Antiqua" w:hAnsi="Book Antiqua" w:cs="Arial"/>
        </w:rPr>
        <w:t xml:space="preserve">) It does not follow that section 117(6) should be interpreted in the same way as the SSHD interprets his immigration rules.  In </w:t>
      </w:r>
      <w:r w:rsidRPr="00F42D33">
        <w:rPr>
          <w:rFonts w:ascii="Book Antiqua" w:hAnsi="Book Antiqua" w:cs="Arial"/>
          <w:bCs/>
          <w:iCs/>
          <w:u w:val="single"/>
        </w:rPr>
        <w:t>R (on the application of MA (Pakistan) and Others) v Upper Tribunal (Immigration and Asylum Chamber) and Another</w:t>
      </w:r>
      <w:r w:rsidRPr="00F42D33">
        <w:rPr>
          <w:rFonts w:ascii="Book Antiqua" w:hAnsi="Book Antiqua" w:cs="Arial"/>
          <w:bCs/>
          <w:iCs/>
        </w:rPr>
        <w:t xml:space="preserve"> </w:t>
      </w:r>
      <w:r w:rsidRPr="00F42D33">
        <w:rPr>
          <w:rFonts w:ascii="Book Antiqua" w:hAnsi="Book Antiqua" w:cs="Arial"/>
          <w:bCs/>
        </w:rPr>
        <w:t xml:space="preserve">[2016] EWCA </w:t>
      </w:r>
      <w:proofErr w:type="spellStart"/>
      <w:r w:rsidRPr="00F42D33">
        <w:rPr>
          <w:rFonts w:ascii="Book Antiqua" w:hAnsi="Book Antiqua" w:cs="Arial"/>
          <w:bCs/>
        </w:rPr>
        <w:t>Civ</w:t>
      </w:r>
      <w:proofErr w:type="spellEnd"/>
      <w:r w:rsidRPr="00F42D33">
        <w:rPr>
          <w:rFonts w:ascii="Book Antiqua" w:hAnsi="Book Antiqua" w:cs="Arial"/>
          <w:bCs/>
        </w:rPr>
        <w:t xml:space="preserve"> 705 </w:t>
      </w:r>
      <w:r w:rsidRPr="00F42D33">
        <w:rPr>
          <w:rFonts w:ascii="Book Antiqua" w:hAnsi="Book Antiqua" w:cs="Arial"/>
        </w:rPr>
        <w:t>it was held (see [19]) that when applying section 117</w:t>
      </w:r>
      <w:proofErr w:type="gramStart"/>
      <w:r w:rsidRPr="00F42D33">
        <w:rPr>
          <w:rFonts w:ascii="Book Antiqua" w:hAnsi="Book Antiqua" w:cs="Arial"/>
        </w:rPr>
        <w:t>B(</w:t>
      </w:r>
      <w:proofErr w:type="gramEnd"/>
      <w:r w:rsidRPr="00F42D33">
        <w:rPr>
          <w:rFonts w:ascii="Book Antiqua" w:hAnsi="Book Antiqua" w:cs="Arial"/>
        </w:rPr>
        <w:t>6) only three questions needed to be asked as long as the applicant was not liable to deportation, and those questions are</w:t>
      </w:r>
    </w:p>
    <w:p w:rsidR="00C375A8" w:rsidRPr="009343DB" w:rsidRDefault="00C375A8" w:rsidP="0040363F">
      <w:pPr>
        <w:spacing w:before="120" w:after="120"/>
        <w:ind w:left="720"/>
        <w:jc w:val="both"/>
        <w:rPr>
          <w:rFonts w:ascii="Book Antiqua" w:hAnsi="Book Antiqua" w:cs="Arial"/>
          <w:sz w:val="22"/>
          <w:szCs w:val="22"/>
        </w:rPr>
      </w:pPr>
      <w:r w:rsidRPr="009343DB">
        <w:rPr>
          <w:rFonts w:ascii="Book Antiqua" w:hAnsi="Book Antiqua" w:cs="Arial"/>
          <w:sz w:val="22"/>
          <w:szCs w:val="22"/>
        </w:rPr>
        <w:t>(</w:t>
      </w:r>
      <w:proofErr w:type="spellStart"/>
      <w:r w:rsidRPr="009343DB">
        <w:rPr>
          <w:rFonts w:ascii="Book Antiqua" w:hAnsi="Book Antiqua" w:cs="Arial"/>
          <w:sz w:val="22"/>
          <w:szCs w:val="22"/>
        </w:rPr>
        <w:t>i</w:t>
      </w:r>
      <w:proofErr w:type="spellEnd"/>
      <w:r w:rsidRPr="009343DB">
        <w:rPr>
          <w:rFonts w:ascii="Book Antiqua" w:hAnsi="Book Antiqua" w:cs="Arial"/>
          <w:sz w:val="22"/>
          <w:szCs w:val="22"/>
        </w:rPr>
        <w:t>) is there a genuine and subsisting parental relationship?</w:t>
      </w:r>
    </w:p>
    <w:p w:rsidR="00C375A8" w:rsidRPr="009343DB" w:rsidRDefault="00C375A8" w:rsidP="0040363F">
      <w:pPr>
        <w:spacing w:before="120" w:after="120"/>
        <w:ind w:left="720"/>
        <w:jc w:val="both"/>
        <w:rPr>
          <w:rFonts w:ascii="Book Antiqua" w:hAnsi="Book Antiqua" w:cs="Arial"/>
          <w:sz w:val="22"/>
          <w:szCs w:val="22"/>
        </w:rPr>
      </w:pPr>
      <w:r w:rsidRPr="009343DB">
        <w:rPr>
          <w:rFonts w:ascii="Book Antiqua" w:hAnsi="Book Antiqua" w:cs="Arial"/>
          <w:sz w:val="22"/>
          <w:szCs w:val="22"/>
        </w:rPr>
        <w:t xml:space="preserve">(ii) is the child a British citizen or have they lived in the UK for a continuous period of at least 7 years? </w:t>
      </w:r>
    </w:p>
    <w:p w:rsidR="00C375A8" w:rsidRPr="009343DB" w:rsidRDefault="00C375A8" w:rsidP="0040363F">
      <w:pPr>
        <w:spacing w:before="120" w:after="120"/>
        <w:ind w:left="720"/>
        <w:jc w:val="both"/>
        <w:rPr>
          <w:rFonts w:ascii="Book Antiqua" w:hAnsi="Book Antiqua" w:cs="Arial"/>
          <w:sz w:val="22"/>
          <w:szCs w:val="22"/>
        </w:rPr>
      </w:pPr>
      <w:r w:rsidRPr="009343DB">
        <w:rPr>
          <w:rFonts w:ascii="Book Antiqua" w:hAnsi="Book Antiqua" w:cs="Arial"/>
          <w:sz w:val="22"/>
          <w:szCs w:val="22"/>
        </w:rPr>
        <w:t>(iv) would it be reasonable to expect the child to leave the UK?</w:t>
      </w:r>
    </w:p>
    <w:p w:rsidR="00C375A8" w:rsidRPr="00F42D33" w:rsidRDefault="00C375A8" w:rsidP="00C375A8">
      <w:pPr>
        <w:pStyle w:val="PlainText"/>
        <w:jc w:val="both"/>
        <w:rPr>
          <w:rFonts w:ascii="Book Antiqua" w:hAnsi="Book Antiqua" w:cs="Arial"/>
          <w:sz w:val="24"/>
          <w:szCs w:val="24"/>
        </w:rPr>
      </w:pPr>
      <w:r w:rsidRPr="00F42D33">
        <w:rPr>
          <w:rFonts w:ascii="Book Antiqua" w:hAnsi="Book Antiqua" w:cs="Arial"/>
          <w:sz w:val="24"/>
          <w:szCs w:val="24"/>
        </w:rPr>
        <w:t>(</w:t>
      </w:r>
      <w:r w:rsidR="0089549F" w:rsidRPr="00F42D33">
        <w:rPr>
          <w:rFonts w:ascii="Book Antiqua" w:hAnsi="Book Antiqua" w:cs="Arial"/>
          <w:sz w:val="24"/>
          <w:szCs w:val="24"/>
        </w:rPr>
        <w:t>e</w:t>
      </w:r>
      <w:r w:rsidRPr="00F42D33">
        <w:rPr>
          <w:rFonts w:ascii="Book Antiqua" w:hAnsi="Book Antiqua" w:cs="Arial"/>
          <w:sz w:val="24"/>
          <w:szCs w:val="24"/>
        </w:rPr>
        <w:t>) The appellant’s unchallenged evidence is that his child</w:t>
      </w:r>
      <w:r w:rsidR="009343DB">
        <w:rPr>
          <w:rFonts w:ascii="Book Antiqua" w:hAnsi="Book Antiqua" w:cs="Arial"/>
          <w:sz w:val="24"/>
          <w:szCs w:val="24"/>
        </w:rPr>
        <w:t>ren are</w:t>
      </w:r>
      <w:r w:rsidRPr="00F42D33">
        <w:rPr>
          <w:rFonts w:ascii="Book Antiqua" w:hAnsi="Book Antiqua" w:cs="Arial"/>
          <w:sz w:val="24"/>
          <w:szCs w:val="24"/>
        </w:rPr>
        <w:t xml:space="preserve"> British citizen</w:t>
      </w:r>
      <w:r w:rsidR="009343DB">
        <w:rPr>
          <w:rFonts w:ascii="Book Antiqua" w:hAnsi="Book Antiqua" w:cs="Arial"/>
          <w:sz w:val="24"/>
          <w:szCs w:val="24"/>
        </w:rPr>
        <w:t>s</w:t>
      </w:r>
      <w:r w:rsidRPr="00F42D33">
        <w:rPr>
          <w:rFonts w:ascii="Book Antiqua" w:hAnsi="Book Antiqua" w:cs="Arial"/>
          <w:sz w:val="24"/>
          <w:szCs w:val="24"/>
        </w:rPr>
        <w:t xml:space="preserve"> who do not have </w:t>
      </w:r>
      <w:proofErr w:type="spellStart"/>
      <w:r w:rsidRPr="00F42D33">
        <w:rPr>
          <w:rFonts w:ascii="Book Antiqua" w:hAnsi="Book Antiqua" w:cs="Arial"/>
          <w:sz w:val="24"/>
          <w:szCs w:val="24"/>
        </w:rPr>
        <w:t>B</w:t>
      </w:r>
      <w:r w:rsidR="0089549F" w:rsidRPr="00F42D33">
        <w:rPr>
          <w:rFonts w:ascii="Book Antiqua" w:hAnsi="Book Antiqua" w:cs="Arial"/>
          <w:sz w:val="24"/>
          <w:szCs w:val="24"/>
        </w:rPr>
        <w:t>a</w:t>
      </w:r>
      <w:r w:rsidRPr="00F42D33">
        <w:rPr>
          <w:rFonts w:ascii="Book Antiqua" w:hAnsi="Book Antiqua" w:cs="Arial"/>
          <w:sz w:val="24"/>
          <w:szCs w:val="24"/>
        </w:rPr>
        <w:t>nglasdeshi</w:t>
      </w:r>
      <w:proofErr w:type="spellEnd"/>
      <w:r w:rsidRPr="00F42D33">
        <w:rPr>
          <w:rFonts w:ascii="Book Antiqua" w:hAnsi="Book Antiqua" w:cs="Arial"/>
          <w:sz w:val="24"/>
          <w:szCs w:val="24"/>
        </w:rPr>
        <w:t xml:space="preserve"> nationality. The weight of reliable evidence indicates that the child</w:t>
      </w:r>
      <w:r w:rsidR="009343DB">
        <w:rPr>
          <w:rFonts w:ascii="Book Antiqua" w:hAnsi="Book Antiqua" w:cs="Arial"/>
          <w:sz w:val="24"/>
          <w:szCs w:val="24"/>
        </w:rPr>
        <w:t>ren</w:t>
      </w:r>
      <w:r w:rsidRPr="00F42D33">
        <w:rPr>
          <w:rFonts w:ascii="Book Antiqua" w:hAnsi="Book Antiqua" w:cs="Arial"/>
          <w:sz w:val="24"/>
          <w:szCs w:val="24"/>
        </w:rPr>
        <w:t xml:space="preserve"> would be distressed if </w:t>
      </w:r>
      <w:r w:rsidR="009343DB">
        <w:rPr>
          <w:rFonts w:ascii="Book Antiqua" w:hAnsi="Book Antiqua" w:cs="Arial"/>
          <w:sz w:val="24"/>
          <w:szCs w:val="24"/>
        </w:rPr>
        <w:t>thei</w:t>
      </w:r>
      <w:r w:rsidRPr="00F42D33">
        <w:rPr>
          <w:rFonts w:ascii="Book Antiqua" w:hAnsi="Book Antiqua" w:cs="Arial"/>
          <w:sz w:val="24"/>
          <w:szCs w:val="24"/>
        </w:rPr>
        <w:t xml:space="preserve">r parents are separated. Caselaw tells me that it is in the child’s best interests to live in a family with both of </w:t>
      </w:r>
      <w:r w:rsidR="009343DB">
        <w:rPr>
          <w:rFonts w:ascii="Book Antiqua" w:hAnsi="Book Antiqua" w:cs="Arial"/>
          <w:sz w:val="24"/>
          <w:szCs w:val="24"/>
        </w:rPr>
        <w:t>t</w:t>
      </w:r>
      <w:r w:rsidRPr="00F42D33">
        <w:rPr>
          <w:rFonts w:ascii="Book Antiqua" w:hAnsi="Book Antiqua" w:cs="Arial"/>
          <w:sz w:val="24"/>
          <w:szCs w:val="24"/>
        </w:rPr>
        <w:t>he</w:t>
      </w:r>
      <w:r w:rsidR="009343DB">
        <w:rPr>
          <w:rFonts w:ascii="Book Antiqua" w:hAnsi="Book Antiqua" w:cs="Arial"/>
          <w:sz w:val="24"/>
          <w:szCs w:val="24"/>
        </w:rPr>
        <w:t>i</w:t>
      </w:r>
      <w:r w:rsidRPr="00F42D33">
        <w:rPr>
          <w:rFonts w:ascii="Book Antiqua" w:hAnsi="Book Antiqua" w:cs="Arial"/>
          <w:sz w:val="24"/>
          <w:szCs w:val="24"/>
        </w:rPr>
        <w:t>r parents.</w:t>
      </w:r>
    </w:p>
    <w:p w:rsidR="00C375A8" w:rsidRPr="00F42D33" w:rsidRDefault="00C375A8" w:rsidP="00C375A8">
      <w:pPr>
        <w:pStyle w:val="PlainText"/>
        <w:jc w:val="both"/>
        <w:rPr>
          <w:rFonts w:ascii="Book Antiqua" w:hAnsi="Book Antiqua" w:cs="Arial"/>
          <w:sz w:val="24"/>
          <w:szCs w:val="24"/>
        </w:rPr>
      </w:pPr>
    </w:p>
    <w:p w:rsidR="00C375A8" w:rsidRPr="00F42D33" w:rsidRDefault="00C375A8" w:rsidP="00C375A8">
      <w:pPr>
        <w:pStyle w:val="PlainText"/>
        <w:jc w:val="both"/>
        <w:rPr>
          <w:rFonts w:ascii="Book Antiqua" w:hAnsi="Book Antiqua" w:cs="Arial"/>
          <w:sz w:val="24"/>
          <w:szCs w:val="24"/>
        </w:rPr>
      </w:pPr>
      <w:r w:rsidRPr="00F42D33">
        <w:rPr>
          <w:rFonts w:ascii="Book Antiqua" w:hAnsi="Book Antiqua" w:cs="Arial"/>
          <w:sz w:val="24"/>
          <w:szCs w:val="24"/>
        </w:rPr>
        <w:t>(</w:t>
      </w:r>
      <w:r w:rsidR="0089549F" w:rsidRPr="00F42D33">
        <w:rPr>
          <w:rFonts w:ascii="Book Antiqua" w:hAnsi="Book Antiqua" w:cs="Arial"/>
          <w:sz w:val="24"/>
          <w:szCs w:val="24"/>
        </w:rPr>
        <w:t>f</w:t>
      </w:r>
      <w:r w:rsidRPr="00F42D33">
        <w:rPr>
          <w:rFonts w:ascii="Book Antiqua" w:hAnsi="Book Antiqua" w:cs="Arial"/>
          <w:sz w:val="24"/>
          <w:szCs w:val="24"/>
        </w:rPr>
        <w:t xml:space="preserve">) It cannot be reasonable to cause a primary school age child distress. It cannot be reasonable to separate </w:t>
      </w:r>
      <w:r w:rsidR="009343DB">
        <w:rPr>
          <w:rFonts w:ascii="Book Antiqua" w:hAnsi="Book Antiqua" w:cs="Arial"/>
          <w:sz w:val="24"/>
          <w:szCs w:val="24"/>
        </w:rPr>
        <w:t>a young</w:t>
      </w:r>
      <w:r w:rsidRPr="00F42D33">
        <w:rPr>
          <w:rFonts w:ascii="Book Antiqua" w:hAnsi="Book Antiqua" w:cs="Arial"/>
          <w:sz w:val="24"/>
          <w:szCs w:val="24"/>
        </w:rPr>
        <w:t xml:space="preserve"> child from one of its parents. It cannot be reasonable to expect </w:t>
      </w:r>
      <w:r w:rsidR="009343DB">
        <w:rPr>
          <w:rFonts w:ascii="Book Antiqua" w:hAnsi="Book Antiqua" w:cs="Arial"/>
          <w:sz w:val="24"/>
          <w:szCs w:val="24"/>
        </w:rPr>
        <w:t>a</w:t>
      </w:r>
      <w:r w:rsidRPr="00F42D33">
        <w:rPr>
          <w:rFonts w:ascii="Book Antiqua" w:hAnsi="Book Antiqua" w:cs="Arial"/>
          <w:sz w:val="24"/>
          <w:szCs w:val="24"/>
        </w:rPr>
        <w:t xml:space="preserve"> child to live as an illegal immigrant. It cannot be reasonable to deprive a British national of the benefits of British nationality.</w:t>
      </w:r>
    </w:p>
    <w:p w:rsidR="00C375A8" w:rsidRPr="00F42D33" w:rsidRDefault="00C375A8" w:rsidP="00C375A8">
      <w:pPr>
        <w:pStyle w:val="PlainText"/>
        <w:jc w:val="both"/>
        <w:rPr>
          <w:rFonts w:ascii="Book Antiqua" w:hAnsi="Book Antiqua" w:cs="Arial"/>
          <w:sz w:val="24"/>
          <w:szCs w:val="24"/>
        </w:rPr>
      </w:pPr>
    </w:p>
    <w:p w:rsidR="00C375A8" w:rsidRPr="00F42D33" w:rsidRDefault="00C375A8" w:rsidP="00C375A8">
      <w:pPr>
        <w:pStyle w:val="PlainText"/>
        <w:jc w:val="both"/>
        <w:rPr>
          <w:rFonts w:ascii="Book Antiqua" w:hAnsi="Book Antiqua" w:cs="Arial"/>
          <w:sz w:val="24"/>
          <w:szCs w:val="24"/>
        </w:rPr>
      </w:pPr>
      <w:r w:rsidRPr="00F42D33">
        <w:rPr>
          <w:rFonts w:ascii="Book Antiqua" w:hAnsi="Book Antiqua" w:cs="Arial"/>
          <w:sz w:val="24"/>
          <w:szCs w:val="24"/>
        </w:rPr>
        <w:t>(</w:t>
      </w:r>
      <w:r w:rsidR="0089549F" w:rsidRPr="00F42D33">
        <w:rPr>
          <w:rFonts w:ascii="Book Antiqua" w:hAnsi="Book Antiqua" w:cs="Arial"/>
          <w:sz w:val="24"/>
          <w:szCs w:val="24"/>
        </w:rPr>
        <w:t>g</w:t>
      </w:r>
      <w:r w:rsidRPr="00F42D33">
        <w:rPr>
          <w:rFonts w:ascii="Book Antiqua" w:hAnsi="Book Antiqua" w:cs="Arial"/>
          <w:sz w:val="24"/>
          <w:szCs w:val="24"/>
        </w:rPr>
        <w:t xml:space="preserve">) I therefore find that the appellant meets the requirements of paragraph EX.1 because it is not reasonable to expect his British citizen </w:t>
      </w:r>
      <w:r w:rsidR="009343DB">
        <w:rPr>
          <w:rFonts w:ascii="Book Antiqua" w:hAnsi="Book Antiqua" w:cs="Arial"/>
          <w:sz w:val="24"/>
          <w:szCs w:val="24"/>
        </w:rPr>
        <w:t>children</w:t>
      </w:r>
      <w:r w:rsidRPr="00F42D33">
        <w:rPr>
          <w:rFonts w:ascii="Book Antiqua" w:hAnsi="Book Antiqua" w:cs="Arial"/>
          <w:sz w:val="24"/>
          <w:szCs w:val="24"/>
        </w:rPr>
        <w:t xml:space="preserve"> to leave the UK.</w:t>
      </w:r>
    </w:p>
    <w:p w:rsidR="00C375A8" w:rsidRPr="00F42D33" w:rsidRDefault="00C375A8" w:rsidP="00C375A8">
      <w:pPr>
        <w:jc w:val="both"/>
        <w:rPr>
          <w:rFonts w:ascii="Book Antiqua" w:hAnsi="Book Antiqua" w:cs="Arial"/>
          <w:color w:val="000000"/>
        </w:rPr>
      </w:pPr>
    </w:p>
    <w:p w:rsidR="00C375A8" w:rsidRPr="00C375A8" w:rsidRDefault="0089549F" w:rsidP="00C375A8">
      <w:pPr>
        <w:jc w:val="both"/>
        <w:rPr>
          <w:rFonts w:ascii="Book Antiqua" w:hAnsi="Book Antiqua" w:cs="Arial"/>
          <w:color w:val="000000"/>
        </w:rPr>
      </w:pPr>
      <w:r w:rsidRPr="00F42D33">
        <w:rPr>
          <w:rFonts w:ascii="Book Antiqua" w:hAnsi="Book Antiqua" w:cs="Arial"/>
          <w:color w:val="000000"/>
        </w:rPr>
        <w:lastRenderedPageBreak/>
        <w:t>31.</w:t>
      </w:r>
      <w:r w:rsidR="00C375A8" w:rsidRPr="00C375A8">
        <w:rPr>
          <w:rFonts w:ascii="Book Antiqua" w:hAnsi="Book Antiqua" w:cs="Arial"/>
          <w:color w:val="000000"/>
        </w:rPr>
        <w:t xml:space="preserve"> Both of the appellant’s children are British citizens, and they live with the appellant. That means that the appellant </w:t>
      </w:r>
      <w:r w:rsidR="00C375A8" w:rsidRPr="00F42D33">
        <w:rPr>
          <w:rFonts w:ascii="Book Antiqua" w:hAnsi="Book Antiqua" w:cs="Arial"/>
          <w:color w:val="000000"/>
        </w:rPr>
        <w:t>m</w:t>
      </w:r>
      <w:r w:rsidR="00C375A8" w:rsidRPr="00C375A8">
        <w:rPr>
          <w:rFonts w:ascii="Book Antiqua" w:hAnsi="Book Antiqua" w:cs="Arial"/>
          <w:color w:val="000000"/>
        </w:rPr>
        <w:t>ee</w:t>
      </w:r>
      <w:r w:rsidR="00C375A8" w:rsidRPr="00F42D33">
        <w:rPr>
          <w:rFonts w:ascii="Book Antiqua" w:hAnsi="Book Antiqua" w:cs="Arial"/>
          <w:color w:val="000000"/>
        </w:rPr>
        <w:t>t</w:t>
      </w:r>
      <w:r w:rsidR="00C375A8" w:rsidRPr="00C375A8">
        <w:rPr>
          <w:rFonts w:ascii="Book Antiqua" w:hAnsi="Book Antiqua" w:cs="Arial"/>
          <w:color w:val="000000"/>
        </w:rPr>
        <w:t>s the requirements of both E-LTRPT 2.2 &amp; E-LTRPT 2.4. The appellant therefore meets the requirements of the immigration rules.</w:t>
      </w:r>
    </w:p>
    <w:p w:rsidR="00C375A8" w:rsidRPr="00C375A8" w:rsidRDefault="00C375A8" w:rsidP="00C375A8">
      <w:pPr>
        <w:jc w:val="both"/>
        <w:rPr>
          <w:rFonts w:ascii="Book Antiqua" w:hAnsi="Book Antiqua" w:cs="Arial"/>
          <w:color w:val="000000"/>
        </w:rPr>
      </w:pPr>
    </w:p>
    <w:p w:rsidR="00C375A8" w:rsidRPr="00C375A8" w:rsidRDefault="00C375A8" w:rsidP="00C375A8">
      <w:pPr>
        <w:jc w:val="both"/>
        <w:rPr>
          <w:rFonts w:ascii="Book Antiqua" w:hAnsi="Book Antiqua" w:cs="Arial"/>
          <w:u w:val="single"/>
          <w:lang w:val="en-US" w:eastAsia="en-US"/>
        </w:rPr>
      </w:pPr>
      <w:r w:rsidRPr="00C375A8">
        <w:rPr>
          <w:rFonts w:ascii="Book Antiqua" w:hAnsi="Book Antiqua" w:cs="Arial"/>
          <w:u w:val="single"/>
          <w:lang w:val="en-US" w:eastAsia="en-US"/>
        </w:rPr>
        <w:t>Article 8 ECHR</w:t>
      </w:r>
    </w:p>
    <w:p w:rsidR="00C375A8" w:rsidRPr="00C375A8" w:rsidRDefault="00C375A8" w:rsidP="00C375A8">
      <w:pPr>
        <w:ind w:left="1080"/>
        <w:jc w:val="both"/>
        <w:rPr>
          <w:rFonts w:ascii="Book Antiqua" w:hAnsi="Book Antiqua" w:cs="Arial"/>
          <w:lang w:val="en-US" w:eastAsia="en-US"/>
        </w:rPr>
      </w:pPr>
    </w:p>
    <w:p w:rsidR="00C375A8" w:rsidRPr="00C375A8" w:rsidRDefault="00C375A8" w:rsidP="00C375A8">
      <w:pPr>
        <w:jc w:val="both"/>
        <w:rPr>
          <w:rFonts w:ascii="Book Antiqua" w:hAnsi="Book Antiqua" w:cs="Arial"/>
          <w:bCs/>
          <w:i/>
        </w:rPr>
      </w:pPr>
      <w:r w:rsidRPr="00F42D33">
        <w:rPr>
          <w:rFonts w:ascii="Book Antiqua" w:hAnsi="Book Antiqua" w:cs="Arial"/>
        </w:rPr>
        <w:t>3</w:t>
      </w:r>
      <w:r w:rsidR="0089549F" w:rsidRPr="00F42D33">
        <w:rPr>
          <w:rFonts w:ascii="Book Antiqua" w:hAnsi="Book Antiqua" w:cs="Arial"/>
        </w:rPr>
        <w:t>2</w:t>
      </w:r>
      <w:r w:rsidRPr="00C375A8">
        <w:rPr>
          <w:rFonts w:ascii="Book Antiqua" w:hAnsi="Book Antiqua" w:cs="Arial"/>
        </w:rPr>
        <w:t xml:space="preserve">. In </w:t>
      </w:r>
      <w:r w:rsidRPr="00C375A8">
        <w:rPr>
          <w:rFonts w:ascii="Book Antiqua" w:hAnsi="Book Antiqua" w:cs="Arial"/>
          <w:bCs/>
          <w:u w:val="single"/>
        </w:rPr>
        <w:t>Hesham Ali (</w:t>
      </w:r>
      <w:proofErr w:type="gramStart"/>
      <w:r w:rsidRPr="00C375A8">
        <w:rPr>
          <w:rFonts w:ascii="Book Antiqua" w:hAnsi="Book Antiqua" w:cs="Arial"/>
          <w:bCs/>
          <w:u w:val="single"/>
        </w:rPr>
        <w:t xml:space="preserve">Iraq)  </w:t>
      </w:r>
      <w:r w:rsidRPr="00C375A8">
        <w:rPr>
          <w:rFonts w:ascii="Book Antiqua" w:hAnsi="Book Antiqua" w:cs="Arial"/>
          <w:bCs/>
          <w:iCs/>
          <w:u w:val="single"/>
        </w:rPr>
        <w:t>v</w:t>
      </w:r>
      <w:proofErr w:type="gramEnd"/>
      <w:r w:rsidRPr="00C375A8">
        <w:rPr>
          <w:rFonts w:ascii="Book Antiqua" w:hAnsi="Book Antiqua" w:cs="Arial"/>
          <w:bCs/>
          <w:u w:val="single"/>
        </w:rPr>
        <w:t xml:space="preserve"> SSHD</w:t>
      </w:r>
      <w:r w:rsidRPr="00C375A8">
        <w:rPr>
          <w:rFonts w:ascii="Book Antiqua" w:hAnsi="Book Antiqua" w:cs="Arial"/>
          <w:bCs/>
        </w:rPr>
        <w:t xml:space="preserve">   [2016] UKSC 60</w:t>
      </w:r>
      <w:r w:rsidRPr="00C375A8">
        <w:rPr>
          <w:rFonts w:ascii="Book Antiqua" w:hAnsi="Book Antiqua" w:cs="Arial"/>
          <w:b/>
          <w:bCs/>
        </w:rPr>
        <w:t xml:space="preserve"> </w:t>
      </w:r>
      <w:r w:rsidRPr="00C375A8">
        <w:rPr>
          <w:rFonts w:ascii="Book Antiqua" w:hAnsi="Book Antiqua" w:cs="Arial"/>
          <w:bCs/>
        </w:rPr>
        <w:t xml:space="preserve">it was made clear that (even in a deport case) the Rules are not a complete code. Lord Reed at paragraphs 47 to 50 endorsed the structured approach to proportionality (to be found in </w:t>
      </w:r>
      <w:proofErr w:type="spellStart"/>
      <w:r w:rsidRPr="00C375A8">
        <w:rPr>
          <w:rFonts w:ascii="Book Antiqua" w:hAnsi="Book Antiqua" w:cs="Arial"/>
          <w:bCs/>
        </w:rPr>
        <w:t>Razgar</w:t>
      </w:r>
      <w:proofErr w:type="spellEnd"/>
      <w:r w:rsidRPr="00C375A8">
        <w:rPr>
          <w:rFonts w:ascii="Book Antiqua" w:hAnsi="Book Antiqua" w:cs="Arial"/>
          <w:bCs/>
        </w:rPr>
        <w:t xml:space="preserve">) </w:t>
      </w:r>
      <w:r w:rsidRPr="00C375A8">
        <w:rPr>
          <w:rFonts w:ascii="Book Antiqua" w:hAnsi="Book Antiqua" w:cs="Arial"/>
        </w:rPr>
        <w:t xml:space="preserve">and </w:t>
      </w:r>
      <w:proofErr w:type="gramStart"/>
      <w:r w:rsidRPr="00C375A8">
        <w:rPr>
          <w:rFonts w:ascii="Book Antiqua" w:hAnsi="Book Antiqua" w:cs="Arial"/>
        </w:rPr>
        <w:t>said</w:t>
      </w:r>
      <w:proofErr w:type="gramEnd"/>
      <w:r w:rsidRPr="00C375A8">
        <w:rPr>
          <w:rFonts w:ascii="Book Antiqua" w:hAnsi="Book Antiqua" w:cs="Arial"/>
        </w:rPr>
        <w:t xml:space="preserve"> </w:t>
      </w:r>
      <w:r w:rsidRPr="00C375A8">
        <w:rPr>
          <w:rFonts w:ascii="Book Antiqua" w:hAnsi="Book Antiqua" w:cs="Arial"/>
          <w:i/>
        </w:rPr>
        <w:t>"what has now become the established method of analysis can therefore continue to be followed…”</w:t>
      </w:r>
    </w:p>
    <w:p w:rsidR="00C375A8" w:rsidRPr="00C375A8" w:rsidRDefault="00C375A8" w:rsidP="00C375A8">
      <w:pPr>
        <w:jc w:val="both"/>
        <w:rPr>
          <w:rFonts w:ascii="Book Antiqua" w:hAnsi="Book Antiqua" w:cs="Arial"/>
          <w:lang w:val="en-US" w:eastAsia="en-US"/>
        </w:rPr>
      </w:pPr>
    </w:p>
    <w:p w:rsidR="00C375A8" w:rsidRPr="00C375A8" w:rsidRDefault="00C375A8" w:rsidP="00C375A8">
      <w:pPr>
        <w:widowControl w:val="0"/>
        <w:spacing w:after="240"/>
        <w:jc w:val="both"/>
        <w:rPr>
          <w:rFonts w:ascii="Book Antiqua" w:hAnsi="Book Antiqua" w:cs="Arial"/>
        </w:rPr>
      </w:pPr>
      <w:r w:rsidRPr="00F42D33">
        <w:rPr>
          <w:rFonts w:ascii="Book Antiqua" w:hAnsi="Book Antiqua" w:cs="Arial"/>
          <w:iCs/>
        </w:rPr>
        <w:t>3</w:t>
      </w:r>
      <w:r w:rsidR="0089549F" w:rsidRPr="00F42D33">
        <w:rPr>
          <w:rFonts w:ascii="Book Antiqua" w:hAnsi="Book Antiqua" w:cs="Arial"/>
          <w:iCs/>
        </w:rPr>
        <w:t>3</w:t>
      </w:r>
      <w:r w:rsidRPr="00C375A8">
        <w:rPr>
          <w:rFonts w:ascii="Book Antiqua" w:hAnsi="Book Antiqua" w:cs="Arial"/>
          <w:iCs/>
        </w:rPr>
        <w:t xml:space="preserve">. </w:t>
      </w:r>
      <w:r w:rsidRPr="00C375A8">
        <w:rPr>
          <w:rFonts w:ascii="Book Antiqua" w:hAnsi="Book Antiqua" w:cs="Arial"/>
        </w:rPr>
        <w:t>I have to determine the following separate questions:</w:t>
      </w:r>
    </w:p>
    <w:p w:rsidR="00C375A8" w:rsidRPr="00C375A8" w:rsidRDefault="00C375A8" w:rsidP="0040363F">
      <w:pPr>
        <w:spacing w:before="120" w:after="120"/>
        <w:ind w:left="1077"/>
        <w:jc w:val="both"/>
        <w:rPr>
          <w:rFonts w:ascii="Book Antiqua" w:hAnsi="Book Antiqua" w:cs="Arial"/>
          <w:lang w:val="en-US" w:eastAsia="en-US"/>
        </w:rPr>
      </w:pPr>
      <w:r w:rsidRPr="00C375A8">
        <w:rPr>
          <w:rFonts w:ascii="Book Antiqua" w:hAnsi="Book Antiqua" w:cs="Arial"/>
          <w:lang w:val="en-US" w:eastAsia="en-US"/>
        </w:rPr>
        <w:t xml:space="preserve"> (</w:t>
      </w:r>
      <w:proofErr w:type="spellStart"/>
      <w:r w:rsidRPr="00C375A8">
        <w:rPr>
          <w:rFonts w:ascii="Book Antiqua" w:hAnsi="Book Antiqua" w:cs="Arial"/>
          <w:lang w:val="en-US" w:eastAsia="en-US"/>
        </w:rPr>
        <w:t>i</w:t>
      </w:r>
      <w:proofErr w:type="spellEnd"/>
      <w:r w:rsidRPr="00C375A8">
        <w:rPr>
          <w:rFonts w:ascii="Book Antiqua" w:hAnsi="Book Antiqua" w:cs="Arial"/>
          <w:lang w:val="en-US" w:eastAsia="en-US"/>
        </w:rPr>
        <w:t xml:space="preserve">) Does family life, private life, home or correspondence exist within the meaning of Article 8  </w:t>
      </w:r>
    </w:p>
    <w:p w:rsidR="00C375A8" w:rsidRPr="00C375A8" w:rsidRDefault="00C375A8" w:rsidP="0040363F">
      <w:pPr>
        <w:spacing w:before="120" w:after="120"/>
        <w:ind w:left="1077"/>
        <w:jc w:val="both"/>
        <w:rPr>
          <w:rFonts w:ascii="Book Antiqua" w:hAnsi="Book Antiqua" w:cs="Arial"/>
          <w:lang w:val="en-US" w:eastAsia="en-US"/>
        </w:rPr>
      </w:pPr>
      <w:r w:rsidRPr="00C375A8">
        <w:rPr>
          <w:rFonts w:ascii="Book Antiqua" w:hAnsi="Book Antiqua" w:cs="Arial"/>
          <w:lang w:val="en-US" w:eastAsia="en-US"/>
        </w:rPr>
        <w:t xml:space="preserve">(ii) If so, has the right to respect for this been interfered with  </w:t>
      </w:r>
    </w:p>
    <w:p w:rsidR="00C375A8" w:rsidRPr="00C375A8" w:rsidRDefault="00C375A8" w:rsidP="0040363F">
      <w:pPr>
        <w:spacing w:before="120" w:after="120"/>
        <w:ind w:left="1077"/>
        <w:jc w:val="both"/>
        <w:rPr>
          <w:rFonts w:ascii="Book Antiqua" w:hAnsi="Book Antiqua" w:cs="Arial"/>
          <w:lang w:val="en-US" w:eastAsia="en-US"/>
        </w:rPr>
      </w:pPr>
      <w:r w:rsidRPr="00C375A8">
        <w:rPr>
          <w:rFonts w:ascii="Book Antiqua" w:hAnsi="Book Antiqua" w:cs="Arial"/>
          <w:lang w:val="en-US" w:eastAsia="en-US"/>
        </w:rPr>
        <w:t xml:space="preserve">(iii) If so, was the interference in accordance with the law  </w:t>
      </w:r>
    </w:p>
    <w:p w:rsidR="00C375A8" w:rsidRPr="00C375A8" w:rsidRDefault="00C375A8" w:rsidP="0040363F">
      <w:pPr>
        <w:spacing w:before="120" w:after="120"/>
        <w:ind w:left="1077"/>
        <w:jc w:val="both"/>
        <w:rPr>
          <w:rFonts w:ascii="Book Antiqua" w:hAnsi="Book Antiqua" w:cs="Arial"/>
          <w:lang w:val="en-US" w:eastAsia="en-US"/>
        </w:rPr>
      </w:pPr>
      <w:r w:rsidRPr="00C375A8">
        <w:rPr>
          <w:rFonts w:ascii="Book Antiqua" w:hAnsi="Book Antiqua" w:cs="Arial"/>
          <w:lang w:val="en-US" w:eastAsia="en-US"/>
        </w:rPr>
        <w:t xml:space="preserve">(iv) If so, was the interference in pursuit of one of the legitimate aims set out in Article 8(2); and </w:t>
      </w:r>
    </w:p>
    <w:p w:rsidR="00C375A8" w:rsidRPr="00C375A8" w:rsidRDefault="00C375A8" w:rsidP="0040363F">
      <w:pPr>
        <w:spacing w:before="120" w:after="120"/>
        <w:ind w:left="1077"/>
        <w:jc w:val="both"/>
        <w:rPr>
          <w:rFonts w:ascii="Book Antiqua" w:hAnsi="Book Antiqua" w:cs="Arial"/>
          <w:lang w:val="en-US" w:eastAsia="en-US"/>
        </w:rPr>
      </w:pPr>
      <w:r w:rsidRPr="00C375A8">
        <w:rPr>
          <w:rFonts w:ascii="Book Antiqua" w:hAnsi="Book Antiqua" w:cs="Arial"/>
          <w:lang w:val="en-US" w:eastAsia="en-US"/>
        </w:rPr>
        <w:t xml:space="preserve">(v) If so, is the interference proportionate to the pursuit of the legitimate aim?  </w:t>
      </w: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3</w:t>
      </w:r>
      <w:r w:rsidR="0089549F" w:rsidRPr="00F42D33">
        <w:rPr>
          <w:rFonts w:ascii="Book Antiqua" w:hAnsi="Book Antiqua" w:cs="Arial"/>
          <w:lang w:val="en-US" w:eastAsia="en-US"/>
        </w:rPr>
        <w:t>4</w:t>
      </w:r>
      <w:r w:rsidRPr="00C375A8">
        <w:rPr>
          <w:rFonts w:ascii="Book Antiqua" w:hAnsi="Book Antiqua" w:cs="Arial"/>
          <w:lang w:val="en-US" w:eastAsia="en-US"/>
        </w:rPr>
        <w:t xml:space="preserve">. Section 117B of the 2002 Act tells me that immigration control is in the public interest. None of the factors set out in s.117B of the 2002 Act weigh against the appellant. </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3</w:t>
      </w:r>
      <w:r w:rsidR="0089549F" w:rsidRPr="00F42D33">
        <w:rPr>
          <w:rFonts w:ascii="Book Antiqua" w:hAnsi="Book Antiqua" w:cs="Arial"/>
          <w:lang w:val="en-US" w:eastAsia="en-US"/>
        </w:rPr>
        <w:t>5</w:t>
      </w:r>
      <w:r w:rsidRPr="00C375A8">
        <w:rPr>
          <w:rFonts w:ascii="Book Antiqua" w:hAnsi="Book Antiqua" w:cs="Arial"/>
          <w:lang w:val="en-US" w:eastAsia="en-US"/>
        </w:rPr>
        <w:t xml:space="preserve">. </w:t>
      </w:r>
      <w:proofErr w:type="gramStart"/>
      <w:r w:rsidRPr="00C375A8">
        <w:rPr>
          <w:rFonts w:ascii="Book Antiqua" w:hAnsi="Book Antiqua" w:cs="Arial"/>
          <w:lang w:val="en-US" w:eastAsia="en-US"/>
        </w:rPr>
        <w:t>By virtue of</w:t>
      </w:r>
      <w:proofErr w:type="gramEnd"/>
      <w:r w:rsidRPr="00C375A8">
        <w:rPr>
          <w:rFonts w:ascii="Book Antiqua" w:hAnsi="Book Antiqua" w:cs="Arial"/>
          <w:lang w:val="en-US" w:eastAsia="en-US"/>
        </w:rPr>
        <w:t xml:space="preserve"> section 117D a “qualifying child” means a person who is under the age of 18 and who— (a) is a British citizen, or (b) has lived in the United Kingdom for a continuous period of seven years or more.  If a child is a qualifying child for the purposes of section 117B of the 2002 Act as amended, the issue is whether it is not reasonable for that child to return.</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3</w:t>
      </w:r>
      <w:r w:rsidR="0089549F" w:rsidRPr="00F42D33">
        <w:rPr>
          <w:rFonts w:ascii="Book Antiqua" w:hAnsi="Book Antiqua" w:cs="Arial"/>
          <w:lang w:val="en-US" w:eastAsia="en-US"/>
        </w:rPr>
        <w:t>6</w:t>
      </w:r>
      <w:r w:rsidRPr="00C375A8">
        <w:rPr>
          <w:rFonts w:ascii="Book Antiqua" w:hAnsi="Book Antiqua" w:cs="Arial"/>
          <w:lang w:val="en-US" w:eastAsia="en-US"/>
        </w:rPr>
        <w:t xml:space="preserve">. The appellant’s children are qualifying children, because they are British citizens. The remaining question for me is </w:t>
      </w:r>
      <w:proofErr w:type="gramStart"/>
      <w:r w:rsidRPr="00C375A8">
        <w:rPr>
          <w:rFonts w:ascii="Book Antiqua" w:hAnsi="Book Antiqua" w:cs="Arial"/>
          <w:lang w:val="en-US" w:eastAsia="en-US"/>
        </w:rPr>
        <w:t>whether or not</w:t>
      </w:r>
      <w:proofErr w:type="gramEnd"/>
      <w:r w:rsidRPr="00C375A8">
        <w:rPr>
          <w:rFonts w:ascii="Book Antiqua" w:hAnsi="Book Antiqua" w:cs="Arial"/>
          <w:lang w:val="en-US" w:eastAsia="en-US"/>
        </w:rPr>
        <w:t xml:space="preserve"> it is reasonable to the appellant’s children to leave the UK.</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rPr>
      </w:pPr>
      <w:r w:rsidRPr="00F42D33">
        <w:rPr>
          <w:rFonts w:ascii="Book Antiqua" w:hAnsi="Book Antiqua" w:cs="Arial"/>
        </w:rPr>
        <w:t>3</w:t>
      </w:r>
      <w:r w:rsidR="0089549F" w:rsidRPr="00F42D33">
        <w:rPr>
          <w:rFonts w:ascii="Book Antiqua" w:hAnsi="Book Antiqua" w:cs="Arial"/>
        </w:rPr>
        <w:t>7</w:t>
      </w:r>
      <w:r w:rsidRPr="00C375A8">
        <w:rPr>
          <w:rFonts w:ascii="Book Antiqua" w:hAnsi="Book Antiqua" w:cs="Arial"/>
        </w:rPr>
        <w:t>. In</w:t>
      </w:r>
      <w:r w:rsidRPr="00C375A8">
        <w:rPr>
          <w:rFonts w:ascii="Book Antiqua" w:hAnsi="Book Antiqua" w:cs="Arial"/>
          <w:b/>
        </w:rPr>
        <w:t xml:space="preserve"> </w:t>
      </w:r>
      <w:r w:rsidRPr="00C375A8">
        <w:rPr>
          <w:rFonts w:ascii="Book Antiqua" w:hAnsi="Book Antiqua" w:cs="Arial"/>
          <w:u w:val="single"/>
        </w:rPr>
        <w:t xml:space="preserve">R (on the application of Mansoor) v Secretary of State for the Home Department [2011] EWHC 832 (Admin) </w:t>
      </w:r>
      <w:r w:rsidRPr="00C375A8">
        <w:rPr>
          <w:rFonts w:ascii="Book Antiqua" w:hAnsi="Book Antiqua" w:cs="Arial"/>
        </w:rPr>
        <w:t>it was said that a national enjoyed the international human right as well as the domestic human right to live and remain in their own country (para 42).</w:t>
      </w:r>
    </w:p>
    <w:p w:rsidR="00C375A8" w:rsidRPr="00C375A8" w:rsidRDefault="00C375A8" w:rsidP="00C375A8">
      <w:pPr>
        <w:jc w:val="both"/>
        <w:rPr>
          <w:rFonts w:ascii="Book Antiqua" w:hAnsi="Book Antiqua" w:cs="Arial"/>
          <w:lang w:val="en-US" w:eastAsia="en-US"/>
        </w:rPr>
      </w:pPr>
      <w:r w:rsidRPr="00C375A8">
        <w:rPr>
          <w:rFonts w:ascii="Book Antiqua" w:hAnsi="Book Antiqua" w:cs="Arial"/>
          <w:lang w:val="en-US" w:eastAsia="en-US"/>
        </w:rPr>
        <w:tab/>
      </w:r>
    </w:p>
    <w:p w:rsidR="00C375A8" w:rsidRPr="00C375A8" w:rsidRDefault="00C375A8" w:rsidP="00C375A8">
      <w:pPr>
        <w:tabs>
          <w:tab w:val="num" w:pos="540"/>
        </w:tabs>
        <w:jc w:val="both"/>
        <w:rPr>
          <w:rFonts w:ascii="Book Antiqua" w:hAnsi="Book Antiqua" w:cs="Arial"/>
          <w:i/>
        </w:rPr>
      </w:pPr>
      <w:r w:rsidRPr="00F42D33">
        <w:rPr>
          <w:rFonts w:ascii="Book Antiqua" w:hAnsi="Book Antiqua" w:cs="Arial"/>
        </w:rPr>
        <w:t>3</w:t>
      </w:r>
      <w:r w:rsidR="0089549F" w:rsidRPr="00F42D33">
        <w:rPr>
          <w:rFonts w:ascii="Book Antiqua" w:hAnsi="Book Antiqua" w:cs="Arial"/>
        </w:rPr>
        <w:t>8</w:t>
      </w:r>
      <w:r w:rsidRPr="00C375A8">
        <w:rPr>
          <w:rFonts w:ascii="Book Antiqua" w:hAnsi="Book Antiqua" w:cs="Arial"/>
        </w:rPr>
        <w:t xml:space="preserve">.  I remind </w:t>
      </w:r>
      <w:proofErr w:type="gramStart"/>
      <w:r w:rsidRPr="00C375A8">
        <w:rPr>
          <w:rFonts w:ascii="Book Antiqua" w:hAnsi="Book Antiqua" w:cs="Arial"/>
        </w:rPr>
        <w:t xml:space="preserve">myself </w:t>
      </w:r>
      <w:r w:rsidRPr="00C375A8">
        <w:rPr>
          <w:rFonts w:ascii="Book Antiqua" w:hAnsi="Book Antiqua" w:cs="Arial"/>
          <w:bCs/>
        </w:rPr>
        <w:t xml:space="preserve"> of</w:t>
      </w:r>
      <w:proofErr w:type="gramEnd"/>
      <w:r w:rsidRPr="00C375A8">
        <w:rPr>
          <w:rFonts w:ascii="Book Antiqua" w:hAnsi="Book Antiqua" w:cs="Arial"/>
          <w:bCs/>
        </w:rPr>
        <w:t xml:space="preserve"> Section 55 of the Borders, Citizenship and Immigration Act 2009. In </w:t>
      </w:r>
      <w:r w:rsidRPr="00C375A8">
        <w:rPr>
          <w:rFonts w:ascii="Book Antiqua" w:hAnsi="Book Antiqua" w:cs="Arial"/>
          <w:bCs/>
          <w:u w:val="single"/>
        </w:rPr>
        <w:t xml:space="preserve">ZH (Tanzania) (FC) (Appellant) </w:t>
      </w:r>
      <w:r w:rsidRPr="00C375A8">
        <w:rPr>
          <w:rFonts w:ascii="Book Antiqua" w:hAnsi="Book Antiqua" w:cs="Arial"/>
          <w:bCs/>
          <w:iCs/>
          <w:u w:val="single"/>
        </w:rPr>
        <w:t>v</w:t>
      </w:r>
      <w:r w:rsidRPr="00C375A8">
        <w:rPr>
          <w:rFonts w:ascii="Book Antiqua" w:hAnsi="Book Antiqua" w:cs="Arial"/>
          <w:bCs/>
          <w:u w:val="single"/>
        </w:rPr>
        <w:t xml:space="preserve"> Secretary of State for the Home Department </w:t>
      </w:r>
      <w:r w:rsidRPr="00C375A8">
        <w:rPr>
          <w:rFonts w:ascii="Book Antiqua" w:hAnsi="Book Antiqua" w:cs="Arial"/>
          <w:bCs/>
          <w:u w:val="single"/>
        </w:rPr>
        <w:lastRenderedPageBreak/>
        <w:t xml:space="preserve">(Respondent) [2011] UKSC </w:t>
      </w:r>
      <w:proofErr w:type="gramStart"/>
      <w:r w:rsidRPr="00C375A8">
        <w:rPr>
          <w:rFonts w:ascii="Book Antiqua" w:hAnsi="Book Antiqua" w:cs="Arial"/>
          <w:bCs/>
          <w:u w:val="single"/>
        </w:rPr>
        <w:t>4</w:t>
      </w:r>
      <w:r w:rsidRPr="00C375A8">
        <w:rPr>
          <w:rFonts w:ascii="Book Antiqua" w:hAnsi="Book Antiqua" w:cs="Arial"/>
        </w:rPr>
        <w:t xml:space="preserve">  Lady</w:t>
      </w:r>
      <w:proofErr w:type="gramEnd"/>
      <w:r w:rsidRPr="00C375A8">
        <w:rPr>
          <w:rFonts w:ascii="Book Antiqua" w:hAnsi="Book Antiqua" w:cs="Arial"/>
        </w:rPr>
        <w:t xml:space="preserve"> Hale said that “</w:t>
      </w:r>
      <w:r w:rsidRPr="00C375A8">
        <w:rPr>
          <w:rFonts w:ascii="Book Antiqua" w:hAnsi="Book Antiqua" w:cs="Arial"/>
          <w:i/>
        </w:rPr>
        <w:t xml:space="preserve">Although nationality is not a "trump card" it is of particular importance in assessing the best interests of any child”.  </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rPr>
      </w:pPr>
      <w:r w:rsidRPr="00F42D33">
        <w:rPr>
          <w:rFonts w:ascii="Book Antiqua" w:hAnsi="Book Antiqua" w:cs="Arial"/>
        </w:rPr>
        <w:t>3</w:t>
      </w:r>
      <w:r w:rsidR="0089549F" w:rsidRPr="00F42D33">
        <w:rPr>
          <w:rFonts w:ascii="Book Antiqua" w:hAnsi="Book Antiqua" w:cs="Arial"/>
        </w:rPr>
        <w:t>9</w:t>
      </w:r>
      <w:r w:rsidRPr="00C375A8">
        <w:rPr>
          <w:rFonts w:ascii="Book Antiqua" w:hAnsi="Book Antiqua" w:cs="Arial"/>
        </w:rPr>
        <w:t xml:space="preserve">.  In </w:t>
      </w:r>
      <w:proofErr w:type="gramStart"/>
      <w:r w:rsidRPr="00C375A8">
        <w:rPr>
          <w:rFonts w:ascii="Book Antiqua" w:hAnsi="Book Antiqua" w:cs="Arial"/>
          <w:u w:val="single"/>
        </w:rPr>
        <w:t>R(</w:t>
      </w:r>
      <w:proofErr w:type="gramEnd"/>
      <w:r w:rsidRPr="00C375A8">
        <w:rPr>
          <w:rFonts w:ascii="Book Antiqua" w:hAnsi="Book Antiqua" w:cs="Arial"/>
          <w:u w:val="single"/>
        </w:rPr>
        <w:t xml:space="preserve">on the application MA (Pakistan) and Others) v Upper Tribunal (Immigration and Asylum Chamber) and Another [2016] EWCA </w:t>
      </w:r>
      <w:proofErr w:type="spellStart"/>
      <w:r w:rsidRPr="00C375A8">
        <w:rPr>
          <w:rFonts w:ascii="Book Antiqua" w:hAnsi="Book Antiqua" w:cs="Arial"/>
          <w:u w:val="single"/>
        </w:rPr>
        <w:t>Civ</w:t>
      </w:r>
      <w:proofErr w:type="spellEnd"/>
      <w:r w:rsidRPr="00C375A8">
        <w:rPr>
          <w:rFonts w:ascii="Book Antiqua" w:hAnsi="Book Antiqua" w:cs="Arial"/>
          <w:u w:val="single"/>
        </w:rPr>
        <w:t xml:space="preserve"> 705</w:t>
      </w:r>
      <w:r w:rsidRPr="00C375A8">
        <w:rPr>
          <w:rFonts w:ascii="Book Antiqua" w:hAnsi="Book Antiqua" w:cs="Arial"/>
        </w:rPr>
        <w:t xml:space="preserve"> it was held that in light of the jurisprudence of the Supreme Court, courts and tribunals were not mandated to approach the proportionality exercise where the best interests of the child were in issue in any particular order such that it was an error of law for them to fail to do so:. Although it would usually be sensible to start with the child’s best interests, ultimately it did not matter how the balancing exercise was conducted provided that the child’s best interests were treated as a primary consideration (paras 49, 53–57 and 72).  In </w:t>
      </w:r>
      <w:r w:rsidRPr="00C375A8">
        <w:rPr>
          <w:rFonts w:ascii="Book Antiqua" w:hAnsi="Book Antiqua" w:cs="Arial"/>
          <w:u w:val="single"/>
        </w:rPr>
        <w:t>Kaur (children's best interests / public interest interface) [2017] UKUT 14 (IAC)</w:t>
      </w:r>
      <w:r w:rsidRPr="00C375A8">
        <w:rPr>
          <w:rFonts w:ascii="Book Antiqua" w:hAnsi="Book Antiqua" w:cs="Arial"/>
          <w:b/>
        </w:rPr>
        <w:t xml:space="preserve"> </w:t>
      </w:r>
      <w:r w:rsidRPr="00C375A8">
        <w:rPr>
          <w:rFonts w:ascii="Book Antiqua" w:hAnsi="Book Antiqua" w:cs="Arial"/>
        </w:rPr>
        <w:t>in which</w:t>
      </w:r>
      <w:r w:rsidRPr="00C375A8">
        <w:rPr>
          <w:rFonts w:ascii="Book Antiqua" w:hAnsi="Book Antiqua" w:cs="Arial"/>
          <w:b/>
        </w:rPr>
        <w:t xml:space="preserve"> </w:t>
      </w:r>
      <w:r w:rsidRPr="00C375A8">
        <w:rPr>
          <w:rFonts w:ascii="Book Antiqua" w:hAnsi="Book Antiqua" w:cs="Arial"/>
        </w:rPr>
        <w:t>it was held that</w:t>
      </w:r>
      <w:r w:rsidRPr="00C375A8">
        <w:rPr>
          <w:rFonts w:ascii="Book Antiqua" w:hAnsi="Book Antiqua" w:cs="Arial"/>
          <w:iCs/>
        </w:rPr>
        <w:t xml:space="preserve"> the best </w:t>
      </w:r>
      <w:proofErr w:type="gramStart"/>
      <w:r w:rsidRPr="00C375A8">
        <w:rPr>
          <w:rFonts w:ascii="Book Antiqua" w:hAnsi="Book Antiqua" w:cs="Arial"/>
          <w:iCs/>
        </w:rPr>
        <w:t>interests</w:t>
      </w:r>
      <w:proofErr w:type="gramEnd"/>
      <w:r w:rsidRPr="00C375A8">
        <w:rPr>
          <w:rFonts w:ascii="Book Antiqua" w:hAnsi="Book Antiqua" w:cs="Arial"/>
          <w:iCs/>
        </w:rPr>
        <w:t xml:space="preserve"> assessment should normally be carried out at the beginning of the balancing exercise.</w:t>
      </w:r>
    </w:p>
    <w:p w:rsidR="00C375A8" w:rsidRPr="00C375A8" w:rsidRDefault="00C375A8" w:rsidP="00C375A8">
      <w:pPr>
        <w:jc w:val="both"/>
        <w:rPr>
          <w:rFonts w:ascii="Book Antiqua" w:hAnsi="Book Antiqua" w:cs="Arial"/>
          <w:lang w:val="en-US" w:eastAsia="en-US"/>
        </w:rPr>
      </w:pPr>
    </w:p>
    <w:p w:rsidR="00C375A8" w:rsidRPr="00C375A8" w:rsidRDefault="0089549F" w:rsidP="00C375A8">
      <w:pPr>
        <w:widowControl w:val="0"/>
        <w:overflowPunct w:val="0"/>
        <w:autoSpaceDE w:val="0"/>
        <w:autoSpaceDN w:val="0"/>
        <w:adjustRightInd w:val="0"/>
        <w:jc w:val="both"/>
        <w:rPr>
          <w:rFonts w:ascii="Book Antiqua" w:hAnsi="Book Antiqua" w:cs="Arial"/>
          <w:iCs/>
          <w:kern w:val="28"/>
        </w:rPr>
      </w:pPr>
      <w:r w:rsidRPr="00F42D33">
        <w:rPr>
          <w:rFonts w:ascii="Book Antiqua" w:hAnsi="Book Antiqua" w:cs="Arial"/>
          <w:kern w:val="28"/>
        </w:rPr>
        <w:t>40</w:t>
      </w:r>
      <w:r w:rsidR="00C375A8" w:rsidRPr="00C375A8">
        <w:rPr>
          <w:rFonts w:ascii="Book Antiqua" w:hAnsi="Book Antiqua" w:cs="Arial"/>
          <w:kern w:val="28"/>
        </w:rPr>
        <w:t xml:space="preserve">. In </w:t>
      </w:r>
      <w:r w:rsidR="00C375A8" w:rsidRPr="00C375A8">
        <w:rPr>
          <w:rFonts w:ascii="Book Antiqua" w:hAnsi="Book Antiqua" w:cs="Arial"/>
          <w:kern w:val="28"/>
          <w:u w:val="single"/>
        </w:rPr>
        <w:t>Kaur (children's best interests / public interest interface) [2017] UKUT 14 (IAC)</w:t>
      </w:r>
      <w:r w:rsidR="00C375A8" w:rsidRPr="00C375A8">
        <w:rPr>
          <w:rFonts w:ascii="Book Antiqua" w:hAnsi="Book Antiqua" w:cs="Arial"/>
          <w:kern w:val="28"/>
        </w:rPr>
        <w:t xml:space="preserve"> it was held that t</w:t>
      </w:r>
      <w:r w:rsidR="00C375A8" w:rsidRPr="00C375A8">
        <w:rPr>
          <w:rFonts w:ascii="Book Antiqua" w:hAnsi="Book Antiqua" w:cs="Arial"/>
          <w:iCs/>
          <w:kern w:val="28"/>
        </w:rPr>
        <w:t>he "little weight" provisions in Part 5A of the 2002 Act do not entail an absolute, rigid measurement or concept; "little weight" involves a spectrum which, within its self-contained boundaries, will result in the measurement of the quantum of weight considered appropriate in the fact sensitive context of every case.</w:t>
      </w:r>
    </w:p>
    <w:p w:rsidR="00C375A8" w:rsidRPr="00C375A8" w:rsidRDefault="00C375A8" w:rsidP="00C375A8">
      <w:pPr>
        <w:widowControl w:val="0"/>
        <w:overflowPunct w:val="0"/>
        <w:autoSpaceDE w:val="0"/>
        <w:autoSpaceDN w:val="0"/>
        <w:adjustRightInd w:val="0"/>
        <w:jc w:val="both"/>
        <w:rPr>
          <w:rFonts w:ascii="Book Antiqua" w:hAnsi="Book Antiqua" w:cs="Arial"/>
          <w:kern w:val="28"/>
          <w:lang w:eastAsia="en-US"/>
        </w:rPr>
      </w:pPr>
    </w:p>
    <w:p w:rsidR="00C375A8" w:rsidRPr="00C375A8" w:rsidRDefault="00C375A8" w:rsidP="00C375A8">
      <w:pPr>
        <w:jc w:val="both"/>
        <w:rPr>
          <w:rFonts w:ascii="Book Antiqua" w:hAnsi="Book Antiqua" w:cs="Arial"/>
          <w:i/>
        </w:rPr>
      </w:pPr>
      <w:r w:rsidRPr="00F42D33">
        <w:rPr>
          <w:rFonts w:ascii="Book Antiqua" w:hAnsi="Book Antiqua" w:cs="Arial"/>
        </w:rPr>
        <w:t>4</w:t>
      </w:r>
      <w:r w:rsidR="0089549F" w:rsidRPr="00F42D33">
        <w:rPr>
          <w:rFonts w:ascii="Book Antiqua" w:hAnsi="Book Antiqua" w:cs="Arial"/>
        </w:rPr>
        <w:t>1</w:t>
      </w:r>
      <w:r w:rsidRPr="00C375A8">
        <w:rPr>
          <w:rFonts w:ascii="Book Antiqua" w:hAnsi="Book Antiqua" w:cs="Arial"/>
        </w:rPr>
        <w:t xml:space="preserve">. In </w:t>
      </w:r>
      <w:hyperlink r:id="rId8" w:history="1">
        <w:r w:rsidRPr="00F42D33">
          <w:rPr>
            <w:rFonts w:ascii="Book Antiqua" w:hAnsi="Book Antiqua" w:cs="Arial"/>
            <w:bCs/>
            <w:color w:val="000000"/>
            <w:u w:val="single"/>
          </w:rPr>
          <w:t>AA v Upper Tribunal (Asylum and Immigration Chamber) [2013] CSIH 88</w:t>
        </w:r>
      </w:hyperlink>
      <w:r w:rsidRPr="00C375A8">
        <w:rPr>
          <w:rFonts w:ascii="Book Antiqua" w:hAnsi="Book Antiqua" w:cs="Arial"/>
        </w:rPr>
        <w:t xml:space="preserve"> it was held that there was no error where significant weight had been accorded to the Claimant child's British nationality. In </w:t>
      </w:r>
      <w:proofErr w:type="spellStart"/>
      <w:r w:rsidRPr="00C375A8">
        <w:rPr>
          <w:rFonts w:ascii="Book Antiqua" w:hAnsi="Book Antiqua" w:cs="Arial"/>
          <w:u w:val="single"/>
        </w:rPr>
        <w:t>Sanade</w:t>
      </w:r>
      <w:proofErr w:type="spellEnd"/>
      <w:r w:rsidRPr="00C375A8">
        <w:rPr>
          <w:rFonts w:ascii="Book Antiqua" w:hAnsi="Book Antiqua" w:cs="Arial"/>
          <w:u w:val="single"/>
        </w:rPr>
        <w:t xml:space="preserve"> and others (British children - Zambrano – </w:t>
      </w:r>
      <w:proofErr w:type="spellStart"/>
      <w:r w:rsidRPr="00C375A8">
        <w:rPr>
          <w:rFonts w:ascii="Book Antiqua" w:hAnsi="Book Antiqua" w:cs="Arial"/>
          <w:u w:val="single"/>
        </w:rPr>
        <w:t>Dereci</w:t>
      </w:r>
      <w:proofErr w:type="spellEnd"/>
      <w:r w:rsidRPr="00C375A8">
        <w:rPr>
          <w:rFonts w:ascii="Book Antiqua" w:hAnsi="Book Antiqua" w:cs="Arial"/>
          <w:u w:val="single"/>
        </w:rPr>
        <w:t>)</w:t>
      </w:r>
      <w:r w:rsidRPr="00C375A8">
        <w:rPr>
          <w:rFonts w:ascii="Book Antiqua" w:hAnsi="Book Antiqua" w:cs="Arial"/>
        </w:rPr>
        <w:t xml:space="preserve"> [2012] UKUT 00048 (IAC) the Tribunal held that </w:t>
      </w:r>
      <w:r w:rsidRPr="00C375A8">
        <w:rPr>
          <w:rFonts w:ascii="Book Antiqua" w:hAnsi="Book Antiqua" w:cs="Arial"/>
          <w:iCs/>
          <w:u w:val="single"/>
        </w:rPr>
        <w:t>Case C-34/09 Ruiz Zambrano</w:t>
      </w:r>
      <w:r w:rsidRPr="00C375A8">
        <w:rPr>
          <w:rFonts w:ascii="Book Antiqua" w:hAnsi="Book Antiqua" w:cs="Arial"/>
        </w:rPr>
        <w:t xml:space="preserve"> </w:t>
      </w:r>
      <w:r w:rsidRPr="00C375A8">
        <w:rPr>
          <w:rFonts w:ascii="Book Antiqua" w:hAnsi="Book Antiqua" w:cs="Arial"/>
          <w:iCs/>
        </w:rPr>
        <w:t xml:space="preserve">, </w:t>
      </w:r>
      <w:hyperlink r:id="rId9" w:tooltip="Link to BAILII version" w:history="1">
        <w:r w:rsidRPr="00F42D33">
          <w:rPr>
            <w:rFonts w:ascii="Book Antiqua" w:hAnsi="Book Antiqua" w:cs="Arial"/>
            <w:iCs/>
          </w:rPr>
          <w:t>[2011] EUECJ C-34/09</w:t>
        </w:r>
      </w:hyperlink>
      <w:r w:rsidRPr="00C375A8">
        <w:rPr>
          <w:rFonts w:ascii="Book Antiqua" w:hAnsi="Book Antiqua" w:cs="Arial"/>
          <w:iCs/>
        </w:rPr>
        <w:t xml:space="preserve"> "</w:t>
      </w:r>
      <w:r w:rsidRPr="00C375A8">
        <w:rPr>
          <w:rFonts w:ascii="Book Antiqua" w:hAnsi="Book Antiqua" w:cs="Arial"/>
          <w:i/>
          <w:iCs/>
        </w:rPr>
        <w:t>now makes it clear that where the child or indeed the remaining spouse is a British citizen and therefore a citizen of the European Union, as a matter of EU law it is not possible to require the family as a unit to relocate outside of the European Union or for the Secretary of State to submit that it would be reasonable for them to do so".</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4</w:t>
      </w:r>
      <w:r w:rsidR="0089549F" w:rsidRPr="00F42D33">
        <w:rPr>
          <w:rFonts w:ascii="Book Antiqua" w:hAnsi="Book Antiqua" w:cs="Arial"/>
          <w:lang w:val="en-US" w:eastAsia="en-US"/>
        </w:rPr>
        <w:t>2</w:t>
      </w:r>
      <w:r w:rsidRPr="00C375A8">
        <w:rPr>
          <w:rFonts w:ascii="Book Antiqua" w:hAnsi="Book Antiqua" w:cs="Arial"/>
          <w:lang w:val="en-US" w:eastAsia="en-US"/>
        </w:rPr>
        <w:t xml:space="preserve">. The impact of the respondent’s decision is either that the appellant’s children will be separated from the appellant, or the appellant’s children will leave the UK. The weight of reliable evidence tells me that the appellant’s children will find separation from the appellant to be more than temporarily distressing. They will lose a parent. That cannot be in the best interests of </w:t>
      </w:r>
      <w:r w:rsidR="009343DB">
        <w:rPr>
          <w:rFonts w:ascii="Book Antiqua" w:hAnsi="Book Antiqua" w:cs="Arial"/>
          <w:lang w:val="en-US" w:eastAsia="en-US"/>
        </w:rPr>
        <w:t>a</w:t>
      </w:r>
      <w:r w:rsidRPr="00C375A8">
        <w:rPr>
          <w:rFonts w:ascii="Book Antiqua" w:hAnsi="Book Antiqua" w:cs="Arial"/>
          <w:lang w:val="en-US" w:eastAsia="en-US"/>
        </w:rPr>
        <w:t xml:space="preserve"> child. </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4</w:t>
      </w:r>
      <w:r w:rsidR="0089549F" w:rsidRPr="00F42D33">
        <w:rPr>
          <w:rFonts w:ascii="Book Antiqua" w:hAnsi="Book Antiqua" w:cs="Arial"/>
          <w:lang w:val="en-US" w:eastAsia="en-US"/>
        </w:rPr>
        <w:t>3</w:t>
      </w:r>
      <w:r w:rsidRPr="00C375A8">
        <w:rPr>
          <w:rFonts w:ascii="Book Antiqua" w:hAnsi="Book Antiqua" w:cs="Arial"/>
          <w:lang w:val="en-US" w:eastAsia="en-US"/>
        </w:rPr>
        <w:t xml:space="preserve">. The alternative is that the appellant’s children accompany the appellant to </w:t>
      </w:r>
      <w:r w:rsidRPr="00F42D33">
        <w:rPr>
          <w:rFonts w:ascii="Book Antiqua" w:hAnsi="Book Antiqua" w:cs="Arial"/>
          <w:lang w:val="en-US" w:eastAsia="en-US"/>
        </w:rPr>
        <w:t>Bangladesh</w:t>
      </w:r>
      <w:r w:rsidRPr="00C375A8">
        <w:rPr>
          <w:rFonts w:ascii="Book Antiqua" w:hAnsi="Book Antiqua" w:cs="Arial"/>
          <w:lang w:val="en-US" w:eastAsia="en-US"/>
        </w:rPr>
        <w:t>. If they do that, then two British citizen children will be required to leave the UK.</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4</w:t>
      </w:r>
      <w:r w:rsidR="0089549F" w:rsidRPr="00F42D33">
        <w:rPr>
          <w:rFonts w:ascii="Book Antiqua" w:hAnsi="Book Antiqua" w:cs="Arial"/>
          <w:lang w:val="en-US" w:eastAsia="en-US"/>
        </w:rPr>
        <w:t>4</w:t>
      </w:r>
      <w:r w:rsidRPr="00C375A8">
        <w:rPr>
          <w:rFonts w:ascii="Book Antiqua" w:hAnsi="Book Antiqua" w:cs="Arial"/>
          <w:lang w:val="en-US" w:eastAsia="en-US"/>
        </w:rPr>
        <w:t>. The respondent produces no evidence to explain why the removal of two British citizens is justified. It is arguable that they will all be returning to the</w:t>
      </w:r>
      <w:r w:rsidRPr="00F42D33">
        <w:rPr>
          <w:rFonts w:ascii="Book Antiqua" w:hAnsi="Book Antiqua" w:cs="Arial"/>
          <w:lang w:val="en-US" w:eastAsia="en-US"/>
        </w:rPr>
        <w:t>ir father’s</w:t>
      </w:r>
      <w:r w:rsidRPr="00C375A8">
        <w:rPr>
          <w:rFonts w:ascii="Book Antiqua" w:hAnsi="Book Antiqua" w:cs="Arial"/>
          <w:lang w:val="en-US" w:eastAsia="en-US"/>
        </w:rPr>
        <w:t xml:space="preserve"> country of origin, but that argument ignores the respondent’s own decision to confer British Citizenship on the appellant’s children. That argument runs counter to the respondent’s own IDI’s.</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lastRenderedPageBreak/>
        <w:t>4</w:t>
      </w:r>
      <w:r w:rsidR="0089549F" w:rsidRPr="00F42D33">
        <w:rPr>
          <w:rFonts w:ascii="Book Antiqua" w:hAnsi="Book Antiqua" w:cs="Arial"/>
          <w:lang w:val="en-US" w:eastAsia="en-US"/>
        </w:rPr>
        <w:t>5</w:t>
      </w:r>
      <w:r w:rsidRPr="00C375A8">
        <w:rPr>
          <w:rFonts w:ascii="Book Antiqua" w:hAnsi="Book Antiqua" w:cs="Arial"/>
          <w:lang w:val="en-US" w:eastAsia="en-US"/>
        </w:rPr>
        <w:t>.  As the impact of the respondent’s decision would cause upheaval and distress to young British citizen children, and as on the facts as I find them to be it is not in the children’s best interest to suffer such distress and upheaval, then it cannot be reasonable to expect the children to leave the UK. The appellant benefits from the terms of s.117B of the 2002 Act.</w:t>
      </w:r>
    </w:p>
    <w:p w:rsidR="00C375A8" w:rsidRPr="00C375A8" w:rsidRDefault="00C375A8" w:rsidP="00C375A8">
      <w:pPr>
        <w:jc w:val="both"/>
        <w:rPr>
          <w:rFonts w:ascii="Book Antiqua" w:hAnsi="Book Antiqua" w:cs="Arial"/>
          <w:lang w:val="en-US" w:eastAsia="en-US"/>
        </w:rPr>
      </w:pPr>
    </w:p>
    <w:p w:rsidR="00C375A8" w:rsidRPr="00C375A8" w:rsidRDefault="00C375A8" w:rsidP="00C375A8">
      <w:pPr>
        <w:jc w:val="both"/>
        <w:rPr>
          <w:rFonts w:ascii="Book Antiqua" w:hAnsi="Book Antiqua" w:cs="Arial"/>
          <w:lang w:val="en-US" w:eastAsia="en-US"/>
        </w:rPr>
      </w:pPr>
      <w:r w:rsidRPr="00F42D33">
        <w:rPr>
          <w:rFonts w:ascii="Book Antiqua" w:hAnsi="Book Antiqua" w:cs="Arial"/>
          <w:lang w:val="en-US" w:eastAsia="en-US"/>
        </w:rPr>
        <w:t>4</w:t>
      </w:r>
      <w:r w:rsidR="0089549F" w:rsidRPr="00F42D33">
        <w:rPr>
          <w:rFonts w:ascii="Book Antiqua" w:hAnsi="Book Antiqua" w:cs="Arial"/>
          <w:lang w:val="en-US" w:eastAsia="en-US"/>
        </w:rPr>
        <w:t>6</w:t>
      </w:r>
      <w:r w:rsidRPr="00C375A8">
        <w:rPr>
          <w:rFonts w:ascii="Book Antiqua" w:hAnsi="Book Antiqua" w:cs="Arial"/>
          <w:lang w:val="en-US" w:eastAsia="en-US"/>
        </w:rPr>
        <w:t>. I therefore find that the public interest in immigration control is outweighed by the interests of the appellant’s children. I therefore find that the respondent’s decision is a disproportionate breach of the appellant’s right to respect for family life.</w:t>
      </w:r>
    </w:p>
    <w:p w:rsidR="0089549F" w:rsidRPr="00F42D33" w:rsidRDefault="0089549F" w:rsidP="0089549F">
      <w:pPr>
        <w:tabs>
          <w:tab w:val="right" w:pos="9720"/>
        </w:tabs>
        <w:ind w:right="-82"/>
        <w:jc w:val="both"/>
        <w:rPr>
          <w:rFonts w:ascii="Book Antiqua" w:hAnsi="Book Antiqua" w:cs="Arial"/>
          <w:kern w:val="28"/>
          <w:lang w:eastAsia="en-US"/>
        </w:rPr>
      </w:pPr>
    </w:p>
    <w:p w:rsidR="0089549F" w:rsidRPr="00F42D33" w:rsidRDefault="0089549F" w:rsidP="0089549F">
      <w:pPr>
        <w:tabs>
          <w:tab w:val="right" w:pos="9720"/>
        </w:tabs>
        <w:ind w:right="-82"/>
        <w:jc w:val="both"/>
        <w:rPr>
          <w:rFonts w:ascii="Book Antiqua" w:hAnsi="Book Antiqua" w:cs="Arial"/>
          <w:kern w:val="28"/>
          <w:lang w:eastAsia="en-US"/>
        </w:rPr>
      </w:pPr>
      <w:r w:rsidRPr="00F42D33">
        <w:rPr>
          <w:rFonts w:ascii="Book Antiqua" w:hAnsi="Book Antiqua" w:cs="Arial"/>
          <w:kern w:val="28"/>
          <w:lang w:eastAsia="en-US"/>
        </w:rPr>
        <w:t xml:space="preserve">47. On the facts as I find them to be, family life exists.  The respondent’s decision is an interference with that family life. The burden therefore shifts to the respondent to show that the interference was justified. The respondent relies solely on the public interest in effective immigration control. On the facts as I find them to be the appellant meets the requirements of EX.1 of the immigration rules. </w:t>
      </w:r>
    </w:p>
    <w:p w:rsidR="0089549F" w:rsidRPr="00F42D33" w:rsidRDefault="0089549F" w:rsidP="0089549F">
      <w:pPr>
        <w:tabs>
          <w:tab w:val="right" w:pos="9720"/>
        </w:tabs>
        <w:ind w:right="-82"/>
        <w:jc w:val="both"/>
        <w:rPr>
          <w:rFonts w:ascii="Book Antiqua" w:hAnsi="Book Antiqua" w:cs="Arial"/>
          <w:kern w:val="28"/>
          <w:lang w:eastAsia="en-US"/>
        </w:rPr>
      </w:pPr>
    </w:p>
    <w:p w:rsidR="0089549F" w:rsidRPr="00F42D33" w:rsidRDefault="0089549F" w:rsidP="0089549F">
      <w:pPr>
        <w:jc w:val="both"/>
        <w:rPr>
          <w:rFonts w:ascii="Book Antiqua" w:hAnsi="Book Antiqua" w:cs="Arial"/>
        </w:rPr>
      </w:pPr>
      <w:r w:rsidRPr="00F42D33">
        <w:rPr>
          <w:rFonts w:ascii="Book Antiqua" w:hAnsi="Book Antiqua" w:cs="Arial"/>
          <w:kern w:val="28"/>
          <w:lang w:eastAsia="en-US"/>
        </w:rPr>
        <w:t xml:space="preserve">48. The respondent’s position is that the appellant can return to Bangladesh and make an application for leave to enter from there.  </w:t>
      </w:r>
      <w:r w:rsidRPr="00F42D33">
        <w:rPr>
          <w:rFonts w:ascii="Book Antiqua" w:hAnsi="Book Antiqua" w:cs="Arial"/>
          <w:lang w:val="en-US"/>
        </w:rPr>
        <w:t xml:space="preserve">In </w:t>
      </w:r>
      <w:proofErr w:type="spellStart"/>
      <w:r w:rsidRPr="00F42D33">
        <w:rPr>
          <w:rFonts w:ascii="Book Antiqua" w:hAnsi="Book Antiqua" w:cs="Arial"/>
          <w:bCs/>
          <w:u w:val="single"/>
          <w:lang w:val="en-US"/>
        </w:rPr>
        <w:t>Chikwamba</w:t>
      </w:r>
      <w:proofErr w:type="spellEnd"/>
      <w:r w:rsidRPr="00F42D33">
        <w:rPr>
          <w:rFonts w:ascii="Book Antiqua" w:hAnsi="Book Antiqua" w:cs="Arial"/>
          <w:bCs/>
          <w:u w:val="single"/>
          <w:lang w:val="en-US"/>
        </w:rPr>
        <w:t xml:space="preserve"> (FC) v SSHD</w:t>
      </w:r>
      <w:r w:rsidRPr="00F42D33">
        <w:rPr>
          <w:rFonts w:ascii="Book Antiqua" w:hAnsi="Book Antiqua" w:cs="Arial"/>
          <w:bCs/>
          <w:lang w:val="en-US"/>
        </w:rPr>
        <w:t xml:space="preserve"> 2008 UKHL 40</w:t>
      </w:r>
      <w:r w:rsidRPr="00F42D33">
        <w:rPr>
          <w:rFonts w:ascii="Book Antiqua" w:hAnsi="Book Antiqua" w:cs="Arial"/>
        </w:rPr>
        <w:t xml:space="preserve">, the House of Lords said that in deciding whether a general policy of requiring people such as the Appellant to return to apply for entry in accordance with the rules of this country was legitimate and proportionate in a </w:t>
      </w:r>
      <w:proofErr w:type="gramStart"/>
      <w:r w:rsidRPr="00F42D33">
        <w:rPr>
          <w:rFonts w:ascii="Book Antiqua" w:hAnsi="Book Antiqua" w:cs="Arial"/>
        </w:rPr>
        <w:t>particular case</w:t>
      </w:r>
      <w:proofErr w:type="gramEnd"/>
      <w:r w:rsidRPr="00F42D33">
        <w:rPr>
          <w:rFonts w:ascii="Book Antiqua" w:hAnsi="Book Antiqua" w:cs="Arial"/>
        </w:rPr>
        <w:t>, it was necessary to consider what the benefits of the policy were.  Whilst acknowledging the deterrent effect of the policy the House of Lords queried the underlying basis of the policy in other respects and made it clear that the policy should not be applied in a rigid, Kafka-</w:t>
      </w:r>
      <w:proofErr w:type="spellStart"/>
      <w:r w:rsidRPr="00F42D33">
        <w:rPr>
          <w:rFonts w:ascii="Book Antiqua" w:hAnsi="Book Antiqua" w:cs="Arial"/>
        </w:rPr>
        <w:t>esque</w:t>
      </w:r>
      <w:proofErr w:type="spellEnd"/>
      <w:r w:rsidRPr="00F42D33">
        <w:rPr>
          <w:rFonts w:ascii="Book Antiqua" w:hAnsi="Book Antiqua" w:cs="Arial"/>
        </w:rPr>
        <w:t xml:space="preserve"> manner.  The House of Lords went on to say that it would be “</w:t>
      </w:r>
      <w:r w:rsidRPr="00F42D33">
        <w:rPr>
          <w:rFonts w:ascii="Book Antiqua" w:hAnsi="Book Antiqua" w:cs="Arial"/>
          <w:i/>
        </w:rPr>
        <w:t>comparatively rarely, certainly in family cases involving children</w:t>
      </w:r>
      <w:r w:rsidRPr="00F42D33">
        <w:rPr>
          <w:rFonts w:ascii="Book Antiqua" w:hAnsi="Book Antiqua" w:cs="Arial"/>
        </w:rPr>
        <w:t xml:space="preserve">” that an Article 8 case should be dismissed on the basis that it would be proportionate and more appropriate for the Appellant to apply for leave from abroad. </w:t>
      </w:r>
    </w:p>
    <w:p w:rsidR="0089549F" w:rsidRPr="00F42D33" w:rsidRDefault="0089549F" w:rsidP="0089549F">
      <w:pPr>
        <w:ind w:left="709" w:hanging="709"/>
        <w:jc w:val="both"/>
        <w:rPr>
          <w:rFonts w:ascii="Book Antiqua" w:hAnsi="Book Antiqua" w:cs="Arial"/>
          <w:lang w:val="en-US"/>
        </w:rPr>
      </w:pPr>
    </w:p>
    <w:p w:rsidR="0089549F" w:rsidRPr="00F42D33" w:rsidRDefault="0089549F" w:rsidP="0089549F">
      <w:pPr>
        <w:jc w:val="both"/>
        <w:rPr>
          <w:rFonts w:ascii="Book Antiqua" w:hAnsi="Book Antiqua" w:cs="Arial"/>
        </w:rPr>
      </w:pPr>
      <w:r w:rsidRPr="00F42D33">
        <w:rPr>
          <w:rFonts w:ascii="Book Antiqua" w:hAnsi="Book Antiqua" w:cs="Arial"/>
          <w:lang w:val="en-US"/>
        </w:rPr>
        <w:t xml:space="preserve">49. </w:t>
      </w:r>
      <w:r w:rsidRPr="00F42D33">
        <w:rPr>
          <w:rFonts w:ascii="Book Antiqua" w:hAnsi="Book Antiqua" w:cs="Arial"/>
        </w:rPr>
        <w:t xml:space="preserve"> </w:t>
      </w:r>
      <w:r w:rsidRPr="00F42D33">
        <w:rPr>
          <w:rFonts w:ascii="Book Antiqua" w:hAnsi="Book Antiqua" w:cs="Arial"/>
          <w:color w:val="000000"/>
        </w:rPr>
        <w:t xml:space="preserve">In </w:t>
      </w:r>
      <w:hyperlink r:id="rId10" w:tooltip="https://tribunalsdecisions.service.gov.uk/utiac/2015-ukut-00189" w:history="1">
        <w:r w:rsidRPr="00F42D33">
          <w:rPr>
            <w:rStyle w:val="Hyperlink"/>
            <w:rFonts w:ascii="Book Antiqua" w:hAnsi="Book Antiqua" w:cs="Arial"/>
            <w:color w:val="000000"/>
          </w:rPr>
          <w:t xml:space="preserve">R (on the application of Chen) v SSHD (Appendix FM – </w:t>
        </w:r>
        <w:proofErr w:type="spellStart"/>
        <w:r w:rsidRPr="00F42D33">
          <w:rPr>
            <w:rStyle w:val="Hyperlink"/>
            <w:rFonts w:ascii="Book Antiqua" w:hAnsi="Book Antiqua" w:cs="Arial"/>
            <w:color w:val="000000"/>
          </w:rPr>
          <w:t>Chikwamba</w:t>
        </w:r>
        <w:proofErr w:type="spellEnd"/>
        <w:r w:rsidRPr="00F42D33">
          <w:rPr>
            <w:rStyle w:val="Hyperlink"/>
            <w:rFonts w:ascii="Book Antiqua" w:hAnsi="Book Antiqua" w:cs="Arial"/>
            <w:color w:val="000000"/>
          </w:rPr>
          <w:t xml:space="preserve"> – temporary separation – proportionality) IJR [2015] UKUT 00189 (IAC)</w:t>
        </w:r>
      </w:hyperlink>
      <w:r w:rsidRPr="00F42D33">
        <w:rPr>
          <w:rFonts w:ascii="Book Antiqua" w:hAnsi="Book Antiqua" w:cs="Arial"/>
          <w:color w:val="000000"/>
        </w:rPr>
        <w:t xml:space="preserve"> it was held that </w:t>
      </w:r>
      <w:r w:rsidRPr="00F42D33">
        <w:rPr>
          <w:rFonts w:ascii="Book Antiqua" w:hAnsi="Book Antiqua" w:cs="Arial"/>
          <w:iCs/>
          <w:color w:val="000000"/>
        </w:rPr>
        <w:t>(</w:t>
      </w:r>
      <w:proofErr w:type="spellStart"/>
      <w:r w:rsidRPr="00F42D33">
        <w:rPr>
          <w:rFonts w:ascii="Book Antiqua" w:hAnsi="Book Antiqua" w:cs="Arial"/>
          <w:iCs/>
          <w:color w:val="000000"/>
        </w:rPr>
        <w:t>i</w:t>
      </w:r>
      <w:proofErr w:type="spellEnd"/>
      <w:r w:rsidRPr="00F42D33">
        <w:rPr>
          <w:rFonts w:ascii="Book Antiqua" w:hAnsi="Book Antiqua" w:cs="Arial"/>
          <w:iCs/>
          <w:color w:val="000000"/>
        </w:rPr>
        <w:t xml:space="preserve">) Appendix FM does not include consideration of the question whether it would be disproportionate to expect an individual to return to his home country to make an entry clearance application to re-join family members in the U.K. There may be cases in which there are no insurmountable obstacles to family life being enjoyed outside the U.K. but where temporary separation to enable an individual to make an application for entry clearance may be disproportionate. In all cases, it will be for the individual to place before the Secretary of State evidence that such temporary separation will interfere disproportionately with protected rights. It will not be enough to rely solely upon the case-law concerning </w:t>
      </w:r>
      <w:proofErr w:type="spellStart"/>
      <w:r w:rsidRPr="00F42D33">
        <w:rPr>
          <w:rFonts w:ascii="Book Antiqua" w:hAnsi="Book Antiqua" w:cs="Arial"/>
          <w:iCs/>
          <w:color w:val="000000"/>
          <w:u w:val="single"/>
        </w:rPr>
        <w:t>Chikwamba</w:t>
      </w:r>
      <w:proofErr w:type="spellEnd"/>
      <w:r w:rsidRPr="00F42D33">
        <w:rPr>
          <w:rFonts w:ascii="Book Antiqua" w:hAnsi="Book Antiqua" w:cs="Arial"/>
          <w:iCs/>
          <w:color w:val="000000"/>
          <w:u w:val="single"/>
        </w:rPr>
        <w:t xml:space="preserve"> v SSHD</w:t>
      </w:r>
      <w:r w:rsidRPr="00F42D33">
        <w:rPr>
          <w:rFonts w:ascii="Book Antiqua" w:hAnsi="Book Antiqua" w:cs="Arial"/>
          <w:iCs/>
          <w:color w:val="000000"/>
        </w:rPr>
        <w:t xml:space="preserve"> [2008] UKHL 40. (ii) Lord Brown was not laying down a legal test when he suggested in </w:t>
      </w:r>
      <w:proofErr w:type="spellStart"/>
      <w:r w:rsidRPr="00F42D33">
        <w:rPr>
          <w:rFonts w:ascii="Book Antiqua" w:hAnsi="Book Antiqua" w:cs="Arial"/>
          <w:iCs/>
          <w:color w:val="000000"/>
          <w:u w:val="single"/>
        </w:rPr>
        <w:t>Chikwamba</w:t>
      </w:r>
      <w:proofErr w:type="spellEnd"/>
      <w:r w:rsidRPr="00F42D33">
        <w:rPr>
          <w:rFonts w:ascii="Book Antiqua" w:hAnsi="Book Antiqua" w:cs="Arial"/>
          <w:iCs/>
          <w:color w:val="000000"/>
        </w:rPr>
        <w:t xml:space="preserve"> that requiring a claimant to make an application for entry clearance would only “comparatively rarely” be proportionate in a case involving children</w:t>
      </w:r>
      <w:r w:rsidRPr="00F42D33">
        <w:rPr>
          <w:rFonts w:ascii="Book Antiqua" w:hAnsi="Book Antiqua" w:cs="Arial"/>
          <w:b/>
          <w:iCs/>
          <w:color w:val="000000"/>
        </w:rPr>
        <w:t>.</w:t>
      </w:r>
      <w:r w:rsidRPr="00F42D33">
        <w:rPr>
          <w:rFonts w:ascii="Book Antiqua" w:hAnsi="Book Antiqua" w:cs="Arial"/>
          <w:iCs/>
          <w:color w:val="000000"/>
        </w:rPr>
        <w:t xml:space="preserve">  </w:t>
      </w:r>
      <w:r w:rsidRPr="00F42D33">
        <w:rPr>
          <w:rFonts w:ascii="Book Antiqua" w:hAnsi="Book Antiqua" w:cs="Arial"/>
        </w:rPr>
        <w:t xml:space="preserve"> However, where a failure to comply in a particular capacity is the only issue so far as the Rules are concerned, that may well be an insufficient reason for refusing the case under Article 8 outside the rules.</w:t>
      </w:r>
    </w:p>
    <w:p w:rsidR="0089549F" w:rsidRPr="00F42D33" w:rsidRDefault="0089549F" w:rsidP="0089549F">
      <w:pPr>
        <w:jc w:val="both"/>
        <w:rPr>
          <w:rFonts w:ascii="Book Antiqua" w:hAnsi="Book Antiqua" w:cs="Arial"/>
          <w:lang w:val="en-US"/>
        </w:rPr>
      </w:pPr>
    </w:p>
    <w:p w:rsidR="0089549F" w:rsidRPr="00F42D33" w:rsidRDefault="0089549F" w:rsidP="0089549F">
      <w:pPr>
        <w:jc w:val="both"/>
        <w:rPr>
          <w:rFonts w:ascii="Book Antiqua" w:hAnsi="Book Antiqua" w:cs="Arial"/>
        </w:rPr>
      </w:pPr>
      <w:r w:rsidRPr="00F42D33">
        <w:rPr>
          <w:rFonts w:ascii="Book Antiqua" w:hAnsi="Book Antiqua" w:cs="Arial"/>
          <w:lang w:val="en-US"/>
        </w:rPr>
        <w:t xml:space="preserve">50. </w:t>
      </w:r>
      <w:r w:rsidRPr="00F42D33">
        <w:rPr>
          <w:rFonts w:ascii="Book Antiqua" w:hAnsi="Book Antiqua" w:cs="Arial"/>
        </w:rPr>
        <w:t xml:space="preserve"> In </w:t>
      </w:r>
      <w:proofErr w:type="spellStart"/>
      <w:r w:rsidRPr="00F42D33">
        <w:rPr>
          <w:rFonts w:ascii="Book Antiqua" w:hAnsi="Book Antiqua" w:cs="Arial"/>
          <w:u w:val="single"/>
        </w:rPr>
        <w:t>Agyarko</w:t>
      </w:r>
      <w:proofErr w:type="spellEnd"/>
      <w:r w:rsidRPr="00F42D33">
        <w:rPr>
          <w:rFonts w:ascii="Book Antiqua" w:hAnsi="Book Antiqua" w:cs="Arial"/>
          <w:u w:val="single"/>
        </w:rPr>
        <w:t xml:space="preserve"> </w:t>
      </w:r>
      <w:r w:rsidRPr="00F42D33">
        <w:rPr>
          <w:rFonts w:ascii="Book Antiqua" w:hAnsi="Book Antiqua" w:cs="Arial"/>
        </w:rPr>
        <w:t xml:space="preserve">[2017] UKSC 10 Lord Reed said that if an applicant, even if residing in the UK unlawfully, was otherwise certain to be granted leave to enter, at least if an application were made from outside the UK, then there might be no public interest in his or her removal and that point was illustrated by </w:t>
      </w:r>
      <w:proofErr w:type="spellStart"/>
      <w:r w:rsidRPr="00F42D33">
        <w:rPr>
          <w:rFonts w:ascii="Book Antiqua" w:hAnsi="Book Antiqua" w:cs="Arial"/>
          <w:u w:val="single"/>
        </w:rPr>
        <w:t>Chikwamba</w:t>
      </w:r>
      <w:proofErr w:type="spellEnd"/>
      <w:r w:rsidRPr="00F42D33">
        <w:rPr>
          <w:rFonts w:ascii="Book Antiqua" w:hAnsi="Book Antiqua" w:cs="Arial"/>
        </w:rPr>
        <w:t xml:space="preserve">. </w:t>
      </w:r>
    </w:p>
    <w:p w:rsidR="0089549F" w:rsidRPr="00F42D33" w:rsidRDefault="0089549F" w:rsidP="0089549F">
      <w:pPr>
        <w:ind w:left="709" w:hanging="709"/>
        <w:jc w:val="both"/>
        <w:rPr>
          <w:rFonts w:ascii="Book Antiqua" w:hAnsi="Book Antiqua" w:cs="Arial"/>
          <w:lang w:val="en-US"/>
        </w:rPr>
      </w:pPr>
    </w:p>
    <w:p w:rsidR="0089549F" w:rsidRPr="00F42D33" w:rsidRDefault="0089549F" w:rsidP="0089549F">
      <w:pPr>
        <w:tabs>
          <w:tab w:val="right" w:pos="9720"/>
        </w:tabs>
        <w:ind w:right="-82"/>
        <w:jc w:val="both"/>
        <w:rPr>
          <w:rFonts w:ascii="Book Antiqua" w:hAnsi="Book Antiqua" w:cs="Arial"/>
          <w:kern w:val="28"/>
          <w:lang w:eastAsia="en-US"/>
        </w:rPr>
      </w:pPr>
      <w:r w:rsidRPr="00F42D33">
        <w:rPr>
          <w:rFonts w:ascii="Book Antiqua" w:hAnsi="Book Antiqua" w:cs="Arial"/>
          <w:kern w:val="28"/>
          <w:lang w:eastAsia="en-US"/>
        </w:rPr>
        <w:t xml:space="preserve">51. Part of the respondent’s argument is that the appellant could make a successful application to return to the UK to join his wife and children. Caselaw tells me that the refusal of leave to remain must therefore be a disproportionate breach of the right to respect for family life. </w:t>
      </w:r>
    </w:p>
    <w:p w:rsidR="0089549F" w:rsidRPr="00F42D33" w:rsidRDefault="0089549F" w:rsidP="0089549F">
      <w:pPr>
        <w:spacing w:before="240"/>
        <w:jc w:val="both"/>
        <w:rPr>
          <w:rFonts w:ascii="Book Antiqua" w:hAnsi="Book Antiqua" w:cs="Arial"/>
          <w:iCs/>
        </w:rPr>
      </w:pPr>
      <w:r w:rsidRPr="00F42D33">
        <w:rPr>
          <w:rFonts w:ascii="Book Antiqua" w:hAnsi="Book Antiqua" w:cs="Arial"/>
          <w:color w:val="000000"/>
        </w:rPr>
        <w:t xml:space="preserve">52. In </w:t>
      </w:r>
      <w:r w:rsidRPr="00F42D33">
        <w:rPr>
          <w:rFonts w:ascii="Book Antiqua" w:hAnsi="Book Antiqua" w:cs="Arial"/>
          <w:color w:val="000000"/>
          <w:u w:val="single"/>
        </w:rPr>
        <w:t>Mostafa (Article 8 in entry clearance</w:t>
      </w:r>
      <w:r w:rsidRPr="00F42D33">
        <w:rPr>
          <w:rFonts w:ascii="Book Antiqua" w:hAnsi="Book Antiqua" w:cs="Arial"/>
          <w:color w:val="000000"/>
        </w:rPr>
        <w:t>) [2015] UKUT 112 (IAC) t</w:t>
      </w:r>
      <w:r w:rsidRPr="00F42D33">
        <w:rPr>
          <w:rFonts w:ascii="Book Antiqua" w:hAnsi="Book Antiqua" w:cs="Arial"/>
        </w:rPr>
        <w:t>he Tribunal held that</w:t>
      </w:r>
      <w:r w:rsidRPr="00F42D33">
        <w:rPr>
          <w:rFonts w:ascii="Book Antiqua" w:hAnsi="Book Antiqua" w:cs="Arial"/>
          <w:iCs/>
        </w:rPr>
        <w:t xml:space="preserve"> the claimant’s ability to satisfy the Immigration Rules is not the question to be determined by the Tribunal, but is capable of being a weighty, though not determinative, factor when deciding whether such refusal is proportionate to the legitimate aim of enforcing immigration control. </w:t>
      </w:r>
    </w:p>
    <w:p w:rsidR="0089549F" w:rsidRPr="00F42D33" w:rsidRDefault="0089549F" w:rsidP="0089549F">
      <w:pPr>
        <w:jc w:val="both"/>
        <w:rPr>
          <w:rFonts w:ascii="Book Antiqua" w:hAnsi="Book Antiqua" w:cs="Arial"/>
          <w:color w:val="000000"/>
        </w:rPr>
      </w:pPr>
    </w:p>
    <w:p w:rsidR="0089549F" w:rsidRPr="00F42D33" w:rsidRDefault="0089549F" w:rsidP="0089549F">
      <w:pPr>
        <w:jc w:val="both"/>
        <w:rPr>
          <w:rFonts w:ascii="Book Antiqua" w:hAnsi="Book Antiqua" w:cs="Arial"/>
        </w:rPr>
      </w:pPr>
      <w:r w:rsidRPr="00F42D33">
        <w:rPr>
          <w:rFonts w:ascii="Book Antiqua" w:hAnsi="Book Antiqua" w:cs="Arial"/>
          <w:color w:val="000000"/>
        </w:rPr>
        <w:t xml:space="preserve">53. </w:t>
      </w:r>
      <w:r w:rsidRPr="00F42D33">
        <w:rPr>
          <w:rFonts w:ascii="Book Antiqua" w:hAnsi="Book Antiqua" w:cs="Arial"/>
          <w:bCs/>
        </w:rPr>
        <w:t>In</w:t>
      </w:r>
      <w:r w:rsidRPr="00F42D33">
        <w:rPr>
          <w:rFonts w:ascii="Book Antiqua" w:hAnsi="Book Antiqua" w:cs="Arial"/>
          <w:b/>
          <w:bCs/>
        </w:rPr>
        <w:t xml:space="preserve"> </w:t>
      </w:r>
      <w:r w:rsidRPr="00F42D33">
        <w:rPr>
          <w:rFonts w:ascii="Book Antiqua" w:hAnsi="Book Antiqua" w:cs="Arial"/>
          <w:bCs/>
          <w:iCs/>
          <w:u w:val="single"/>
        </w:rPr>
        <w:t>R (on the application of MA (Pakistan) and Others) v Upper Tribunal (Immigration and Asylum Chamber) and Another</w:t>
      </w:r>
      <w:r w:rsidRPr="00F42D33">
        <w:rPr>
          <w:rFonts w:ascii="Book Antiqua" w:hAnsi="Book Antiqua" w:cs="Arial"/>
          <w:bCs/>
          <w:iCs/>
        </w:rPr>
        <w:t xml:space="preserve"> </w:t>
      </w:r>
      <w:r w:rsidRPr="00F42D33">
        <w:rPr>
          <w:rFonts w:ascii="Book Antiqua" w:hAnsi="Book Antiqua" w:cs="Arial"/>
          <w:bCs/>
        </w:rPr>
        <w:t xml:space="preserve">[2016] EWCA </w:t>
      </w:r>
      <w:proofErr w:type="spellStart"/>
      <w:r w:rsidRPr="00F42D33">
        <w:rPr>
          <w:rFonts w:ascii="Book Antiqua" w:hAnsi="Book Antiqua" w:cs="Arial"/>
          <w:bCs/>
        </w:rPr>
        <w:t>Civ</w:t>
      </w:r>
      <w:proofErr w:type="spellEnd"/>
      <w:r w:rsidRPr="00F42D33">
        <w:rPr>
          <w:rFonts w:ascii="Book Antiqua" w:hAnsi="Book Antiqua" w:cs="Arial"/>
          <w:bCs/>
        </w:rPr>
        <w:t xml:space="preserve"> 705 i</w:t>
      </w:r>
      <w:r w:rsidRPr="00F42D33">
        <w:rPr>
          <w:rFonts w:ascii="Book Antiqua" w:hAnsi="Book Antiqua" w:cs="Arial"/>
        </w:rPr>
        <w:t xml:space="preserve">t </w:t>
      </w:r>
      <w:proofErr w:type="gramStart"/>
      <w:r w:rsidRPr="00F42D33">
        <w:rPr>
          <w:rFonts w:ascii="Book Antiqua" w:hAnsi="Book Antiqua" w:cs="Arial"/>
        </w:rPr>
        <w:t>was  confirmed</w:t>
      </w:r>
      <w:proofErr w:type="gramEnd"/>
      <w:r w:rsidRPr="00F42D33">
        <w:rPr>
          <w:rFonts w:ascii="Book Antiqua" w:hAnsi="Book Antiqua" w:cs="Arial"/>
        </w:rPr>
        <w:t xml:space="preserve"> that if section 117B(6) applies then "</w:t>
      </w:r>
      <w:r w:rsidRPr="00F42D33">
        <w:rPr>
          <w:rFonts w:ascii="Book Antiqua" w:hAnsi="Book Antiqua" w:cs="Arial"/>
          <w:i/>
        </w:rPr>
        <w:t>there can be no doubt that section 117B(6) must be read as a self-contained provision in the sense that Parliament has stipulated that where the conditions specified in the sub-section are satisfied, the public interest will not justify removal."</w:t>
      </w:r>
      <w:r w:rsidRPr="00F42D33">
        <w:rPr>
          <w:rFonts w:ascii="Book Antiqua" w:hAnsi="Book Antiqua" w:cs="Arial"/>
        </w:rPr>
        <w:t xml:space="preserve"> </w:t>
      </w:r>
    </w:p>
    <w:p w:rsidR="0089549F" w:rsidRPr="00F42D33" w:rsidRDefault="0089549F" w:rsidP="0089549F">
      <w:pPr>
        <w:jc w:val="both"/>
        <w:rPr>
          <w:rFonts w:ascii="Book Antiqua" w:hAnsi="Book Antiqua" w:cs="Arial"/>
          <w:color w:val="000000"/>
        </w:rPr>
      </w:pPr>
    </w:p>
    <w:p w:rsidR="0089549F" w:rsidRPr="00F42D33" w:rsidRDefault="0089549F" w:rsidP="0089549F">
      <w:pPr>
        <w:jc w:val="both"/>
        <w:rPr>
          <w:rFonts w:ascii="Book Antiqua" w:hAnsi="Book Antiqua" w:cs="Arial"/>
          <w:color w:val="000000"/>
        </w:rPr>
      </w:pPr>
      <w:r w:rsidRPr="00F42D33">
        <w:rPr>
          <w:rFonts w:ascii="Book Antiqua" w:hAnsi="Book Antiqua" w:cs="Arial"/>
          <w:color w:val="000000"/>
        </w:rPr>
        <w:t>54. Because the appellant meets the requirements of paragraph EX.1 of the immigration rules and because section 117</w:t>
      </w:r>
      <w:proofErr w:type="gramStart"/>
      <w:r w:rsidRPr="00F42D33">
        <w:rPr>
          <w:rFonts w:ascii="Book Antiqua" w:hAnsi="Book Antiqua" w:cs="Arial"/>
          <w:color w:val="000000"/>
        </w:rPr>
        <w:t>B(</w:t>
      </w:r>
      <w:proofErr w:type="gramEnd"/>
      <w:r w:rsidRPr="00F42D33">
        <w:rPr>
          <w:rFonts w:ascii="Book Antiqua" w:hAnsi="Book Antiqua" w:cs="Arial"/>
          <w:color w:val="000000"/>
        </w:rPr>
        <w:t>6) of the 2002 Act weighs in the appellant’s favour, I find that the public interest does not justify removal. That finding leads me to the conclusion that the respondent’s decision is a disproportionate interference with the right to respect for article 8 family life.</w:t>
      </w:r>
    </w:p>
    <w:p w:rsidR="00C375A8" w:rsidRPr="00C375A8" w:rsidRDefault="00C375A8" w:rsidP="00C375A8">
      <w:pPr>
        <w:spacing w:before="240"/>
        <w:jc w:val="both"/>
        <w:rPr>
          <w:rFonts w:ascii="Book Antiqua" w:hAnsi="Book Antiqua" w:cs="Arial"/>
          <w:b/>
        </w:rPr>
      </w:pPr>
      <w:r w:rsidRPr="00C375A8">
        <w:rPr>
          <w:rFonts w:ascii="Book Antiqua" w:hAnsi="Book Antiqua" w:cs="Arial"/>
          <w:b/>
        </w:rPr>
        <w:t>CONCLUSION</w:t>
      </w:r>
    </w:p>
    <w:p w:rsidR="00C375A8" w:rsidRPr="00C375A8" w:rsidRDefault="00F42D33" w:rsidP="00C375A8">
      <w:pPr>
        <w:spacing w:before="240"/>
        <w:jc w:val="both"/>
        <w:rPr>
          <w:rFonts w:ascii="Book Antiqua" w:hAnsi="Book Antiqua" w:cs="Arial"/>
          <w:b/>
        </w:rPr>
      </w:pPr>
      <w:r w:rsidRPr="00F42D33">
        <w:rPr>
          <w:rFonts w:ascii="Book Antiqua" w:hAnsi="Book Antiqua" w:cs="Arial"/>
          <w:b/>
        </w:rPr>
        <w:t>55</w:t>
      </w:r>
      <w:r w:rsidR="00C375A8" w:rsidRPr="00C375A8">
        <w:rPr>
          <w:rFonts w:ascii="Book Antiqua" w:hAnsi="Book Antiqua" w:cs="Arial"/>
          <w:b/>
        </w:rPr>
        <w:t xml:space="preserve">. The decision of the First-tier Tribunal promulgated on </w:t>
      </w:r>
      <w:r w:rsidR="00C375A8" w:rsidRPr="00F42D33">
        <w:rPr>
          <w:rFonts w:ascii="Book Antiqua" w:hAnsi="Book Antiqua" w:cs="Arial"/>
          <w:b/>
        </w:rPr>
        <w:t>26</w:t>
      </w:r>
      <w:r w:rsidR="00C375A8" w:rsidRPr="00C375A8">
        <w:rPr>
          <w:rFonts w:ascii="Book Antiqua" w:hAnsi="Book Antiqua" w:cs="Arial"/>
          <w:b/>
        </w:rPr>
        <w:t xml:space="preserve"> October 201</w:t>
      </w:r>
      <w:r w:rsidR="00C375A8" w:rsidRPr="00F42D33">
        <w:rPr>
          <w:rFonts w:ascii="Book Antiqua" w:hAnsi="Book Antiqua" w:cs="Arial"/>
          <w:b/>
        </w:rPr>
        <w:t>7</w:t>
      </w:r>
      <w:r w:rsidR="00C375A8" w:rsidRPr="00C375A8">
        <w:rPr>
          <w:rFonts w:ascii="Book Antiqua" w:hAnsi="Book Antiqua" w:cs="Arial"/>
          <w:b/>
        </w:rPr>
        <w:t xml:space="preserve"> is tainted by a material error of law. I set it aside.</w:t>
      </w:r>
    </w:p>
    <w:p w:rsidR="00C375A8" w:rsidRPr="00C375A8" w:rsidRDefault="00F42D33" w:rsidP="00C375A8">
      <w:pPr>
        <w:spacing w:before="240"/>
        <w:jc w:val="both"/>
        <w:rPr>
          <w:rFonts w:ascii="Book Antiqua" w:hAnsi="Book Antiqua" w:cs="Arial"/>
          <w:b/>
        </w:rPr>
      </w:pPr>
      <w:r w:rsidRPr="00F42D33">
        <w:rPr>
          <w:rFonts w:ascii="Book Antiqua" w:hAnsi="Book Antiqua" w:cs="Arial"/>
          <w:b/>
        </w:rPr>
        <w:t>56</w:t>
      </w:r>
      <w:r w:rsidR="00C375A8" w:rsidRPr="00C375A8">
        <w:rPr>
          <w:rFonts w:ascii="Book Antiqua" w:hAnsi="Book Antiqua" w:cs="Arial"/>
          <w:b/>
        </w:rPr>
        <w:t>. I substitute my own decision.</w:t>
      </w:r>
    </w:p>
    <w:p w:rsidR="00C375A8" w:rsidRPr="00C375A8" w:rsidRDefault="00F42D33" w:rsidP="00C375A8">
      <w:pPr>
        <w:spacing w:before="240"/>
        <w:jc w:val="both"/>
        <w:rPr>
          <w:rFonts w:ascii="Book Antiqua" w:hAnsi="Book Antiqua" w:cs="Arial"/>
          <w:b/>
        </w:rPr>
      </w:pPr>
      <w:r w:rsidRPr="00F42D33">
        <w:rPr>
          <w:rFonts w:ascii="Book Antiqua" w:hAnsi="Book Antiqua" w:cs="Arial"/>
          <w:b/>
        </w:rPr>
        <w:t>57</w:t>
      </w:r>
      <w:r w:rsidR="00C375A8" w:rsidRPr="00C375A8">
        <w:rPr>
          <w:rFonts w:ascii="Book Antiqua" w:hAnsi="Book Antiqua" w:cs="Arial"/>
          <w:b/>
        </w:rPr>
        <w:t>. The appeal is allowed on article 8 ECHR grounds.</w:t>
      </w:r>
    </w:p>
    <w:p w:rsidR="00C375A8" w:rsidRPr="00C375A8" w:rsidRDefault="00C375A8" w:rsidP="00C375A8">
      <w:pPr>
        <w:tabs>
          <w:tab w:val="left" w:pos="2520"/>
        </w:tabs>
        <w:rPr>
          <w:rFonts w:ascii="Book Antiqua" w:hAnsi="Book Antiqua" w:cs="Arial"/>
        </w:rPr>
      </w:pPr>
    </w:p>
    <w:p w:rsidR="00C375A8" w:rsidRPr="00C375A8" w:rsidRDefault="00C375A8" w:rsidP="00C375A8">
      <w:pPr>
        <w:tabs>
          <w:tab w:val="left" w:pos="2520"/>
        </w:tabs>
        <w:rPr>
          <w:rFonts w:ascii="Book Antiqua" w:hAnsi="Book Antiqua" w:cs="Arial"/>
        </w:rPr>
      </w:pPr>
    </w:p>
    <w:p w:rsidR="00C375A8" w:rsidRPr="00C375A8" w:rsidRDefault="00C375A8" w:rsidP="00C375A8">
      <w:pPr>
        <w:tabs>
          <w:tab w:val="left" w:pos="2520"/>
        </w:tabs>
        <w:rPr>
          <w:rFonts w:ascii="Book Antiqua" w:hAnsi="Book Antiqua" w:cs="Arial"/>
        </w:rPr>
      </w:pPr>
      <w:proofErr w:type="gramStart"/>
      <w:r w:rsidRPr="00C375A8">
        <w:rPr>
          <w:rFonts w:ascii="Book Antiqua" w:hAnsi="Book Antiqua" w:cs="Arial"/>
        </w:rPr>
        <w:t xml:space="preserve">Signed  </w:t>
      </w:r>
      <w:r w:rsidRPr="00C375A8">
        <w:rPr>
          <w:rFonts w:ascii="Bradley Hand ITC" w:hAnsi="Bradley Hand ITC" w:cs="Arial"/>
        </w:rPr>
        <w:t>Paul</w:t>
      </w:r>
      <w:proofErr w:type="gramEnd"/>
      <w:r w:rsidRPr="00C375A8">
        <w:rPr>
          <w:rFonts w:ascii="Bradley Hand ITC" w:hAnsi="Bradley Hand ITC" w:cs="Arial"/>
        </w:rPr>
        <w:t xml:space="preserve"> Doyle                                                             </w:t>
      </w:r>
      <w:r w:rsidRPr="00C375A8">
        <w:rPr>
          <w:rFonts w:ascii="Book Antiqua" w:hAnsi="Book Antiqua" w:cs="Arial"/>
        </w:rPr>
        <w:t>Date  1</w:t>
      </w:r>
      <w:r>
        <w:rPr>
          <w:rFonts w:ascii="Book Antiqua" w:hAnsi="Book Antiqua" w:cs="Arial"/>
        </w:rPr>
        <w:t>8</w:t>
      </w:r>
      <w:r w:rsidRPr="00C375A8">
        <w:rPr>
          <w:rFonts w:ascii="Book Antiqua" w:hAnsi="Book Antiqua" w:cs="Arial"/>
        </w:rPr>
        <w:t xml:space="preserve"> J</w:t>
      </w:r>
      <w:r>
        <w:rPr>
          <w:rFonts w:ascii="Book Antiqua" w:hAnsi="Book Antiqua" w:cs="Arial"/>
        </w:rPr>
        <w:t>une</w:t>
      </w:r>
      <w:r w:rsidRPr="00C375A8">
        <w:rPr>
          <w:rFonts w:ascii="Book Antiqua" w:hAnsi="Book Antiqua" w:cs="Arial"/>
        </w:rPr>
        <w:t xml:space="preserve"> 201</w:t>
      </w:r>
      <w:r>
        <w:rPr>
          <w:rFonts w:ascii="Book Antiqua" w:hAnsi="Book Antiqua" w:cs="Arial"/>
        </w:rPr>
        <w:t>8</w:t>
      </w:r>
    </w:p>
    <w:p w:rsidR="00C375A8" w:rsidRPr="00C375A8" w:rsidRDefault="00C375A8" w:rsidP="00C375A8">
      <w:pPr>
        <w:tabs>
          <w:tab w:val="left" w:pos="2520"/>
        </w:tabs>
        <w:rPr>
          <w:rFonts w:ascii="Book Antiqua" w:hAnsi="Book Antiqua" w:cs="Arial"/>
        </w:rPr>
      </w:pPr>
      <w:r w:rsidRPr="00C375A8">
        <w:rPr>
          <w:rFonts w:ascii="Book Antiqua" w:hAnsi="Book Antiqua" w:cs="Arial"/>
        </w:rPr>
        <w:t>Deputy Upper Tribunal Judge Doyle</w:t>
      </w:r>
    </w:p>
    <w:p w:rsidR="00C375A8" w:rsidRPr="00C375A8" w:rsidRDefault="00C375A8" w:rsidP="00C375A8">
      <w:pPr>
        <w:jc w:val="both"/>
        <w:rPr>
          <w:rFonts w:ascii="Book Antiqua" w:hAnsi="Book Antiqua" w:cs="Arial"/>
          <w:color w:val="000000"/>
        </w:rPr>
      </w:pPr>
    </w:p>
    <w:sectPr w:rsidR="00C375A8" w:rsidRPr="00C375A8" w:rsidSect="00595FFC">
      <w:headerReference w:type="default" r:id="rId11"/>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0421" w:rsidRDefault="00BB0421" w:rsidP="00100C3C">
      <w:r>
        <w:separator/>
      </w:r>
    </w:p>
  </w:endnote>
  <w:endnote w:type="continuationSeparator" w:id="0">
    <w:p w:rsidR="00BB0421" w:rsidRDefault="00BB0421"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00000000" w:usb2="00000000"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FFC" w:rsidRPr="0040363F" w:rsidRDefault="00595FFC">
    <w:pPr>
      <w:pStyle w:val="Footer"/>
      <w:jc w:val="center"/>
      <w:rPr>
        <w:sz w:val="20"/>
        <w:szCs w:val="20"/>
      </w:rPr>
    </w:pPr>
    <w:r w:rsidRPr="0040363F">
      <w:rPr>
        <w:sz w:val="20"/>
        <w:szCs w:val="20"/>
      </w:rPr>
      <w:fldChar w:fldCharType="begin"/>
    </w:r>
    <w:r w:rsidRPr="0040363F">
      <w:rPr>
        <w:sz w:val="20"/>
        <w:szCs w:val="20"/>
      </w:rPr>
      <w:instrText xml:space="preserve"> PAGE   \* MERGEFORMAT </w:instrText>
    </w:r>
    <w:r w:rsidRPr="0040363F">
      <w:rPr>
        <w:sz w:val="20"/>
        <w:szCs w:val="20"/>
      </w:rPr>
      <w:fldChar w:fldCharType="separate"/>
    </w:r>
    <w:r w:rsidR="007779AC">
      <w:rPr>
        <w:noProof/>
        <w:sz w:val="20"/>
        <w:szCs w:val="20"/>
      </w:rPr>
      <w:t>11</w:t>
    </w:r>
    <w:r w:rsidRPr="0040363F">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FFC" w:rsidRPr="0040363F" w:rsidRDefault="00595FFC" w:rsidP="00595FFC">
    <w:pPr>
      <w:pStyle w:val="Footer"/>
      <w:jc w:val="center"/>
      <w:rPr>
        <w:b/>
      </w:rPr>
    </w:pPr>
    <w:r w:rsidRPr="0040363F">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0421" w:rsidRDefault="00BB0421" w:rsidP="00100C3C">
      <w:r>
        <w:separator/>
      </w:r>
    </w:p>
  </w:footnote>
  <w:footnote w:type="continuationSeparator" w:id="0">
    <w:p w:rsidR="00BB0421" w:rsidRDefault="00BB0421"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FFC" w:rsidRPr="00595FFC" w:rsidRDefault="00595FFC" w:rsidP="00595FFC">
    <w:pPr>
      <w:pStyle w:val="Header"/>
      <w:jc w:val="right"/>
      <w:rPr>
        <w:sz w:val="20"/>
        <w:szCs w:val="20"/>
      </w:rPr>
    </w:pPr>
    <w:r w:rsidRPr="00595FFC">
      <w:rPr>
        <w:sz w:val="20"/>
        <w:szCs w:val="20"/>
      </w:rPr>
      <w:t>HU/06392/2015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6C8C"/>
    <w:rsid w:val="00057D63"/>
    <w:rsid w:val="00082CBC"/>
    <w:rsid w:val="00087FA9"/>
    <w:rsid w:val="000A151F"/>
    <w:rsid w:val="000C7AB3"/>
    <w:rsid w:val="00100A74"/>
    <w:rsid w:val="00100C3C"/>
    <w:rsid w:val="00101152"/>
    <w:rsid w:val="00106B9E"/>
    <w:rsid w:val="001103E5"/>
    <w:rsid w:val="00125BE8"/>
    <w:rsid w:val="00156F09"/>
    <w:rsid w:val="00193D40"/>
    <w:rsid w:val="001C525B"/>
    <w:rsid w:val="001D0D8E"/>
    <w:rsid w:val="001D0EA7"/>
    <w:rsid w:val="001D72CB"/>
    <w:rsid w:val="001E400D"/>
    <w:rsid w:val="001F7535"/>
    <w:rsid w:val="00206AD6"/>
    <w:rsid w:val="00207C3C"/>
    <w:rsid w:val="002328A4"/>
    <w:rsid w:val="002479DB"/>
    <w:rsid w:val="00250580"/>
    <w:rsid w:val="0025433B"/>
    <w:rsid w:val="002606C4"/>
    <w:rsid w:val="002679F8"/>
    <w:rsid w:val="00286604"/>
    <w:rsid w:val="00286813"/>
    <w:rsid w:val="002B10FF"/>
    <w:rsid w:val="002C57F5"/>
    <w:rsid w:val="002D3A23"/>
    <w:rsid w:val="00337E31"/>
    <w:rsid w:val="003705A9"/>
    <w:rsid w:val="00376746"/>
    <w:rsid w:val="0038281F"/>
    <w:rsid w:val="00394B69"/>
    <w:rsid w:val="003A4F86"/>
    <w:rsid w:val="003B4C45"/>
    <w:rsid w:val="003E1CC7"/>
    <w:rsid w:val="003E368E"/>
    <w:rsid w:val="0040363F"/>
    <w:rsid w:val="00440EE7"/>
    <w:rsid w:val="00451F8E"/>
    <w:rsid w:val="00496085"/>
    <w:rsid w:val="004B4D22"/>
    <w:rsid w:val="004C11B0"/>
    <w:rsid w:val="004C3399"/>
    <w:rsid w:val="00503FAE"/>
    <w:rsid w:val="00513743"/>
    <w:rsid w:val="0052314A"/>
    <w:rsid w:val="0052555D"/>
    <w:rsid w:val="00535119"/>
    <w:rsid w:val="00544C99"/>
    <w:rsid w:val="00545B34"/>
    <w:rsid w:val="005537BC"/>
    <w:rsid w:val="00576476"/>
    <w:rsid w:val="00586795"/>
    <w:rsid w:val="005949C8"/>
    <w:rsid w:val="00595FFC"/>
    <w:rsid w:val="005B0850"/>
    <w:rsid w:val="005B2E6C"/>
    <w:rsid w:val="005D6496"/>
    <w:rsid w:val="005E51FD"/>
    <w:rsid w:val="005F7BFE"/>
    <w:rsid w:val="00622E11"/>
    <w:rsid w:val="006723E7"/>
    <w:rsid w:val="0068187C"/>
    <w:rsid w:val="00686C88"/>
    <w:rsid w:val="00687393"/>
    <w:rsid w:val="006A6CBF"/>
    <w:rsid w:val="006B3761"/>
    <w:rsid w:val="006B4EEE"/>
    <w:rsid w:val="006D4FF0"/>
    <w:rsid w:val="006F1422"/>
    <w:rsid w:val="006F6689"/>
    <w:rsid w:val="00703BAB"/>
    <w:rsid w:val="0071333E"/>
    <w:rsid w:val="007258A2"/>
    <w:rsid w:val="007311FD"/>
    <w:rsid w:val="007344E6"/>
    <w:rsid w:val="00755830"/>
    <w:rsid w:val="007679B4"/>
    <w:rsid w:val="007702AD"/>
    <w:rsid w:val="007779AC"/>
    <w:rsid w:val="007921BE"/>
    <w:rsid w:val="0079558F"/>
    <w:rsid w:val="007A6B68"/>
    <w:rsid w:val="007A76EA"/>
    <w:rsid w:val="007C3085"/>
    <w:rsid w:val="00802508"/>
    <w:rsid w:val="008045DC"/>
    <w:rsid w:val="00846BC6"/>
    <w:rsid w:val="00847A2E"/>
    <w:rsid w:val="00850890"/>
    <w:rsid w:val="00851608"/>
    <w:rsid w:val="008743FA"/>
    <w:rsid w:val="008768BA"/>
    <w:rsid w:val="0088245D"/>
    <w:rsid w:val="0089549F"/>
    <w:rsid w:val="008A1E22"/>
    <w:rsid w:val="008B64E3"/>
    <w:rsid w:val="008E36DD"/>
    <w:rsid w:val="008E5837"/>
    <w:rsid w:val="008F6B1D"/>
    <w:rsid w:val="009014D6"/>
    <w:rsid w:val="00904942"/>
    <w:rsid w:val="00912ADE"/>
    <w:rsid w:val="009343DB"/>
    <w:rsid w:val="00951A7F"/>
    <w:rsid w:val="00963C62"/>
    <w:rsid w:val="00987890"/>
    <w:rsid w:val="00991B39"/>
    <w:rsid w:val="009B259A"/>
    <w:rsid w:val="009C17A7"/>
    <w:rsid w:val="009C4477"/>
    <w:rsid w:val="009C7AD9"/>
    <w:rsid w:val="009E3C93"/>
    <w:rsid w:val="00A033BF"/>
    <w:rsid w:val="00A318AF"/>
    <w:rsid w:val="00A52BA2"/>
    <w:rsid w:val="00A72A15"/>
    <w:rsid w:val="00A75FBA"/>
    <w:rsid w:val="00A822BE"/>
    <w:rsid w:val="00A84ABA"/>
    <w:rsid w:val="00A901DF"/>
    <w:rsid w:val="00A94A10"/>
    <w:rsid w:val="00AC1C4E"/>
    <w:rsid w:val="00AD1956"/>
    <w:rsid w:val="00AD1D26"/>
    <w:rsid w:val="00AD6AA7"/>
    <w:rsid w:val="00B17E67"/>
    <w:rsid w:val="00B20F7E"/>
    <w:rsid w:val="00B234FF"/>
    <w:rsid w:val="00B66B6A"/>
    <w:rsid w:val="00B74B3C"/>
    <w:rsid w:val="00B96515"/>
    <w:rsid w:val="00BA7D3F"/>
    <w:rsid w:val="00BB0421"/>
    <w:rsid w:val="00BF1784"/>
    <w:rsid w:val="00C02574"/>
    <w:rsid w:val="00C11224"/>
    <w:rsid w:val="00C11CFD"/>
    <w:rsid w:val="00C3034E"/>
    <w:rsid w:val="00C375A8"/>
    <w:rsid w:val="00C51FA3"/>
    <w:rsid w:val="00C5748B"/>
    <w:rsid w:val="00C736F6"/>
    <w:rsid w:val="00C76422"/>
    <w:rsid w:val="00C8431F"/>
    <w:rsid w:val="00C91439"/>
    <w:rsid w:val="00C914E4"/>
    <w:rsid w:val="00CA1765"/>
    <w:rsid w:val="00CB16EE"/>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B7D04"/>
    <w:rsid w:val="00DC358B"/>
    <w:rsid w:val="00DD3D9E"/>
    <w:rsid w:val="00DF0A76"/>
    <w:rsid w:val="00DF7CE8"/>
    <w:rsid w:val="00E050B8"/>
    <w:rsid w:val="00E204FA"/>
    <w:rsid w:val="00E40F9B"/>
    <w:rsid w:val="00E41B40"/>
    <w:rsid w:val="00E44430"/>
    <w:rsid w:val="00E50FC7"/>
    <w:rsid w:val="00E620CF"/>
    <w:rsid w:val="00E92C51"/>
    <w:rsid w:val="00EA79DE"/>
    <w:rsid w:val="00F232EA"/>
    <w:rsid w:val="00F402D2"/>
    <w:rsid w:val="00F42D33"/>
    <w:rsid w:val="00F44074"/>
    <w:rsid w:val="00F55A1F"/>
    <w:rsid w:val="00F56A71"/>
    <w:rsid w:val="00F73763"/>
    <w:rsid w:val="00F751BB"/>
    <w:rsid w:val="00F833C5"/>
    <w:rsid w:val="00FA7013"/>
    <w:rsid w:val="00FA76E8"/>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4EAC9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character" w:styleId="Hyperlink">
    <w:name w:val="Hyperlink"/>
    <w:rsid w:val="008E36DD"/>
    <w:rPr>
      <w:color w:val="0000FF"/>
      <w:u w:val="single"/>
    </w:rPr>
  </w:style>
  <w:style w:type="paragraph" w:styleId="PlainText">
    <w:name w:val="Plain Text"/>
    <w:basedOn w:val="Normal"/>
    <w:link w:val="PlainTextChar"/>
    <w:rsid w:val="008E36DD"/>
    <w:rPr>
      <w:rFonts w:ascii="Courier New" w:hAnsi="Courier New" w:cs="Courier New"/>
      <w:sz w:val="20"/>
      <w:szCs w:val="20"/>
      <w:lang w:val="en-US" w:eastAsia="en-US"/>
    </w:rPr>
  </w:style>
  <w:style w:type="character" w:customStyle="1" w:styleId="PlainTextChar">
    <w:name w:val="Plain Text Char"/>
    <w:link w:val="PlainText"/>
    <w:rsid w:val="008E36DD"/>
    <w:rPr>
      <w:rFonts w:ascii="Courier New" w:hAnsi="Courier New" w:cs="Courier New"/>
      <w:lang w:val="en-US" w:eastAsia="en-US"/>
    </w:rPr>
  </w:style>
  <w:style w:type="paragraph" w:styleId="NormalWeb">
    <w:name w:val="Normal (Web)"/>
    <w:basedOn w:val="Normal"/>
    <w:uiPriority w:val="99"/>
    <w:unhideWhenUsed/>
    <w:rsid w:val="008E36D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scot/cases/ScotCS/2013/2013CSIH88.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ibunalsdecisions.service.gov.uk/utiac/2015-ukut-00189" TargetMode="External"/><Relationship Id="rId4" Type="http://schemas.openxmlformats.org/officeDocument/2006/relationships/webSettings" Target="webSettings.xml"/><Relationship Id="rId9" Type="http://schemas.openxmlformats.org/officeDocument/2006/relationships/hyperlink" Target="http://www.bailii.org/eu/cases/EUECJ/2011/C340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4742</Words>
  <Characters>23857</Characters>
  <Application>Microsoft Office Word</Application>
  <DocSecurity>0</DocSecurity>
  <Lines>198</Lines>
  <Paragraphs>57</Paragraphs>
  <ScaleCrop>false</ScaleCrop>
  <Company/>
  <LinksUpToDate>false</LinksUpToDate>
  <CharactersWithSpaces>28542</CharactersWithSpaces>
  <SharedDoc>false</SharedDoc>
  <HLinks>
    <vt:vector size="18" baseType="variant">
      <vt:variant>
        <vt:i4>3604516</vt:i4>
      </vt:variant>
      <vt:variant>
        <vt:i4>6</vt:i4>
      </vt:variant>
      <vt:variant>
        <vt:i4>0</vt:i4>
      </vt:variant>
      <vt:variant>
        <vt:i4>5</vt:i4>
      </vt:variant>
      <vt:variant>
        <vt:lpwstr>https://tribunalsdecisions.service.gov.uk/utiac/2015-ukut-00189</vt:lpwstr>
      </vt:variant>
      <vt:variant>
        <vt:lpwstr/>
      </vt:variant>
      <vt:variant>
        <vt:i4>6225934</vt:i4>
      </vt:variant>
      <vt:variant>
        <vt:i4>3</vt:i4>
      </vt:variant>
      <vt:variant>
        <vt:i4>0</vt:i4>
      </vt:variant>
      <vt:variant>
        <vt:i4>5</vt:i4>
      </vt:variant>
      <vt:variant>
        <vt:lpwstr>http://www.bailii.org/eu/cases/EUECJ/2011/C3409.html</vt:lpwstr>
      </vt:variant>
      <vt:variant>
        <vt:lpwstr/>
      </vt:variant>
      <vt:variant>
        <vt:i4>1704009</vt:i4>
      </vt:variant>
      <vt:variant>
        <vt:i4>0</vt:i4>
      </vt:variant>
      <vt:variant>
        <vt:i4>0</vt:i4>
      </vt:variant>
      <vt:variant>
        <vt:i4>5</vt:i4>
      </vt:variant>
      <vt:variant>
        <vt:lpwstr>http://www.bailii.org/scot/cases/ScotCS/2013/2013CSIH88.html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2018-07-13T12:46:00Z</dcterms:created>
  <dcterms:modified xsi:type="dcterms:W3CDTF">2018-07-13T12:46:00Z</dcterms:modified>
</cp:coreProperties>
</file>