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10357" w:rsidP="00C321B5">
      <w:pPr>
        <w:jc w:val="center"/>
        <w:rPr>
          <w:rFonts w:ascii="Book Antiqua" w:hAnsi="Book Antiqua" w:cs="Arial"/>
          <w:sz w:val="16"/>
          <w:szCs w:val="16"/>
        </w:rPr>
      </w:pPr>
      <w:r w:rsidRPr="00434D44">
        <w:rPr>
          <w:noProof/>
          <w:lang w:val="en-US" w:eastAsia="en-US"/>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BE5A1F">
        <w:rPr>
          <w:rFonts w:ascii="Book Antiqua" w:hAnsi="Book Antiqua" w:cs="Arial"/>
          <w:caps/>
        </w:rPr>
        <w:t>HU/06554/2016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434D44">
        <w:tc>
          <w:tcPr>
            <w:tcW w:w="6048" w:type="dxa"/>
            <w:shd w:val="clear" w:color="auto" w:fill="auto"/>
          </w:tcPr>
          <w:p w:rsidR="00D22636" w:rsidRPr="00434D44" w:rsidRDefault="00D22636" w:rsidP="00434D44">
            <w:pPr>
              <w:jc w:val="both"/>
              <w:rPr>
                <w:rFonts w:ascii="Book Antiqua" w:hAnsi="Book Antiqua" w:cs="Arial"/>
                <w:b/>
              </w:rPr>
            </w:pPr>
            <w:r w:rsidRPr="00434D44">
              <w:rPr>
                <w:rFonts w:ascii="Book Antiqua" w:hAnsi="Book Antiqua" w:cs="Arial"/>
                <w:b/>
              </w:rPr>
              <w:t xml:space="preserve">Heard at </w:t>
            </w:r>
            <w:r w:rsidR="00BE5A1F" w:rsidRPr="00434D44">
              <w:rPr>
                <w:rFonts w:ascii="Book Antiqua" w:hAnsi="Book Antiqua" w:cs="Arial"/>
                <w:b/>
              </w:rPr>
              <w:t>Field House</w:t>
            </w:r>
          </w:p>
        </w:tc>
        <w:tc>
          <w:tcPr>
            <w:tcW w:w="3960" w:type="dxa"/>
            <w:shd w:val="clear" w:color="auto" w:fill="auto"/>
          </w:tcPr>
          <w:p w:rsidR="00D22636" w:rsidRPr="00434D44" w:rsidRDefault="000E34AA" w:rsidP="00434D44">
            <w:pPr>
              <w:jc w:val="both"/>
              <w:rPr>
                <w:rFonts w:ascii="Book Antiqua" w:hAnsi="Book Antiqua" w:cs="Arial"/>
                <w:b/>
              </w:rPr>
            </w:pPr>
            <w:r w:rsidRPr="00434D44">
              <w:rPr>
                <w:rFonts w:ascii="Book Antiqua" w:hAnsi="Book Antiqua" w:cs="Arial"/>
                <w:b/>
              </w:rPr>
              <w:t>Decision &amp; Reasons</w:t>
            </w:r>
            <w:r w:rsidR="00283659" w:rsidRPr="00434D44">
              <w:rPr>
                <w:rFonts w:ascii="Book Antiqua" w:hAnsi="Book Antiqua" w:cs="Arial"/>
                <w:b/>
              </w:rPr>
              <w:t xml:space="preserve"> Promulgated</w:t>
            </w:r>
          </w:p>
        </w:tc>
      </w:tr>
      <w:tr w:rsidR="00D22636" w:rsidRPr="00F5664C" w:rsidTr="00434D44">
        <w:tc>
          <w:tcPr>
            <w:tcW w:w="6048" w:type="dxa"/>
            <w:shd w:val="clear" w:color="auto" w:fill="auto"/>
          </w:tcPr>
          <w:p w:rsidR="00D22636" w:rsidRPr="00434D44" w:rsidRDefault="00D22636" w:rsidP="00434D44">
            <w:pPr>
              <w:jc w:val="both"/>
              <w:rPr>
                <w:rFonts w:ascii="Book Antiqua" w:hAnsi="Book Antiqua" w:cs="Arial"/>
                <w:b/>
              </w:rPr>
            </w:pPr>
            <w:r w:rsidRPr="00434D44">
              <w:rPr>
                <w:rFonts w:ascii="Book Antiqua" w:hAnsi="Book Antiqua" w:cs="Arial"/>
                <w:b/>
              </w:rPr>
              <w:t xml:space="preserve">On </w:t>
            </w:r>
            <w:r w:rsidR="00BE5A1F" w:rsidRPr="00434D44">
              <w:rPr>
                <w:rFonts w:ascii="Book Antiqua" w:hAnsi="Book Antiqua" w:cs="Arial"/>
                <w:b/>
              </w:rPr>
              <w:t>3</w:t>
            </w:r>
            <w:r w:rsidR="00BE5A1F" w:rsidRPr="00434D44">
              <w:rPr>
                <w:rFonts w:ascii="Book Antiqua" w:hAnsi="Book Antiqua" w:cs="Arial"/>
                <w:b/>
                <w:vertAlign w:val="superscript"/>
              </w:rPr>
              <w:t>rd</w:t>
            </w:r>
            <w:r w:rsidR="00BE5A1F" w:rsidRPr="00434D44">
              <w:rPr>
                <w:rFonts w:ascii="Book Antiqua" w:hAnsi="Book Antiqua" w:cs="Arial"/>
                <w:b/>
              </w:rPr>
              <w:t xml:space="preserve"> May 2018</w:t>
            </w:r>
          </w:p>
        </w:tc>
        <w:tc>
          <w:tcPr>
            <w:tcW w:w="3960" w:type="dxa"/>
            <w:shd w:val="clear" w:color="auto" w:fill="auto"/>
          </w:tcPr>
          <w:p w:rsidR="00D22636" w:rsidRPr="00434D44" w:rsidRDefault="00F10357" w:rsidP="00434D44">
            <w:pPr>
              <w:jc w:val="both"/>
              <w:rPr>
                <w:rFonts w:ascii="Book Antiqua" w:hAnsi="Book Antiqua" w:cs="Arial"/>
                <w:b/>
              </w:rPr>
            </w:pPr>
            <w:r>
              <w:rPr>
                <w:rFonts w:ascii="Book Antiqua" w:hAnsi="Book Antiqua" w:cs="Arial"/>
                <w:b/>
              </w:rPr>
              <w:t>On 23</w:t>
            </w:r>
            <w:r w:rsidRPr="00F10357">
              <w:rPr>
                <w:rFonts w:ascii="Book Antiqua" w:hAnsi="Book Antiqua" w:cs="Arial"/>
                <w:b/>
                <w:vertAlign w:val="superscript"/>
              </w:rPr>
              <w:t>rd</w:t>
            </w:r>
            <w:r>
              <w:rPr>
                <w:rFonts w:ascii="Book Antiqua" w:hAnsi="Book Antiqua" w:cs="Arial"/>
                <w:b/>
              </w:rPr>
              <w:t xml:space="preserve"> May 2018</w:t>
            </w:r>
          </w:p>
        </w:tc>
      </w:tr>
      <w:tr w:rsidR="00D22636" w:rsidRPr="00F5664C" w:rsidTr="00434D44">
        <w:tc>
          <w:tcPr>
            <w:tcW w:w="6048" w:type="dxa"/>
            <w:shd w:val="clear" w:color="auto" w:fill="auto"/>
          </w:tcPr>
          <w:p w:rsidR="00D22636" w:rsidRPr="00434D44" w:rsidRDefault="00D22636" w:rsidP="00434D44">
            <w:pPr>
              <w:jc w:val="both"/>
              <w:rPr>
                <w:rFonts w:ascii="Book Antiqua" w:hAnsi="Book Antiqua" w:cs="Arial"/>
                <w:b/>
              </w:rPr>
            </w:pPr>
          </w:p>
        </w:tc>
        <w:tc>
          <w:tcPr>
            <w:tcW w:w="3960" w:type="dxa"/>
            <w:shd w:val="clear" w:color="auto" w:fill="auto"/>
          </w:tcPr>
          <w:p w:rsidR="00D22636" w:rsidRPr="00434D44" w:rsidRDefault="00D22636" w:rsidP="00434D4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B2116E" w:rsidP="00BE5A1F">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BE5A1F" w:rsidP="00742A8D">
      <w:pPr>
        <w:jc w:val="center"/>
        <w:rPr>
          <w:rFonts w:ascii="Book Antiqua" w:hAnsi="Book Antiqua" w:cs="Arial"/>
          <w:b/>
          <w:caps/>
        </w:rPr>
      </w:pPr>
      <w:r w:rsidRPr="00BE5A1F">
        <w:rPr>
          <w:rFonts w:ascii="Book Antiqua" w:hAnsi="Book Antiqua" w:cs="Arial"/>
          <w:b/>
          <w:caps/>
        </w:rPr>
        <w:t xml:space="preserve">Simon </w:t>
      </w:r>
      <w:r w:rsidR="006E2FC5">
        <w:rPr>
          <w:rFonts w:ascii="Book Antiqua" w:hAnsi="Book Antiqua" w:cs="Arial"/>
          <w:b/>
          <w:caps/>
        </w:rPr>
        <w:t>[</w:t>
      </w:r>
      <w:r w:rsidRPr="00BE5A1F">
        <w:rPr>
          <w:rFonts w:ascii="Book Antiqua" w:hAnsi="Book Antiqua" w:cs="Arial"/>
          <w:b/>
          <w:caps/>
        </w:rPr>
        <w:t>M</w:t>
      </w:r>
      <w:r w:rsidR="006E2FC5">
        <w:rPr>
          <w:rFonts w:ascii="Book Antiqua" w:hAnsi="Book Antiqua" w:cs="Arial"/>
          <w:b/>
          <w:caps/>
        </w:rPr>
        <w:t>]</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BE5A1F">
        <w:rPr>
          <w:rFonts w:ascii="Book Antiqua" w:hAnsi="Book Antiqua" w:cs="Arial"/>
          <w:b/>
          <w:caps/>
        </w:rPr>
        <w:t>not made</w:t>
      </w:r>
      <w:r w:rsidRPr="000E34AA">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E5A1F">
        <w:rPr>
          <w:rFonts w:ascii="Book Antiqua" w:hAnsi="Book Antiqua" w:cs="Arial"/>
        </w:rPr>
        <w:t>Ms S Pinder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82B45">
        <w:rPr>
          <w:rFonts w:ascii="Book Antiqua" w:hAnsi="Book Antiqua" w:cs="Arial"/>
        </w:rPr>
        <w:t>Ms K Pal</w:t>
      </w:r>
      <w:r w:rsidR="00BE5A1F">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BE5A1F"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Watson promulgated on 19</w:t>
      </w:r>
      <w:r w:rsidRPr="00BE5A1F">
        <w:rPr>
          <w:rFonts w:ascii="Book Antiqua" w:hAnsi="Book Antiqua" w:cs="Arial"/>
          <w:vertAlign w:val="superscript"/>
        </w:rPr>
        <w:t>th</w:t>
      </w:r>
      <w:r>
        <w:rPr>
          <w:rFonts w:ascii="Book Antiqua" w:hAnsi="Book Antiqua" w:cs="Arial"/>
        </w:rPr>
        <w:t xml:space="preserve"> April 2017, following a hearing at Birmingham on 6</w:t>
      </w:r>
      <w:r w:rsidRPr="00BE5A1F">
        <w:rPr>
          <w:rFonts w:ascii="Book Antiqua" w:hAnsi="Book Antiqua" w:cs="Arial"/>
          <w:vertAlign w:val="superscript"/>
        </w:rPr>
        <w:t>th</w:t>
      </w:r>
      <w:r>
        <w:rPr>
          <w:rFonts w:ascii="Book Antiqua" w:hAnsi="Book Antiqua" w:cs="Arial"/>
        </w:rPr>
        <w:t xml:space="preserve"> April 2017.  In the determination, the judge dismissed the appeal of the Appellant, whereupon the </w:t>
      </w:r>
      <w:r>
        <w:rPr>
          <w:rFonts w:ascii="Book Antiqua" w:hAnsi="Book Antiqua" w:cs="Arial"/>
        </w:rPr>
        <w:lastRenderedPageBreak/>
        <w:t xml:space="preserve">Appellant subsequently applied for, and was granted, permission to appeal to the Upper Tribunal, and thus the matter comes before me. </w:t>
      </w:r>
    </w:p>
    <w:p w:rsidR="00BE5A1F" w:rsidRPr="00BE5A1F" w:rsidRDefault="00BE5A1F" w:rsidP="00BE5A1F">
      <w:pPr>
        <w:spacing w:before="240"/>
        <w:jc w:val="both"/>
        <w:rPr>
          <w:rFonts w:ascii="Book Antiqua" w:hAnsi="Book Antiqua" w:cs="Arial"/>
          <w:b/>
          <w:u w:val="single"/>
        </w:rPr>
      </w:pPr>
      <w:r w:rsidRPr="00BE5A1F">
        <w:rPr>
          <w:rFonts w:ascii="Book Antiqua" w:hAnsi="Book Antiqua" w:cs="Arial"/>
          <w:b/>
          <w:u w:val="single"/>
        </w:rPr>
        <w:t>The Appellant</w:t>
      </w:r>
    </w:p>
    <w:p w:rsidR="00BE5A1F" w:rsidRDefault="00BE5A1F" w:rsidP="00D33B16">
      <w:pPr>
        <w:numPr>
          <w:ilvl w:val="0"/>
          <w:numId w:val="3"/>
        </w:numPr>
        <w:spacing w:before="240"/>
        <w:jc w:val="both"/>
        <w:rPr>
          <w:rFonts w:ascii="Book Antiqua" w:hAnsi="Book Antiqua" w:cs="Arial"/>
        </w:rPr>
      </w:pPr>
      <w:r>
        <w:rPr>
          <w:rFonts w:ascii="Book Antiqua" w:hAnsi="Book Antiqua" w:cs="Arial"/>
        </w:rPr>
        <w:t>The Appellant is a male, a citizen of Kenya, and was born on 27</w:t>
      </w:r>
      <w:r w:rsidRPr="00BE5A1F">
        <w:rPr>
          <w:rFonts w:ascii="Book Antiqua" w:hAnsi="Book Antiqua" w:cs="Arial"/>
          <w:vertAlign w:val="superscript"/>
        </w:rPr>
        <w:t>th</w:t>
      </w:r>
      <w:r>
        <w:rPr>
          <w:rFonts w:ascii="Book Antiqua" w:hAnsi="Book Antiqua" w:cs="Arial"/>
        </w:rPr>
        <w:t xml:space="preserve"> October 1975.  He appealed against the decision of the Respondent dated 28</w:t>
      </w:r>
      <w:r w:rsidRPr="00BE5A1F">
        <w:rPr>
          <w:rFonts w:ascii="Book Antiqua" w:hAnsi="Book Antiqua" w:cs="Arial"/>
          <w:vertAlign w:val="superscript"/>
        </w:rPr>
        <w:t>th</w:t>
      </w:r>
      <w:r>
        <w:rPr>
          <w:rFonts w:ascii="Book Antiqua" w:hAnsi="Book Antiqua" w:cs="Arial"/>
        </w:rPr>
        <w:t xml:space="preserve"> February 2016 refusing his application for leave to remain in the United Kingdom on the basis of his family life.</w:t>
      </w:r>
    </w:p>
    <w:p w:rsidR="00BE5A1F" w:rsidRPr="00BE5A1F" w:rsidRDefault="00BE5A1F" w:rsidP="00BE5A1F">
      <w:pPr>
        <w:spacing w:before="240"/>
        <w:jc w:val="both"/>
        <w:rPr>
          <w:rFonts w:ascii="Book Antiqua" w:hAnsi="Book Antiqua" w:cs="Arial"/>
          <w:b/>
          <w:u w:val="single"/>
        </w:rPr>
      </w:pPr>
      <w:r w:rsidRPr="00BE5A1F">
        <w:rPr>
          <w:rFonts w:ascii="Book Antiqua" w:hAnsi="Book Antiqua" w:cs="Arial"/>
          <w:b/>
          <w:u w:val="single"/>
        </w:rPr>
        <w:t>The Appellant’s Claim</w:t>
      </w:r>
    </w:p>
    <w:p w:rsidR="00BE5A1F" w:rsidRDefault="00BE5A1F" w:rsidP="00D33B16">
      <w:pPr>
        <w:numPr>
          <w:ilvl w:val="0"/>
          <w:numId w:val="3"/>
        </w:numPr>
        <w:spacing w:before="240"/>
        <w:jc w:val="both"/>
        <w:rPr>
          <w:rFonts w:ascii="Book Antiqua" w:hAnsi="Book Antiqua" w:cs="Arial"/>
        </w:rPr>
      </w:pPr>
      <w:r>
        <w:rPr>
          <w:rFonts w:ascii="Book Antiqua" w:hAnsi="Book Antiqua" w:cs="Arial"/>
        </w:rPr>
        <w:t>The Appellant states that he came to the UK on a temporary visa in 2000 and has stayed here ever since.  He has been living with his partner for fifteen years and married her in 2014.  He has two children born to a UK citizen.  The children and partner</w:t>
      </w:r>
      <w:r w:rsidR="008058C0">
        <w:rPr>
          <w:rFonts w:ascii="Book Antiqua" w:hAnsi="Book Antiqua" w:cs="Arial"/>
        </w:rPr>
        <w:t xml:space="preserve"> are all British citizens.  They cannot be expected to leave the UK to go to Kenya.  He was given leave to remain in the UK in 2013 and has worked and has shown that he is able to support his family.  He is fully involved in family life and lives with his family.  His partner is studying to become a mental health nurse and she would not be able to continue this if she had to leave the UK and go to Kenya with him.  It would be wholly disproportionate to re</w:t>
      </w:r>
      <w:r w:rsidR="000C3F77">
        <w:rPr>
          <w:rFonts w:ascii="Book Antiqua" w:hAnsi="Book Antiqua" w:cs="Arial"/>
        </w:rPr>
        <w:t>fuse his application because it</w:t>
      </w:r>
      <w:r w:rsidR="000728E4">
        <w:rPr>
          <w:rFonts w:ascii="Book Antiqua" w:hAnsi="Book Antiqua" w:cs="Arial"/>
        </w:rPr>
        <w:t xml:space="preserve"> interferes</w:t>
      </w:r>
      <w:r w:rsidR="008058C0">
        <w:rPr>
          <w:rFonts w:ascii="Book Antiqua" w:hAnsi="Book Antiqua" w:cs="Arial"/>
        </w:rPr>
        <w:t xml:space="preserve"> with his family life and it is not in the interests of his children.  </w:t>
      </w:r>
    </w:p>
    <w:p w:rsidR="008058C0" w:rsidRDefault="008058C0" w:rsidP="00D33B16">
      <w:pPr>
        <w:numPr>
          <w:ilvl w:val="0"/>
          <w:numId w:val="3"/>
        </w:numPr>
        <w:spacing w:before="240"/>
        <w:jc w:val="both"/>
        <w:rPr>
          <w:rFonts w:ascii="Book Antiqua" w:hAnsi="Book Antiqua" w:cs="Arial"/>
        </w:rPr>
      </w:pPr>
      <w:r>
        <w:rPr>
          <w:rFonts w:ascii="Book Antiqua" w:hAnsi="Book Antiqua" w:cs="Arial"/>
        </w:rPr>
        <w:t>The Respondent, however, rejected the Appellant’s application in the letter of 28</w:t>
      </w:r>
      <w:r w:rsidRPr="008058C0">
        <w:rPr>
          <w:rFonts w:ascii="Book Antiqua" w:hAnsi="Book Antiqua" w:cs="Arial"/>
          <w:vertAlign w:val="superscript"/>
        </w:rPr>
        <w:t>th</w:t>
      </w:r>
      <w:r>
        <w:rPr>
          <w:rFonts w:ascii="Book Antiqua" w:hAnsi="Book Antiqua" w:cs="Arial"/>
        </w:rPr>
        <w:t xml:space="preserve"> February 2016 on the basis that he failed the suitability requirements as he has a conviction for drink driving in 2005 and did not disclose this on his application form.  Furthermore, he did not satisfy the requirements for leave as a partner as he had not been able to show that he has been living with his partner for two years prior to the application.  The Respondent did not accept that the relationship was genuine and subsisting.  The Appellant also could not satisfy the parent Rule.</w:t>
      </w:r>
    </w:p>
    <w:p w:rsidR="008058C0" w:rsidRPr="00B83451" w:rsidRDefault="00270EBE" w:rsidP="00B83451">
      <w:pPr>
        <w:spacing w:before="240"/>
        <w:jc w:val="both"/>
        <w:rPr>
          <w:rFonts w:ascii="Book Antiqua" w:hAnsi="Book Antiqua" w:cs="Arial"/>
          <w:b/>
          <w:u w:val="single"/>
        </w:rPr>
      </w:pPr>
      <w:r w:rsidRPr="00B83451">
        <w:rPr>
          <w:rFonts w:ascii="Book Antiqua" w:hAnsi="Book Antiqua" w:cs="Arial"/>
          <w:b/>
          <w:u w:val="single"/>
        </w:rPr>
        <w:t>The Judge’s Findings</w:t>
      </w:r>
    </w:p>
    <w:p w:rsidR="00270EBE" w:rsidRDefault="00B83451" w:rsidP="00D33B16">
      <w:pPr>
        <w:numPr>
          <w:ilvl w:val="0"/>
          <w:numId w:val="3"/>
        </w:numPr>
        <w:spacing w:before="240"/>
        <w:jc w:val="both"/>
        <w:rPr>
          <w:rFonts w:ascii="Book Antiqua" w:hAnsi="Book Antiqua" w:cs="Arial"/>
        </w:rPr>
      </w:pPr>
      <w:r>
        <w:rPr>
          <w:rFonts w:ascii="Book Antiqua" w:hAnsi="Book Antiqua" w:cs="Arial"/>
        </w:rPr>
        <w:t xml:space="preserve">The judge held that the Appellant’s partner, Ms </w:t>
      </w:r>
      <w:r w:rsidR="006E2FC5">
        <w:rPr>
          <w:rFonts w:ascii="Book Antiqua" w:hAnsi="Book Antiqua" w:cs="Arial"/>
        </w:rPr>
        <w:t>[</w:t>
      </w:r>
      <w:r w:rsidR="00A6042F">
        <w:rPr>
          <w:rFonts w:ascii="Book Antiqua" w:hAnsi="Book Antiqua" w:cs="Arial"/>
        </w:rPr>
        <w:t>M</w:t>
      </w:r>
      <w:r w:rsidR="006E2FC5">
        <w:rPr>
          <w:rFonts w:ascii="Book Antiqua" w:hAnsi="Book Antiqua" w:cs="Arial"/>
        </w:rPr>
        <w:t>]</w:t>
      </w:r>
      <w:r>
        <w:rPr>
          <w:rFonts w:ascii="Book Antiqua" w:hAnsi="Book Antiqua" w:cs="Arial"/>
        </w:rPr>
        <w:t xml:space="preserve">, has known throughout what the Appellant’s immigration </w:t>
      </w:r>
      <w:r w:rsidR="00A7266A">
        <w:rPr>
          <w:rFonts w:ascii="Book Antiqua" w:hAnsi="Book Antiqua" w:cs="Arial"/>
        </w:rPr>
        <w:t>status was, knew him</w:t>
      </w:r>
      <w:r>
        <w:rPr>
          <w:rFonts w:ascii="Book Antiqua" w:hAnsi="Book Antiqua" w:cs="Arial"/>
        </w:rPr>
        <w:t xml:space="preserve"> to be of Kenyan origin, and she had herself visited Kenya and it was reasonable to expect her to visit him there again, in a way that would not harm her interests, and the upbringing of the children.  The judge held that, “they can remain in touch through modern media and can visit the country where both the Appellants were born to stay in touch with their father” (paragraph 45).  With respect to the Appellant’s private life, the judge held that the Appellant had only been in the UK since 2000, and there were no “very significant obstacles” to his integration in Kenya, were he to return there.  It was accepted that he had British children born in the UK but there were no other obstacles.  Moreover, “</w:t>
      </w:r>
      <w:r w:rsidR="00903DBE">
        <w:rPr>
          <w:rFonts w:ascii="Book Antiqua" w:hAnsi="Book Antiqua" w:cs="Arial"/>
        </w:rPr>
        <w:t xml:space="preserve">he and Ms </w:t>
      </w:r>
      <w:r w:rsidR="006E2FC5">
        <w:rPr>
          <w:rFonts w:ascii="Book Antiqua" w:hAnsi="Book Antiqua" w:cs="Arial"/>
        </w:rPr>
        <w:t>[M]</w:t>
      </w:r>
      <w:r>
        <w:rPr>
          <w:rFonts w:ascii="Book Antiqua" w:hAnsi="Book Antiqua" w:cs="Arial"/>
        </w:rPr>
        <w:t xml:space="preserve"> visited Kenya with the children in 2013 and the Appellant has returned for a visit in 2015.  He has shown no personal difficulties in any return” (paragraph 44).</w:t>
      </w:r>
    </w:p>
    <w:p w:rsidR="00B83451" w:rsidRDefault="0086122C" w:rsidP="00D33B16">
      <w:pPr>
        <w:numPr>
          <w:ilvl w:val="0"/>
          <w:numId w:val="3"/>
        </w:numPr>
        <w:spacing w:before="240"/>
        <w:jc w:val="both"/>
        <w:rPr>
          <w:rFonts w:ascii="Book Antiqua" w:hAnsi="Book Antiqua" w:cs="Arial"/>
        </w:rPr>
      </w:pPr>
      <w:r>
        <w:rPr>
          <w:rFonts w:ascii="Book Antiqua" w:hAnsi="Book Antiqua" w:cs="Arial"/>
        </w:rPr>
        <w:t>The appeal wa</w:t>
      </w:r>
      <w:r w:rsidR="00B83451">
        <w:rPr>
          <w:rFonts w:ascii="Book Antiqua" w:hAnsi="Book Antiqua" w:cs="Arial"/>
        </w:rPr>
        <w:t>s dismissed.</w:t>
      </w:r>
    </w:p>
    <w:p w:rsidR="006E2FC5" w:rsidRDefault="006E2FC5" w:rsidP="00B83451">
      <w:pPr>
        <w:spacing w:before="240"/>
        <w:jc w:val="both"/>
        <w:rPr>
          <w:rFonts w:ascii="Book Antiqua" w:hAnsi="Book Antiqua" w:cs="Arial"/>
          <w:b/>
          <w:u w:val="single"/>
        </w:rPr>
      </w:pPr>
    </w:p>
    <w:p w:rsidR="00B83451" w:rsidRPr="00B83451" w:rsidRDefault="00B83451" w:rsidP="00B83451">
      <w:pPr>
        <w:spacing w:before="240"/>
        <w:jc w:val="both"/>
        <w:rPr>
          <w:rFonts w:ascii="Book Antiqua" w:hAnsi="Book Antiqua" w:cs="Arial"/>
          <w:b/>
          <w:u w:val="single"/>
        </w:rPr>
      </w:pPr>
      <w:r w:rsidRPr="00B83451">
        <w:rPr>
          <w:rFonts w:ascii="Book Antiqua" w:hAnsi="Book Antiqua" w:cs="Arial"/>
          <w:b/>
          <w:u w:val="single"/>
        </w:rPr>
        <w:lastRenderedPageBreak/>
        <w:t>Grounds of Application</w:t>
      </w:r>
    </w:p>
    <w:p w:rsidR="00B83451" w:rsidRDefault="00B83451" w:rsidP="00D33B16">
      <w:pPr>
        <w:numPr>
          <w:ilvl w:val="0"/>
          <w:numId w:val="3"/>
        </w:numPr>
        <w:spacing w:before="240"/>
        <w:jc w:val="both"/>
        <w:rPr>
          <w:rFonts w:ascii="Book Antiqua" w:hAnsi="Book Antiqua" w:cs="Arial"/>
        </w:rPr>
      </w:pPr>
      <w:r>
        <w:rPr>
          <w:rFonts w:ascii="Book Antiqua" w:hAnsi="Book Antiqua" w:cs="Arial"/>
        </w:rPr>
        <w:t>The grounds of application state that the Tribunal failed to make clear findings on Section 117</w:t>
      </w:r>
      <w:proofErr w:type="gramStart"/>
      <w:r>
        <w:rPr>
          <w:rFonts w:ascii="Book Antiqua" w:hAnsi="Book Antiqua" w:cs="Arial"/>
        </w:rPr>
        <w:t>B(</w:t>
      </w:r>
      <w:proofErr w:type="gramEnd"/>
      <w:r>
        <w:rPr>
          <w:rFonts w:ascii="Book Antiqua" w:hAnsi="Book Antiqua" w:cs="Arial"/>
        </w:rPr>
        <w:t xml:space="preserve">6) of the NIAA 2002, and in particular whether or why it would be in the circumstances reasonable for British children to leave the UK in this case.  </w:t>
      </w:r>
    </w:p>
    <w:p w:rsidR="00B83451" w:rsidRDefault="00B83451" w:rsidP="00D33B16">
      <w:pPr>
        <w:numPr>
          <w:ilvl w:val="0"/>
          <w:numId w:val="3"/>
        </w:numPr>
        <w:spacing w:before="240"/>
        <w:jc w:val="both"/>
        <w:rPr>
          <w:rFonts w:ascii="Book Antiqua" w:hAnsi="Book Antiqua" w:cs="Arial"/>
        </w:rPr>
      </w:pPr>
      <w:r>
        <w:rPr>
          <w:rFonts w:ascii="Book Antiqua" w:hAnsi="Book Antiqua" w:cs="Arial"/>
        </w:rPr>
        <w:t>On 10</w:t>
      </w:r>
      <w:r w:rsidRPr="00B83451">
        <w:rPr>
          <w:rFonts w:ascii="Book Antiqua" w:hAnsi="Book Antiqua" w:cs="Arial"/>
          <w:vertAlign w:val="superscript"/>
        </w:rPr>
        <w:t>th</w:t>
      </w:r>
      <w:r>
        <w:rPr>
          <w:rFonts w:ascii="Book Antiqua" w:hAnsi="Book Antiqua" w:cs="Arial"/>
        </w:rPr>
        <w:t xml:space="preserve"> January 2018 permission to appeal was granted by the Upper Tribunal.</w:t>
      </w:r>
    </w:p>
    <w:p w:rsidR="00B83451" w:rsidRPr="00B83451" w:rsidRDefault="00B83451" w:rsidP="00B83451">
      <w:pPr>
        <w:spacing w:before="240"/>
        <w:jc w:val="both"/>
        <w:rPr>
          <w:rFonts w:ascii="Book Antiqua" w:hAnsi="Book Antiqua" w:cs="Arial"/>
          <w:b/>
          <w:u w:val="single"/>
        </w:rPr>
      </w:pPr>
      <w:r w:rsidRPr="00B83451">
        <w:rPr>
          <w:rFonts w:ascii="Book Antiqua" w:hAnsi="Book Antiqua" w:cs="Arial"/>
          <w:b/>
          <w:u w:val="single"/>
        </w:rPr>
        <w:t>Submissions</w:t>
      </w:r>
    </w:p>
    <w:p w:rsidR="00B83451" w:rsidRDefault="00B83451" w:rsidP="00D33B16">
      <w:pPr>
        <w:numPr>
          <w:ilvl w:val="0"/>
          <w:numId w:val="3"/>
        </w:numPr>
        <w:spacing w:before="240"/>
        <w:jc w:val="both"/>
        <w:rPr>
          <w:rFonts w:ascii="Book Antiqua" w:hAnsi="Book Antiqua" w:cs="Arial"/>
        </w:rPr>
      </w:pPr>
      <w:r>
        <w:rPr>
          <w:rFonts w:ascii="Book Antiqua" w:hAnsi="Book Antiqua" w:cs="Arial"/>
        </w:rPr>
        <w:t>At the hearing before me on 3</w:t>
      </w:r>
      <w:r w:rsidRPr="00B83451">
        <w:rPr>
          <w:rFonts w:ascii="Book Antiqua" w:hAnsi="Book Antiqua" w:cs="Arial"/>
          <w:vertAlign w:val="superscript"/>
        </w:rPr>
        <w:t>rd</w:t>
      </w:r>
      <w:r>
        <w:rPr>
          <w:rFonts w:ascii="Book Antiqua" w:hAnsi="Book Antiqua" w:cs="Arial"/>
        </w:rPr>
        <w:t xml:space="preserve"> April 2018, Ms Pinder, appearing on behalf of the Appellant, submitted that the judge did not accept that the relationship between the </w:t>
      </w:r>
      <w:r w:rsidR="005C7D33">
        <w:rPr>
          <w:rFonts w:ascii="Book Antiqua" w:hAnsi="Book Antiqua" w:cs="Arial"/>
        </w:rPr>
        <w:t xml:space="preserve">Appellant and Ms </w:t>
      </w:r>
      <w:r w:rsidR="006E2FC5">
        <w:rPr>
          <w:rFonts w:ascii="Book Antiqua" w:hAnsi="Book Antiqua" w:cs="Arial"/>
        </w:rPr>
        <w:t>[M]</w:t>
      </w:r>
      <w:r>
        <w:rPr>
          <w:rFonts w:ascii="Book Antiqua" w:hAnsi="Book Antiqua" w:cs="Arial"/>
        </w:rPr>
        <w:t xml:space="preserve"> was continuing, such that the Appellant could not succeed under the partner route.  However, if one looks at paragraph R-LTRPT of Appendix FM</w:t>
      </w:r>
      <w:r w:rsidR="00641A1C">
        <w:rPr>
          <w:rFonts w:ascii="Book Antiqua" w:hAnsi="Book Antiqua" w:cs="Arial"/>
        </w:rPr>
        <w:t>,</w:t>
      </w:r>
      <w:r w:rsidR="004536A6">
        <w:rPr>
          <w:rFonts w:ascii="Book Antiqua" w:hAnsi="Book Antiqua" w:cs="Arial"/>
        </w:rPr>
        <w:t xml:space="preserve"> </w:t>
      </w:r>
      <w:r w:rsidR="00434D44">
        <w:rPr>
          <w:rFonts w:ascii="Book Antiqua" w:hAnsi="Book Antiqua" w:cs="Arial"/>
        </w:rPr>
        <w:t>it is clear that</w:t>
      </w:r>
      <w:r>
        <w:rPr>
          <w:rFonts w:ascii="Book Antiqua" w:hAnsi="Book Antiqua" w:cs="Arial"/>
        </w:rPr>
        <w:t xml:space="preserve">, when dealing with the “requirement for limited leave to remain as a parent, </w:t>
      </w:r>
      <w:r w:rsidR="00434D44">
        <w:rPr>
          <w:rFonts w:ascii="Book Antiqua" w:hAnsi="Book Antiqua" w:cs="Arial"/>
        </w:rPr>
        <w:t xml:space="preserve">this provision </w:t>
      </w:r>
      <w:r>
        <w:rPr>
          <w:rFonts w:ascii="Book Antiqua" w:hAnsi="Book Antiqua" w:cs="Arial"/>
        </w:rPr>
        <w:t>also refers to “parent or partner”</w:t>
      </w:r>
      <w:r w:rsidR="00434D44">
        <w:rPr>
          <w:rFonts w:ascii="Book Antiqua" w:hAnsi="Book Antiqua" w:cs="Arial"/>
        </w:rPr>
        <w:t xml:space="preserve"> such that the appellant’s ‘partner’ role should also have been considered</w:t>
      </w:r>
      <w:r>
        <w:rPr>
          <w:rFonts w:ascii="Book Antiqua" w:hAnsi="Book Antiqua" w:cs="Arial"/>
        </w:rPr>
        <w:t xml:space="preserve">.  Second, apart from </w:t>
      </w:r>
      <w:r w:rsidR="00162E34">
        <w:rPr>
          <w:rFonts w:ascii="Book Antiqua" w:hAnsi="Book Antiqua" w:cs="Arial"/>
        </w:rPr>
        <w:t>this error in the construction of the applicable Rule, the judge also erred in concluding that, given that he had found that the Appellant “has a genuine relationship with his children and is involved and intends to continue to be involved in the upbringing,” that</w:t>
      </w:r>
      <w:r w:rsidR="00D467D9">
        <w:rPr>
          <w:rFonts w:ascii="Book Antiqua" w:hAnsi="Book Antiqua" w:cs="Arial"/>
        </w:rPr>
        <w:t>, “in these circumstances I find it is not reasonable for them to leave the UK with their father” (paragraph 47).  The question is not whether it is “reasonable for them to leave the UK” but whether it is “unreasonable” for them to leave the UK.  In any event, the conclusion that it was “reasonable” was not borne out by the fact that EX.1(a) refers to a “genuine and subsisting relationship”, and if this was found by the judge to have been in existence, it was not in the children’s “best interest</w:t>
      </w:r>
      <w:r w:rsidR="00DB0E21">
        <w:rPr>
          <w:rFonts w:ascii="Book Antiqua" w:hAnsi="Book Antiqua" w:cs="Arial"/>
        </w:rPr>
        <w:t>s</w:t>
      </w:r>
      <w:r w:rsidR="00D467D9">
        <w:rPr>
          <w:rFonts w:ascii="Book Antiqua" w:hAnsi="Book Antiqua" w:cs="Arial"/>
        </w:rPr>
        <w:t>” that he, the Appellant, as their father, leave the UK.</w:t>
      </w:r>
    </w:p>
    <w:p w:rsidR="00D467D9" w:rsidRDefault="00D467D9" w:rsidP="00D33B16">
      <w:pPr>
        <w:numPr>
          <w:ilvl w:val="0"/>
          <w:numId w:val="3"/>
        </w:numPr>
        <w:spacing w:before="240"/>
        <w:jc w:val="both"/>
        <w:rPr>
          <w:rFonts w:ascii="Book Antiqua" w:hAnsi="Book Antiqua" w:cs="Arial"/>
        </w:rPr>
      </w:pPr>
      <w:r>
        <w:rPr>
          <w:rFonts w:ascii="Book Antiqua" w:hAnsi="Book Antiqua" w:cs="Arial"/>
        </w:rPr>
        <w:t>For her part, Ms Pal accepted that the judge had made a positive finding that the Appellant, as the father of the children, had a relationship with them.  However, he had then gone on to say that “the children can remain in touch through social media and would be able to visit Kenya as they have done previously” (paragraph 51).  That finding was open to the judge.</w:t>
      </w:r>
    </w:p>
    <w:p w:rsidR="00D467D9" w:rsidRDefault="00D467D9" w:rsidP="00D33B16">
      <w:pPr>
        <w:numPr>
          <w:ilvl w:val="0"/>
          <w:numId w:val="3"/>
        </w:numPr>
        <w:spacing w:before="240"/>
        <w:jc w:val="both"/>
        <w:rPr>
          <w:rFonts w:ascii="Book Antiqua" w:hAnsi="Book Antiqua" w:cs="Arial"/>
        </w:rPr>
      </w:pPr>
      <w:r>
        <w:rPr>
          <w:rFonts w:ascii="Book Antiqua" w:hAnsi="Book Antiqua" w:cs="Arial"/>
        </w:rPr>
        <w:t>In reply, Ms Pinder submitted that, in the face of the glaring omission to recognise the significance of a “genuine and subsisting relationship” as stipulated at Section 117(vi), the judge had failed to carry out a balancing exercise to show why the Appellant’s immigration history was such that the “best interests” of the children could be overridden.</w:t>
      </w:r>
    </w:p>
    <w:p w:rsidR="00D467D9" w:rsidRPr="00D467D9" w:rsidRDefault="00D467D9" w:rsidP="00D467D9">
      <w:pPr>
        <w:spacing w:before="240"/>
        <w:jc w:val="both"/>
        <w:rPr>
          <w:rFonts w:ascii="Book Antiqua" w:hAnsi="Book Antiqua" w:cs="Arial"/>
          <w:b/>
          <w:u w:val="single"/>
        </w:rPr>
      </w:pPr>
      <w:r w:rsidRPr="00D467D9">
        <w:rPr>
          <w:rFonts w:ascii="Book Antiqua" w:hAnsi="Book Antiqua" w:cs="Arial"/>
          <w:b/>
          <w:u w:val="single"/>
        </w:rPr>
        <w:t>Error of Law</w:t>
      </w:r>
    </w:p>
    <w:p w:rsidR="00D467D9" w:rsidRDefault="00D467D9" w:rsidP="00D467D9">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and remake the decision.  My reasons are that on the basis of what the judge has stated at paragraph 47, namely, that the Appellant “has a genuine relationship with his children and is involved and intends to continue to be involved in their upbringing”, the fact that these British children also have “a relationship with </w:t>
      </w:r>
      <w:r>
        <w:rPr>
          <w:rFonts w:ascii="Book Antiqua" w:hAnsi="Book Antiqua" w:cs="Arial"/>
        </w:rPr>
        <w:lastRenderedPageBreak/>
        <w:t xml:space="preserve">their mother” does not mean, that as a matter of law, “it is not unreasonable for them to leave the UK with their father”.  </w:t>
      </w:r>
    </w:p>
    <w:p w:rsidR="00D467D9" w:rsidRPr="00F35B9C" w:rsidRDefault="00D467D9" w:rsidP="00D467D9">
      <w:pPr>
        <w:spacing w:before="240"/>
        <w:jc w:val="both"/>
        <w:rPr>
          <w:rFonts w:ascii="Book Antiqua" w:hAnsi="Book Antiqua" w:cs="Arial"/>
          <w:b/>
          <w:u w:val="single"/>
        </w:rPr>
      </w:pPr>
      <w:r w:rsidRPr="00D467D9">
        <w:rPr>
          <w:rFonts w:ascii="Book Antiqua" w:hAnsi="Book Antiqua" w:cs="Arial"/>
          <w:b/>
          <w:u w:val="single"/>
        </w:rPr>
        <w:t>Remaking the Decision</w:t>
      </w:r>
    </w:p>
    <w:p w:rsidR="00F35B9C" w:rsidRPr="00F35B9C" w:rsidRDefault="00D467D9" w:rsidP="00F35B9C">
      <w:pPr>
        <w:numPr>
          <w:ilvl w:val="0"/>
          <w:numId w:val="3"/>
        </w:numPr>
        <w:spacing w:before="240"/>
        <w:jc w:val="both"/>
        <w:rPr>
          <w:rFonts w:ascii="Book Antiqua" w:hAnsi="Book Antiqua" w:cs="Arial"/>
        </w:rPr>
      </w:pPr>
      <w:r w:rsidRPr="00F35B9C">
        <w:rPr>
          <w:rFonts w:ascii="Book Antiqua" w:hAnsi="Book Antiqua" w:cs="Arial"/>
        </w:rPr>
        <w:t xml:space="preserve">I remade the decision on the basis of the findings of the original judge, the evidence before him, and the submissions that I have heard today.  This is a case where the judge found as a fact that there was a genuine relationship between the Appellant and his children.  He was involved in their lives.  He intended to be involved in the future also.  The children themselves were British citizens.  </w:t>
      </w:r>
    </w:p>
    <w:p w:rsidR="00F35B9C" w:rsidRPr="00F35B9C" w:rsidRDefault="00D467D9" w:rsidP="00F35B9C">
      <w:pPr>
        <w:numPr>
          <w:ilvl w:val="0"/>
          <w:numId w:val="3"/>
        </w:numPr>
        <w:spacing w:before="240"/>
        <w:jc w:val="both"/>
        <w:rPr>
          <w:rFonts w:ascii="Book Antiqua" w:hAnsi="Book Antiqua" w:cs="Arial"/>
        </w:rPr>
      </w:pPr>
      <w:r w:rsidRPr="00F35B9C">
        <w:rPr>
          <w:rFonts w:ascii="Book Antiqua" w:hAnsi="Book Antiqua" w:cs="Arial"/>
        </w:rPr>
        <w:t xml:space="preserve">In </w:t>
      </w:r>
      <w:r w:rsidRPr="00F35B9C">
        <w:rPr>
          <w:rFonts w:ascii="Book Antiqua" w:hAnsi="Book Antiqua" w:cs="Arial"/>
          <w:b/>
          <w:u w:val="single"/>
        </w:rPr>
        <w:t>MA</w:t>
      </w:r>
      <w:r w:rsidRPr="00F35B9C">
        <w:rPr>
          <w:rFonts w:ascii="Book Antiqua" w:hAnsi="Book Antiqua" w:cs="Arial"/>
          <w:b/>
        </w:rPr>
        <w:t xml:space="preserve"> (Pakistan) [2016] EWCA Civ 705</w:t>
      </w:r>
      <w:r w:rsidRPr="00F35B9C">
        <w:rPr>
          <w:rFonts w:ascii="Book Antiqua" w:hAnsi="Book Antiqua" w:cs="Arial"/>
        </w:rPr>
        <w:t xml:space="preserve">, </w:t>
      </w:r>
      <w:r w:rsidR="00936A1D" w:rsidRPr="00F35B9C">
        <w:rPr>
          <w:rFonts w:ascii="Book Antiqua" w:hAnsi="Book Antiqua" w:cs="Arial"/>
        </w:rPr>
        <w:t xml:space="preserve">the Court concluded that </w:t>
      </w:r>
      <w:r w:rsidR="00936A1D" w:rsidRPr="00F35B9C">
        <w:rPr>
          <w:rFonts w:ascii="Book Antiqua" w:hAnsi="Book Antiqua" w:cs="Times"/>
          <w:lang w:val="en-US" w:eastAsia="en-US"/>
        </w:rPr>
        <w:t>it was inherent in the reasonableness test in section 117</w:t>
      </w:r>
      <w:proofErr w:type="gramStart"/>
      <w:r w:rsidR="00936A1D" w:rsidRPr="00F35B9C">
        <w:rPr>
          <w:rFonts w:ascii="Book Antiqua" w:hAnsi="Book Antiqua" w:cs="Times"/>
          <w:lang w:val="en-US" w:eastAsia="en-US"/>
        </w:rPr>
        <w:t>B(</w:t>
      </w:r>
      <w:proofErr w:type="gramEnd"/>
      <w:r w:rsidR="00936A1D" w:rsidRPr="00F35B9C">
        <w:rPr>
          <w:rFonts w:ascii="Book Antiqua" w:hAnsi="Book Antiqua" w:cs="Times"/>
          <w:lang w:val="en-US" w:eastAsia="en-US"/>
        </w:rPr>
        <w:t xml:space="preserve">6) that the court should have regard to wider public interest considerations and in particular the need for effective immigration control. The Court felt obliged to follow another decision of the Court of Appeal in </w:t>
      </w:r>
      <w:r w:rsidR="00936A1D" w:rsidRPr="00F35B9C">
        <w:rPr>
          <w:rFonts w:ascii="Book Antiqua" w:hAnsi="Book Antiqua" w:cs="Times"/>
          <w:b/>
          <w:iCs/>
          <w:u w:val="single"/>
          <w:lang w:val="en-US" w:eastAsia="en-US"/>
        </w:rPr>
        <w:t xml:space="preserve">MM (Uganda) v Secretary of State for the Home </w:t>
      </w:r>
      <w:r w:rsidR="006E2FC5" w:rsidRPr="00F35B9C">
        <w:rPr>
          <w:rFonts w:ascii="Book Antiqua" w:hAnsi="Book Antiqua" w:cs="Times"/>
          <w:b/>
          <w:iCs/>
          <w:u w:val="single"/>
          <w:lang w:val="en-US" w:eastAsia="en-US"/>
        </w:rPr>
        <w:t>Department</w:t>
      </w:r>
      <w:r w:rsidR="006E2FC5" w:rsidRPr="006E2FC5">
        <w:rPr>
          <w:rFonts w:ascii="Book Antiqua" w:hAnsi="Book Antiqua" w:cs="Times"/>
          <w:lang w:val="en-US" w:eastAsia="en-US"/>
        </w:rPr>
        <w:t xml:space="preserve"> </w:t>
      </w:r>
      <w:r w:rsidR="006E2FC5" w:rsidRPr="00F35B9C">
        <w:rPr>
          <w:rFonts w:ascii="Book Antiqua" w:hAnsi="Book Antiqua" w:cs="Times"/>
          <w:lang w:val="en-US" w:eastAsia="en-US"/>
        </w:rPr>
        <w:t>[</w:t>
      </w:r>
      <w:r w:rsidR="00936A1D" w:rsidRPr="00F35B9C">
        <w:rPr>
          <w:rFonts w:ascii="Book Antiqua" w:hAnsi="Book Antiqua" w:cs="Times"/>
          <w:lang w:val="en-US" w:eastAsia="en-US"/>
        </w:rPr>
        <w:t>2016] EWCA 617. That was a case concerning foreign criminals which engaged section 117C rather than 117B, and in particular to the need in section 117</w:t>
      </w:r>
      <w:proofErr w:type="gramStart"/>
      <w:r w:rsidR="00936A1D" w:rsidRPr="00F35B9C">
        <w:rPr>
          <w:rFonts w:ascii="Book Antiqua" w:hAnsi="Book Antiqua" w:cs="Times"/>
          <w:lang w:val="en-US" w:eastAsia="en-US"/>
        </w:rPr>
        <w:t>C(</w:t>
      </w:r>
      <w:proofErr w:type="gramEnd"/>
      <w:r w:rsidR="00936A1D" w:rsidRPr="00F35B9C">
        <w:rPr>
          <w:rFonts w:ascii="Book Antiqua" w:hAnsi="Book Antiqua" w:cs="Times"/>
          <w:lang w:val="en-US" w:eastAsia="en-US"/>
        </w:rPr>
        <w:t xml:space="preserve">5) to show that it would be "unduly harsh" rather than simply not unreasonable, to require the qualifying child to leave the UK. </w:t>
      </w:r>
      <w:proofErr w:type="gramStart"/>
      <w:r w:rsidR="00936A1D" w:rsidRPr="00F35B9C">
        <w:rPr>
          <w:rFonts w:ascii="Book Antiqua" w:hAnsi="Book Antiqua" w:cs="Times"/>
          <w:lang w:val="en-US" w:eastAsia="en-US"/>
        </w:rPr>
        <w:t>However</w:t>
      </w:r>
      <w:proofErr w:type="gramEnd"/>
      <w:r w:rsidR="00936A1D" w:rsidRPr="00F35B9C">
        <w:rPr>
          <w:rFonts w:ascii="Book Antiqua" w:hAnsi="Book Antiqua" w:cs="Times"/>
          <w:lang w:val="en-US" w:eastAsia="en-US"/>
        </w:rPr>
        <w:t xml:space="preserve"> the court in </w:t>
      </w:r>
      <w:r w:rsidR="00936A1D" w:rsidRPr="00F35B9C">
        <w:rPr>
          <w:rFonts w:ascii="Book Antiqua" w:hAnsi="Book Antiqua" w:cs="Times"/>
          <w:b/>
          <w:iCs/>
          <w:u w:val="single"/>
          <w:lang w:val="en-US" w:eastAsia="en-US"/>
        </w:rPr>
        <w:t>MA (Pakistan)</w:t>
      </w:r>
      <w:r w:rsidR="00936A1D" w:rsidRPr="006E2FC5">
        <w:rPr>
          <w:rFonts w:ascii="Book Antiqua" w:hAnsi="Book Antiqua" w:cs="Times"/>
          <w:lang w:val="en-US" w:eastAsia="en-US"/>
        </w:rPr>
        <w:t xml:space="preserve"> </w:t>
      </w:r>
      <w:r w:rsidR="00936A1D" w:rsidRPr="00F35B9C">
        <w:rPr>
          <w:rFonts w:ascii="Book Antiqua" w:hAnsi="Book Antiqua" w:cs="Times"/>
          <w:lang w:val="en-US" w:eastAsia="en-US"/>
        </w:rPr>
        <w:t xml:space="preserve">considered that the structure of the relevant provisions was sufficiently similar to require a common approach. </w:t>
      </w:r>
    </w:p>
    <w:p w:rsidR="00F35B9C" w:rsidRPr="00F35B9C" w:rsidRDefault="00936A1D" w:rsidP="00F35B9C">
      <w:pPr>
        <w:numPr>
          <w:ilvl w:val="0"/>
          <w:numId w:val="3"/>
        </w:numPr>
        <w:spacing w:before="240"/>
        <w:jc w:val="both"/>
        <w:rPr>
          <w:rFonts w:ascii="Book Antiqua" w:hAnsi="Book Antiqua" w:cs="Arial"/>
        </w:rPr>
      </w:pPr>
      <w:r w:rsidRPr="00F35B9C">
        <w:rPr>
          <w:rFonts w:ascii="Book Antiqua" w:hAnsi="Book Antiqua" w:cs="Times"/>
          <w:lang w:val="en-US" w:eastAsia="en-US"/>
        </w:rPr>
        <w:t xml:space="preserve">Accordingly, since the Court in </w:t>
      </w:r>
      <w:r w:rsidRPr="00F35B9C">
        <w:rPr>
          <w:rFonts w:ascii="Book Antiqua" w:hAnsi="Book Antiqua" w:cs="Times"/>
          <w:b/>
          <w:iCs/>
          <w:u w:val="single"/>
          <w:lang w:val="en-US" w:eastAsia="en-US"/>
        </w:rPr>
        <w:t>MM</w:t>
      </w:r>
      <w:r w:rsidRPr="00F35B9C">
        <w:rPr>
          <w:rFonts w:ascii="Book Antiqua" w:hAnsi="Book Antiqua" w:cs="Times"/>
          <w:b/>
          <w:u w:val="single"/>
          <w:lang w:val="en-US" w:eastAsia="en-US"/>
        </w:rPr>
        <w:t xml:space="preserve"> </w:t>
      </w:r>
      <w:r w:rsidRPr="00F35B9C">
        <w:rPr>
          <w:rFonts w:ascii="Book Antiqua" w:hAnsi="Book Antiqua" w:cs="Times"/>
          <w:b/>
          <w:iCs/>
          <w:u w:val="single"/>
          <w:lang w:val="en-US" w:eastAsia="en-US"/>
        </w:rPr>
        <w:t>(Uganda)</w:t>
      </w:r>
      <w:r w:rsidRPr="00F35B9C">
        <w:rPr>
          <w:rFonts w:ascii="Book Antiqua" w:hAnsi="Book Antiqua" w:cs="Times"/>
          <w:lang w:val="en-US" w:eastAsia="en-US"/>
        </w:rPr>
        <w:t xml:space="preserve"> had held that wider public interest considerations relating to effective immigration control could be taken into account when deciding whether or not it was unduly harsh to send an applicant back to the country of origin, so likewise should they be taken into account when considering under section 117B whether it is not unreasonable to do so. </w:t>
      </w:r>
    </w:p>
    <w:p w:rsidR="00F35B9C" w:rsidRPr="00F35B9C" w:rsidRDefault="00936A1D" w:rsidP="00F35B9C">
      <w:pPr>
        <w:numPr>
          <w:ilvl w:val="0"/>
          <w:numId w:val="3"/>
        </w:numPr>
        <w:spacing w:before="240"/>
        <w:jc w:val="both"/>
        <w:rPr>
          <w:rFonts w:ascii="Book Antiqua" w:hAnsi="Book Antiqua" w:cs="Arial"/>
        </w:rPr>
      </w:pPr>
      <w:r w:rsidRPr="00F35B9C">
        <w:rPr>
          <w:rFonts w:ascii="Book Antiqua" w:hAnsi="Book Antiqua" w:cs="Times"/>
          <w:lang w:val="en-US" w:eastAsia="en-US"/>
        </w:rPr>
        <w:t>But the court also held that section 117</w:t>
      </w:r>
      <w:proofErr w:type="gramStart"/>
      <w:r w:rsidRPr="00F35B9C">
        <w:rPr>
          <w:rFonts w:ascii="Book Antiqua" w:hAnsi="Book Antiqua" w:cs="Times"/>
          <w:lang w:val="en-US" w:eastAsia="en-US"/>
        </w:rPr>
        <w:t>B(</w:t>
      </w:r>
      <w:proofErr w:type="gramEnd"/>
      <w:r w:rsidRPr="00F35B9C">
        <w:rPr>
          <w:rFonts w:ascii="Book Antiqua" w:hAnsi="Book Antiqua" w:cs="Times"/>
          <w:lang w:val="en-US" w:eastAsia="en-US"/>
        </w:rPr>
        <w:t>6) was a self-contained provision in the sense that where the conditions specified in the subsection are satisfied, the public interest will not justify removal. The wider public interests considerations can only come into play via the concept of reasonableness in section 117</w:t>
      </w:r>
      <w:proofErr w:type="gramStart"/>
      <w:r w:rsidRPr="00F35B9C">
        <w:rPr>
          <w:rFonts w:ascii="Book Antiqua" w:hAnsi="Book Antiqua" w:cs="Times"/>
          <w:lang w:val="en-US" w:eastAsia="en-US"/>
        </w:rPr>
        <w:t>B(</w:t>
      </w:r>
      <w:proofErr w:type="gramEnd"/>
      <w:r w:rsidRPr="00F35B9C">
        <w:rPr>
          <w:rFonts w:ascii="Book Antiqua" w:hAnsi="Book Antiqua" w:cs="Times"/>
          <w:lang w:val="en-US" w:eastAsia="en-US"/>
        </w:rPr>
        <w:t xml:space="preserve">6) itself. </w:t>
      </w:r>
    </w:p>
    <w:p w:rsidR="00D467D9" w:rsidRPr="00F35B9C" w:rsidRDefault="00F35B9C" w:rsidP="00F35B9C">
      <w:pPr>
        <w:numPr>
          <w:ilvl w:val="0"/>
          <w:numId w:val="3"/>
        </w:numPr>
        <w:spacing w:before="240"/>
        <w:jc w:val="both"/>
        <w:rPr>
          <w:rFonts w:ascii="Book Antiqua" w:hAnsi="Book Antiqua" w:cs="Arial"/>
        </w:rPr>
      </w:pPr>
      <w:r w:rsidRPr="00F35B9C">
        <w:rPr>
          <w:rFonts w:ascii="Book Antiqua" w:hAnsi="Book Antiqua" w:cs="Times"/>
          <w:lang w:val="en-US" w:eastAsia="en-US"/>
        </w:rPr>
        <w:t xml:space="preserve">I find both that it is not reasonable to </w:t>
      </w:r>
      <w:r w:rsidR="00D467D9" w:rsidRPr="00F35B9C">
        <w:rPr>
          <w:rFonts w:ascii="Book Antiqua" w:hAnsi="Book Antiqua" w:cs="Arial"/>
        </w:rPr>
        <w:t>for a “qualifying child” to leave the United Kingdom</w:t>
      </w:r>
      <w:r w:rsidRPr="00F35B9C">
        <w:rPr>
          <w:rFonts w:ascii="Book Antiqua" w:hAnsi="Book Antiqua" w:cs="Arial"/>
        </w:rPr>
        <w:t xml:space="preserve"> and that the public interest does not justify the Appellant’s removal because the </w:t>
      </w:r>
      <w:r w:rsidR="00D467D9" w:rsidRPr="00F35B9C">
        <w:rPr>
          <w:rFonts w:ascii="Book Antiqua" w:hAnsi="Book Antiqua" w:cs="Arial"/>
        </w:rPr>
        <w:t xml:space="preserve">children’s key welfare needs are to remain in the care of both parents, which includes the British citizen mother as well, and to have both their parents continue to look after them.  The mother cannot leave the UK and go to Kenya.  She is studying to become a mental health nurse.  It has been the Appellant’s case that </w:t>
      </w:r>
      <w:r w:rsidR="00E310FA" w:rsidRPr="00F35B9C">
        <w:rPr>
          <w:rFonts w:ascii="Book Antiqua" w:hAnsi="Book Antiqua" w:cs="Arial"/>
        </w:rPr>
        <w:t>the children’s mother would not be able to continue her studies if she had to leave the UK.  The children have a genuine and subsisting relationship with both parents.  In these circumstances the public interest in the maintenance of immigration control is not an overriding factor and it would not be reasonable for the children to relocate</w:t>
      </w:r>
      <w:r w:rsidR="00884C25" w:rsidRPr="00F35B9C">
        <w:rPr>
          <w:rFonts w:ascii="Book Antiqua" w:hAnsi="Book Antiqua" w:cs="Arial"/>
        </w:rPr>
        <w:t xml:space="preserve"> outside the United Kingdom, or</w:t>
      </w:r>
      <w:r w:rsidR="00E310FA" w:rsidRPr="00F35B9C">
        <w:rPr>
          <w:rFonts w:ascii="Book Antiqua" w:hAnsi="Book Antiqua" w:cs="Arial"/>
        </w:rPr>
        <w:t xml:space="preserve"> feasible to continue, throug</w:t>
      </w:r>
      <w:r w:rsidR="00434D44" w:rsidRPr="00F35B9C">
        <w:rPr>
          <w:rFonts w:ascii="Book Antiqua" w:hAnsi="Book Antiqua" w:cs="Arial"/>
        </w:rPr>
        <w:t>h modern means of communication.  This is because of</w:t>
      </w:r>
      <w:r w:rsidR="00E310FA" w:rsidRPr="00F35B9C">
        <w:rPr>
          <w:rFonts w:ascii="Book Antiqua" w:hAnsi="Book Antiqua" w:cs="Arial"/>
        </w:rPr>
        <w:t xml:space="preserve"> the level of continuing interests and support to which they are used to</w:t>
      </w:r>
      <w:r w:rsidR="00434D44" w:rsidRPr="00F35B9C">
        <w:rPr>
          <w:rFonts w:ascii="Book Antiqua" w:hAnsi="Book Antiqua" w:cs="Arial"/>
        </w:rPr>
        <w:t xml:space="preserve"> from their father, whilst </w:t>
      </w:r>
      <w:r w:rsidR="00E310FA" w:rsidRPr="00F35B9C">
        <w:rPr>
          <w:rFonts w:ascii="Book Antiqua" w:hAnsi="Book Antiqua" w:cs="Arial"/>
        </w:rPr>
        <w:t>he has been physically present in the UK. Taking into account all the relevant factors, I find that the appeal must be allowed.</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lastRenderedPageBreak/>
        <w:t>Notice of Decision</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 xml:space="preserve">The </w:t>
      </w:r>
      <w:r w:rsidR="00E310FA">
        <w:rPr>
          <w:rFonts w:ascii="Book Antiqua" w:hAnsi="Book Antiqua" w:cs="Arial"/>
        </w:rPr>
        <w:t>decision of the First-tier Tribunal involved the making of an error of law such that it falls to be set aside.  I set aside the decision of the original judge.  I remake the decision as follows.  This appeal is allowed.</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No anonymity direction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E310FA">
        <w:rPr>
          <w:rFonts w:ascii="Book Antiqua" w:hAnsi="Book Antiqua" w:cs="Arial"/>
        </w:rPr>
        <w:t>d</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434D44">
        <w:rPr>
          <w:rFonts w:ascii="Book Antiqua" w:hAnsi="Book Antiqua" w:cs="Arial"/>
        </w:rPr>
        <w:tab/>
      </w:r>
      <w:r w:rsidR="00434D44">
        <w:rPr>
          <w:rFonts w:ascii="Book Antiqua" w:hAnsi="Book Antiqua" w:cs="Arial"/>
        </w:rPr>
        <w:tab/>
      </w:r>
      <w:r w:rsidR="00434D44">
        <w:rPr>
          <w:rFonts w:ascii="Book Antiqua" w:hAnsi="Book Antiqua" w:cs="Arial"/>
        </w:rPr>
        <w:tab/>
      </w:r>
      <w:r w:rsidR="00434D44">
        <w:rPr>
          <w:rFonts w:ascii="Book Antiqua" w:hAnsi="Book Antiqua" w:cs="Arial"/>
        </w:rPr>
        <w:tab/>
        <w:t>18</w:t>
      </w:r>
      <w:r w:rsidR="00434D44" w:rsidRPr="00434D44">
        <w:rPr>
          <w:rFonts w:ascii="Book Antiqua" w:hAnsi="Book Antiqua" w:cs="Arial"/>
          <w:vertAlign w:val="superscript"/>
        </w:rPr>
        <w:t>th</w:t>
      </w:r>
      <w:r w:rsidR="00434D44">
        <w:rPr>
          <w:rFonts w:ascii="Book Antiqua" w:hAnsi="Book Antiqua" w:cs="Arial"/>
        </w:rPr>
        <w:t xml:space="preserve"> May 2018</w:t>
      </w:r>
    </w:p>
    <w:p w:rsidR="00434D44" w:rsidRDefault="00434D44" w:rsidP="000369F5">
      <w:pPr>
        <w:tabs>
          <w:tab w:val="left" w:pos="2520"/>
        </w:tabs>
        <w:jc w:val="both"/>
        <w:rPr>
          <w:rFonts w:ascii="Book Antiqua" w:hAnsi="Book Antiqua" w:cs="Arial"/>
        </w:rPr>
      </w:pPr>
    </w:p>
    <w:p w:rsidR="00434D44" w:rsidRDefault="00434D44" w:rsidP="000E34AA">
      <w:pPr>
        <w:jc w:val="both"/>
        <w:rPr>
          <w:rFonts w:ascii="Book Antiqua" w:hAnsi="Book Antiqua" w:cs="Arial"/>
          <w:b/>
          <w:u w:val="single"/>
        </w:rPr>
      </w:pPr>
    </w:p>
    <w:p w:rsidR="00434D44" w:rsidRDefault="00434D44" w:rsidP="000E34AA">
      <w:pPr>
        <w:jc w:val="both"/>
        <w:rPr>
          <w:rFonts w:ascii="Book Antiqua" w:hAnsi="Book Antiqua" w:cs="Arial"/>
          <w:b/>
          <w:u w:val="single"/>
        </w:rPr>
      </w:pPr>
    </w:p>
    <w:p w:rsidR="00434D44" w:rsidRDefault="00434D44" w:rsidP="000E34AA">
      <w:pPr>
        <w:jc w:val="both"/>
        <w:rPr>
          <w:rFonts w:ascii="Book Antiqua" w:hAnsi="Book Antiqua" w:cs="Arial"/>
          <w:b/>
          <w:u w:val="single"/>
        </w:rPr>
      </w:pPr>
    </w:p>
    <w:p w:rsidR="000E34AA" w:rsidRPr="000E34AA" w:rsidRDefault="000E34AA" w:rsidP="000E34AA">
      <w:pPr>
        <w:jc w:val="both"/>
        <w:rPr>
          <w:rFonts w:ascii="Book Antiqua" w:hAnsi="Book Antiqua" w:cs="Arial"/>
          <w:b/>
          <w:u w:val="single"/>
        </w:rPr>
      </w:pPr>
      <w:r w:rsidRPr="000E34AA">
        <w:rPr>
          <w:rFonts w:ascii="Book Antiqua" w:hAnsi="Book Antiqua" w:cs="Arial"/>
          <w:b/>
          <w:u w:val="single"/>
        </w:rPr>
        <w:t>TO THE RESPONDENT</w:t>
      </w:r>
    </w:p>
    <w:p w:rsidR="000E34AA" w:rsidRPr="000E34AA" w:rsidRDefault="000E34AA" w:rsidP="000E34AA">
      <w:pPr>
        <w:ind w:left="567" w:hanging="567"/>
        <w:jc w:val="both"/>
        <w:rPr>
          <w:rFonts w:ascii="Book Antiqua" w:hAnsi="Book Antiqua" w:cs="Arial"/>
        </w:rPr>
      </w:pPr>
      <w:r w:rsidRPr="000E34AA">
        <w:rPr>
          <w:rFonts w:ascii="Book Antiqua" w:hAnsi="Book Antiqua" w:cs="Arial"/>
          <w:b/>
          <w:u w:val="single"/>
        </w:rPr>
        <w:t>FEE AWARD</w:t>
      </w:r>
    </w:p>
    <w:p w:rsidR="000E34AA" w:rsidRPr="000E34AA" w:rsidRDefault="000E34AA" w:rsidP="000E34AA">
      <w:pPr>
        <w:ind w:left="567" w:hanging="567"/>
        <w:jc w:val="both"/>
        <w:rPr>
          <w:rFonts w:ascii="Book Antiqua" w:hAnsi="Book Antiqua" w:cs="Arial"/>
        </w:rPr>
      </w:pPr>
    </w:p>
    <w:p w:rsidR="000E34AA" w:rsidRDefault="000E34AA" w:rsidP="000E34AA">
      <w:pPr>
        <w:jc w:val="both"/>
        <w:rPr>
          <w:rFonts w:ascii="Book Antiqua" w:hAnsi="Book Antiqua" w:cs="Arial"/>
        </w:rPr>
      </w:pPr>
      <w:r w:rsidRPr="000E34AA">
        <w:rPr>
          <w:rFonts w:ascii="Book Antiqua" w:hAnsi="Book Antiqua" w:cs="Arial"/>
        </w:rPr>
        <w:t xml:space="preserve">As I have allowed the appeal and because a fee has been paid or is payable, I </w:t>
      </w:r>
      <w:r w:rsidR="00434D44">
        <w:rPr>
          <w:rFonts w:ascii="Book Antiqua" w:hAnsi="Book Antiqua" w:cs="Arial"/>
        </w:rPr>
        <w:t xml:space="preserve">have made </w:t>
      </w:r>
      <w:r w:rsidRPr="000E34AA">
        <w:rPr>
          <w:rFonts w:ascii="Book Antiqua" w:hAnsi="Book Antiqua" w:cs="Arial"/>
        </w:rPr>
        <w:t xml:space="preserve">a fee award of any fee which </w:t>
      </w:r>
      <w:r w:rsidR="00434D44">
        <w:rPr>
          <w:rFonts w:ascii="Book Antiqua" w:hAnsi="Book Antiqua" w:cs="Arial"/>
        </w:rPr>
        <w:t>has been paid or may be payable.</w:t>
      </w:r>
    </w:p>
    <w:p w:rsidR="000E34AA" w:rsidRDefault="000E34AA" w:rsidP="000E34AA">
      <w:pPr>
        <w:jc w:val="both"/>
        <w:rPr>
          <w:rFonts w:ascii="Book Antiqua" w:hAnsi="Book Antiqua" w:cs="Arial"/>
        </w:rPr>
      </w:pPr>
    </w:p>
    <w:p w:rsidR="000E34AA" w:rsidRDefault="000E34AA" w:rsidP="000E34AA">
      <w:pPr>
        <w:jc w:val="both"/>
        <w:rPr>
          <w:rFonts w:ascii="Book Antiqua" w:hAnsi="Book Antiqua" w:cs="Arial"/>
        </w:rPr>
      </w:pPr>
    </w:p>
    <w:p w:rsidR="000E34AA" w:rsidRPr="00F5664C" w:rsidRDefault="000E34AA" w:rsidP="000E34AA">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E310FA">
        <w:rPr>
          <w:rFonts w:ascii="Book Antiqua" w:hAnsi="Book Antiqua" w:cs="Arial"/>
        </w:rPr>
        <w:t>d</w:t>
      </w:r>
    </w:p>
    <w:p w:rsidR="000E34AA" w:rsidRPr="00F5664C" w:rsidRDefault="000E34AA" w:rsidP="000E34AA">
      <w:pPr>
        <w:tabs>
          <w:tab w:val="left" w:pos="2520"/>
        </w:tabs>
        <w:jc w:val="both"/>
        <w:rPr>
          <w:rFonts w:ascii="Book Antiqua" w:hAnsi="Book Antiqua" w:cs="Arial"/>
        </w:rPr>
      </w:pPr>
    </w:p>
    <w:p w:rsidR="005B7789" w:rsidRPr="00F5664C" w:rsidRDefault="000E34AA" w:rsidP="00F203DD">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r>
        <w:rPr>
          <w:rFonts w:ascii="Book Antiqua" w:hAnsi="Book Antiqua" w:cs="Arial"/>
        </w:rPr>
        <w:t>Juss</w:t>
      </w:r>
      <w:r w:rsidR="00F35B9C">
        <w:rPr>
          <w:rFonts w:ascii="Book Antiqua" w:hAnsi="Book Antiqua" w:cs="Arial"/>
        </w:rPr>
        <w:tab/>
      </w:r>
      <w:r w:rsidR="00F35B9C">
        <w:rPr>
          <w:rFonts w:ascii="Book Antiqua" w:hAnsi="Book Antiqua" w:cs="Arial"/>
        </w:rPr>
        <w:tab/>
      </w:r>
      <w:r w:rsidR="00F35B9C">
        <w:rPr>
          <w:rFonts w:ascii="Book Antiqua" w:hAnsi="Book Antiqua" w:cs="Arial"/>
        </w:rPr>
        <w:tab/>
      </w:r>
      <w:r w:rsidR="00F35B9C">
        <w:rPr>
          <w:rFonts w:ascii="Book Antiqua" w:hAnsi="Book Antiqua" w:cs="Arial"/>
        </w:rPr>
        <w:tab/>
        <w:t>18</w:t>
      </w:r>
      <w:r w:rsidR="00F35B9C" w:rsidRPr="00F35B9C">
        <w:rPr>
          <w:rFonts w:ascii="Book Antiqua" w:hAnsi="Book Antiqua" w:cs="Arial"/>
          <w:vertAlign w:val="superscript"/>
        </w:rPr>
        <w:t>th</w:t>
      </w:r>
      <w:r w:rsidR="00F35B9C">
        <w:rPr>
          <w:rFonts w:ascii="Book Antiqua" w:hAnsi="Book Antiqua" w:cs="Arial"/>
        </w:rPr>
        <w:t xml:space="preserve"> May 2018</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CF5" w:rsidRDefault="002B3CF5">
      <w:r>
        <w:separator/>
      </w:r>
    </w:p>
  </w:endnote>
  <w:endnote w:type="continuationSeparator" w:id="0">
    <w:p w:rsidR="002B3CF5" w:rsidRDefault="002B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A1D" w:rsidRPr="00F5664C" w:rsidRDefault="00936A1D"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368A7">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A1D" w:rsidRPr="00F5664C" w:rsidRDefault="00936A1D"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CF5" w:rsidRDefault="002B3CF5">
      <w:r>
        <w:separator/>
      </w:r>
    </w:p>
  </w:footnote>
  <w:footnote w:type="continuationSeparator" w:id="0">
    <w:p w:rsidR="002B3CF5" w:rsidRDefault="002B3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A1D" w:rsidRPr="00F5664C" w:rsidRDefault="00936A1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HU/06554/2016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A1D" w:rsidRPr="00F5664C" w:rsidRDefault="00936A1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1F"/>
    <w:rsid w:val="00000621"/>
    <w:rsid w:val="000036C2"/>
    <w:rsid w:val="000140D8"/>
    <w:rsid w:val="00033D3D"/>
    <w:rsid w:val="000369F5"/>
    <w:rsid w:val="00071A7E"/>
    <w:rsid w:val="000728E4"/>
    <w:rsid w:val="000746C0"/>
    <w:rsid w:val="00074D1D"/>
    <w:rsid w:val="00092580"/>
    <w:rsid w:val="000C3F77"/>
    <w:rsid w:val="000D4112"/>
    <w:rsid w:val="000D5D94"/>
    <w:rsid w:val="000E34AA"/>
    <w:rsid w:val="001165A7"/>
    <w:rsid w:val="00151BB7"/>
    <w:rsid w:val="00162E34"/>
    <w:rsid w:val="00167D3A"/>
    <w:rsid w:val="001A1E2C"/>
    <w:rsid w:val="001E6CAB"/>
    <w:rsid w:val="001F2716"/>
    <w:rsid w:val="0020133A"/>
    <w:rsid w:val="00207617"/>
    <w:rsid w:val="002368A7"/>
    <w:rsid w:val="00250AF7"/>
    <w:rsid w:val="00270EBE"/>
    <w:rsid w:val="00282B45"/>
    <w:rsid w:val="00283659"/>
    <w:rsid w:val="002B3CF5"/>
    <w:rsid w:val="002C4E73"/>
    <w:rsid w:val="002D68BF"/>
    <w:rsid w:val="002E10BD"/>
    <w:rsid w:val="00317E7D"/>
    <w:rsid w:val="00336CBF"/>
    <w:rsid w:val="00341014"/>
    <w:rsid w:val="003546C8"/>
    <w:rsid w:val="003A7CF2"/>
    <w:rsid w:val="003C3633"/>
    <w:rsid w:val="003C5CE5"/>
    <w:rsid w:val="003E267B"/>
    <w:rsid w:val="003E3D50"/>
    <w:rsid w:val="003E7CD1"/>
    <w:rsid w:val="00402B9E"/>
    <w:rsid w:val="00423932"/>
    <w:rsid w:val="004249CB"/>
    <w:rsid w:val="004276AD"/>
    <w:rsid w:val="00434D44"/>
    <w:rsid w:val="0044127D"/>
    <w:rsid w:val="004448DB"/>
    <w:rsid w:val="00446C9A"/>
    <w:rsid w:val="004536A6"/>
    <w:rsid w:val="004729E6"/>
    <w:rsid w:val="00477193"/>
    <w:rsid w:val="00481EE1"/>
    <w:rsid w:val="004937DC"/>
    <w:rsid w:val="004A1848"/>
    <w:rsid w:val="004F2E90"/>
    <w:rsid w:val="004F50BF"/>
    <w:rsid w:val="00507FEC"/>
    <w:rsid w:val="00510F0E"/>
    <w:rsid w:val="005479E1"/>
    <w:rsid w:val="005570FD"/>
    <w:rsid w:val="005575EA"/>
    <w:rsid w:val="0057790C"/>
    <w:rsid w:val="00592D9B"/>
    <w:rsid w:val="00593795"/>
    <w:rsid w:val="005968F3"/>
    <w:rsid w:val="005A75FF"/>
    <w:rsid w:val="005B4408"/>
    <w:rsid w:val="005B7789"/>
    <w:rsid w:val="005C7D33"/>
    <w:rsid w:val="005F3614"/>
    <w:rsid w:val="00600570"/>
    <w:rsid w:val="006219C2"/>
    <w:rsid w:val="00641A1C"/>
    <w:rsid w:val="0065791C"/>
    <w:rsid w:val="00670D4A"/>
    <w:rsid w:val="00690B8A"/>
    <w:rsid w:val="006A31E2"/>
    <w:rsid w:val="006D1DFA"/>
    <w:rsid w:val="006D506B"/>
    <w:rsid w:val="006E2FC5"/>
    <w:rsid w:val="006E3C90"/>
    <w:rsid w:val="00704B61"/>
    <w:rsid w:val="00742A8D"/>
    <w:rsid w:val="007552A9"/>
    <w:rsid w:val="00761858"/>
    <w:rsid w:val="00767D59"/>
    <w:rsid w:val="00776E97"/>
    <w:rsid w:val="00780FD7"/>
    <w:rsid w:val="007912AD"/>
    <w:rsid w:val="007A1F28"/>
    <w:rsid w:val="007B0824"/>
    <w:rsid w:val="008058C0"/>
    <w:rsid w:val="008303B8"/>
    <w:rsid w:val="00833DCE"/>
    <w:rsid w:val="00842418"/>
    <w:rsid w:val="0086122C"/>
    <w:rsid w:val="00871D34"/>
    <w:rsid w:val="00884C25"/>
    <w:rsid w:val="008B270C"/>
    <w:rsid w:val="008B5168"/>
    <w:rsid w:val="008C3D3D"/>
    <w:rsid w:val="008D4131"/>
    <w:rsid w:val="008F1932"/>
    <w:rsid w:val="008F294D"/>
    <w:rsid w:val="008F5E87"/>
    <w:rsid w:val="00903DBE"/>
    <w:rsid w:val="00920C76"/>
    <w:rsid w:val="00921062"/>
    <w:rsid w:val="0093083E"/>
    <w:rsid w:val="00936A1D"/>
    <w:rsid w:val="00966ECF"/>
    <w:rsid w:val="009727A3"/>
    <w:rsid w:val="00987774"/>
    <w:rsid w:val="009A11E8"/>
    <w:rsid w:val="009E4E62"/>
    <w:rsid w:val="009F5220"/>
    <w:rsid w:val="009F7C4D"/>
    <w:rsid w:val="00A00716"/>
    <w:rsid w:val="00A15234"/>
    <w:rsid w:val="00A201AB"/>
    <w:rsid w:val="00A31C8B"/>
    <w:rsid w:val="00A44E24"/>
    <w:rsid w:val="00A6042F"/>
    <w:rsid w:val="00A7266A"/>
    <w:rsid w:val="00A845DC"/>
    <w:rsid w:val="00A97355"/>
    <w:rsid w:val="00A97AEE"/>
    <w:rsid w:val="00AA71BF"/>
    <w:rsid w:val="00AC5CF6"/>
    <w:rsid w:val="00B0567F"/>
    <w:rsid w:val="00B144FA"/>
    <w:rsid w:val="00B16F58"/>
    <w:rsid w:val="00B2116E"/>
    <w:rsid w:val="00B30648"/>
    <w:rsid w:val="00B3524D"/>
    <w:rsid w:val="00B40F69"/>
    <w:rsid w:val="00B46616"/>
    <w:rsid w:val="00B610E3"/>
    <w:rsid w:val="00B61205"/>
    <w:rsid w:val="00B617C4"/>
    <w:rsid w:val="00B626FA"/>
    <w:rsid w:val="00B7040A"/>
    <w:rsid w:val="00B83451"/>
    <w:rsid w:val="00B96FA0"/>
    <w:rsid w:val="00BD4196"/>
    <w:rsid w:val="00BE5A1F"/>
    <w:rsid w:val="00BF20D7"/>
    <w:rsid w:val="00BF22CA"/>
    <w:rsid w:val="00C01616"/>
    <w:rsid w:val="00C26032"/>
    <w:rsid w:val="00C265B0"/>
    <w:rsid w:val="00C321B5"/>
    <w:rsid w:val="00C345E1"/>
    <w:rsid w:val="00C40EBB"/>
    <w:rsid w:val="00C977BA"/>
    <w:rsid w:val="00CA763C"/>
    <w:rsid w:val="00CB6E35"/>
    <w:rsid w:val="00CE1A46"/>
    <w:rsid w:val="00CF253F"/>
    <w:rsid w:val="00CF56B4"/>
    <w:rsid w:val="00D20F09"/>
    <w:rsid w:val="00D22636"/>
    <w:rsid w:val="00D33B16"/>
    <w:rsid w:val="00D40FD9"/>
    <w:rsid w:val="00D467D9"/>
    <w:rsid w:val="00D53769"/>
    <w:rsid w:val="00D85C13"/>
    <w:rsid w:val="00D91BE3"/>
    <w:rsid w:val="00D94AFC"/>
    <w:rsid w:val="00DB0E21"/>
    <w:rsid w:val="00DB70AE"/>
    <w:rsid w:val="00DB7231"/>
    <w:rsid w:val="00DD4ABC"/>
    <w:rsid w:val="00DD5071"/>
    <w:rsid w:val="00DD5C39"/>
    <w:rsid w:val="00DE26AF"/>
    <w:rsid w:val="00DE7DB7"/>
    <w:rsid w:val="00E00A0A"/>
    <w:rsid w:val="00E07F57"/>
    <w:rsid w:val="00E20872"/>
    <w:rsid w:val="00E310FA"/>
    <w:rsid w:val="00E50BCE"/>
    <w:rsid w:val="00E53582"/>
    <w:rsid w:val="00E61292"/>
    <w:rsid w:val="00E76309"/>
    <w:rsid w:val="00E77C4D"/>
    <w:rsid w:val="00E81D01"/>
    <w:rsid w:val="00E86986"/>
    <w:rsid w:val="00ED2D16"/>
    <w:rsid w:val="00EE45D8"/>
    <w:rsid w:val="00F004CD"/>
    <w:rsid w:val="00F10357"/>
    <w:rsid w:val="00F10D45"/>
    <w:rsid w:val="00F203DD"/>
    <w:rsid w:val="00F22EDA"/>
    <w:rsid w:val="00F3224D"/>
    <w:rsid w:val="00F33E0E"/>
    <w:rsid w:val="00F35B9C"/>
    <w:rsid w:val="00F36B20"/>
    <w:rsid w:val="00F42469"/>
    <w:rsid w:val="00F5664C"/>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4750F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1820</Words>
  <Characters>8699</Characters>
  <Application>Microsoft Office Word</Application>
  <DocSecurity>0</DocSecurity>
  <Lines>72</Lines>
  <Paragraphs>20</Paragraphs>
  <ScaleCrop>false</ScaleCrop>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2018-06-14T13:31:00Z</dcterms:created>
  <dcterms:modified xsi:type="dcterms:W3CDTF">2018-06-14T13:31:00Z</dcterms:modified>
</cp:coreProperties>
</file>