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57CA" w:rsidRPr="00117AF7" w:rsidRDefault="00A53185" w:rsidP="00117AF7">
      <w:pPr>
        <w:jc w:val="center"/>
        <w:rPr>
          <w:rFonts w:ascii="Book Antiqua" w:hAnsi="Book Antiqua" w:cs="Arial"/>
          <w:caps/>
          <w:color w:val="000000"/>
          <w:sz w:val="16"/>
          <w:szCs w:val="16"/>
        </w:rPr>
      </w:pPr>
      <w:r w:rsidRPr="00117AF7">
        <w:rPr>
          <w:noProof/>
          <w:sz w:val="16"/>
          <w:szCs w:val="16"/>
        </w:rPr>
        <w:drawing>
          <wp:inline distT="0" distB="0" distL="0" distR="0" wp14:anchorId="092DEA82" wp14:editId="43B2AF34">
            <wp:extent cx="102870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904875"/>
                    </a:xfrm>
                    <a:prstGeom prst="rect">
                      <a:avLst/>
                    </a:prstGeom>
                    <a:noFill/>
                    <a:ln>
                      <a:noFill/>
                    </a:ln>
                  </pic:spPr>
                </pic:pic>
              </a:graphicData>
            </a:graphic>
          </wp:inline>
        </w:drawing>
      </w:r>
    </w:p>
    <w:p w:rsidR="003257CA" w:rsidRPr="00117AF7" w:rsidRDefault="003257CA" w:rsidP="00117AF7">
      <w:pPr>
        <w:rPr>
          <w:rFonts w:ascii="Book Antiqua" w:hAnsi="Book Antiqua" w:cs="Arial"/>
          <w:color w:val="000000"/>
          <w:sz w:val="16"/>
          <w:szCs w:val="16"/>
        </w:rPr>
      </w:pPr>
    </w:p>
    <w:p w:rsidR="003257CA" w:rsidRPr="002630D9" w:rsidRDefault="003257CA" w:rsidP="00117AF7">
      <w:pPr>
        <w:tabs>
          <w:tab w:val="right" w:pos="9720"/>
        </w:tabs>
        <w:rPr>
          <w:rFonts w:cs="Arial"/>
          <w:b/>
          <w:color w:val="000000"/>
        </w:rPr>
      </w:pPr>
      <w:smartTag w:uri="urn:schemas-microsoft-com:office:smarttags" w:element="PersonName">
        <w:r w:rsidRPr="002630D9">
          <w:rPr>
            <w:rFonts w:cs="Arial"/>
            <w:b/>
            <w:color w:val="000000"/>
          </w:rPr>
          <w:t>Upper Tribunal</w:t>
        </w:r>
      </w:smartTag>
      <w:r w:rsidRPr="002630D9">
        <w:rPr>
          <w:rFonts w:cs="Arial"/>
          <w:b/>
          <w:color w:val="000000"/>
        </w:rPr>
        <w:t xml:space="preserve"> </w:t>
      </w:r>
    </w:p>
    <w:p w:rsidR="003257CA" w:rsidRDefault="003257CA" w:rsidP="00117AF7">
      <w:pPr>
        <w:tabs>
          <w:tab w:val="right" w:pos="9720"/>
        </w:tabs>
        <w:rPr>
          <w:rFonts w:cs="Arial"/>
          <w:b/>
          <w:color w:val="000000"/>
        </w:rPr>
      </w:pPr>
      <w:r w:rsidRPr="002630D9">
        <w:rPr>
          <w:rFonts w:cs="Arial"/>
          <w:b/>
          <w:color w:val="000000"/>
        </w:rPr>
        <w:t>(Immigration and Asylum Chamber)</w:t>
      </w:r>
      <w:r w:rsidRPr="002630D9">
        <w:rPr>
          <w:rFonts w:cs="Arial"/>
          <w:b/>
          <w:color w:val="000000"/>
        </w:rPr>
        <w:tab/>
      </w:r>
      <w:r>
        <w:rPr>
          <w:rFonts w:cs="Arial"/>
          <w:b/>
          <w:color w:val="000000"/>
        </w:rPr>
        <w:t xml:space="preserve">Appeal Number: </w:t>
      </w:r>
      <w:bookmarkStart w:id="0" w:name="_GoBack"/>
      <w:r w:rsidR="00FA2D5F">
        <w:rPr>
          <w:rFonts w:cs="Arial"/>
          <w:b/>
          <w:color w:val="000000"/>
        </w:rPr>
        <w:t>HU/</w:t>
      </w:r>
      <w:r w:rsidR="000E101D">
        <w:rPr>
          <w:rFonts w:cs="Arial"/>
          <w:b/>
          <w:color w:val="000000"/>
        </w:rPr>
        <w:t>06725</w:t>
      </w:r>
      <w:r w:rsidR="00FA2D5F">
        <w:rPr>
          <w:rFonts w:cs="Arial"/>
          <w:b/>
          <w:color w:val="000000"/>
        </w:rPr>
        <w:t>/201</w:t>
      </w:r>
      <w:r w:rsidR="000E101D">
        <w:rPr>
          <w:rFonts w:cs="Arial"/>
          <w:b/>
          <w:color w:val="000000"/>
        </w:rPr>
        <w:t>7</w:t>
      </w:r>
      <w:bookmarkEnd w:id="0"/>
    </w:p>
    <w:p w:rsidR="00CB6CFF" w:rsidRDefault="00CB6CFF" w:rsidP="00117AF7">
      <w:pPr>
        <w:tabs>
          <w:tab w:val="right" w:pos="9720"/>
        </w:tabs>
        <w:jc w:val="center"/>
        <w:rPr>
          <w:rFonts w:cs="Arial"/>
          <w:b/>
          <w:color w:val="000000"/>
        </w:rPr>
      </w:pPr>
    </w:p>
    <w:p w:rsidR="003257CA" w:rsidRPr="00FB66A9" w:rsidRDefault="003257CA" w:rsidP="00117AF7">
      <w:pPr>
        <w:tabs>
          <w:tab w:val="right" w:pos="9720"/>
        </w:tabs>
        <w:jc w:val="center"/>
        <w:rPr>
          <w:rFonts w:cs="Arial"/>
          <w:b/>
          <w:i/>
          <w:color w:val="000000"/>
        </w:rPr>
      </w:pPr>
    </w:p>
    <w:p w:rsidR="003257CA" w:rsidRPr="00217865" w:rsidRDefault="003257CA" w:rsidP="00117AF7">
      <w:pPr>
        <w:jc w:val="center"/>
        <w:rPr>
          <w:rFonts w:cs="Arial"/>
          <w:b/>
          <w:color w:val="000000"/>
          <w:u w:val="single"/>
        </w:rPr>
      </w:pPr>
      <w:r w:rsidRPr="00217865">
        <w:rPr>
          <w:rFonts w:cs="Arial"/>
          <w:b/>
          <w:color w:val="000000"/>
          <w:u w:val="single"/>
        </w:rPr>
        <w:t>THE IMMIGRATION ACTS</w:t>
      </w:r>
    </w:p>
    <w:p w:rsidR="003257CA" w:rsidRDefault="003257CA" w:rsidP="00117AF7">
      <w:pPr>
        <w:jc w:val="center"/>
        <w:rPr>
          <w:rFonts w:cs="Arial"/>
          <w:u w:val="single"/>
        </w:rPr>
      </w:pPr>
    </w:p>
    <w:p w:rsidR="00117AF7" w:rsidRPr="00217865" w:rsidRDefault="00117AF7" w:rsidP="00117AF7">
      <w:pPr>
        <w:jc w:val="center"/>
        <w:rPr>
          <w:rFonts w:cs="Arial"/>
          <w:u w:val="single"/>
        </w:rPr>
      </w:pPr>
    </w:p>
    <w:tbl>
      <w:tblPr>
        <w:tblW w:w="5000" w:type="pct"/>
        <w:tblLook w:val="01E0" w:firstRow="1" w:lastRow="1" w:firstColumn="1" w:lastColumn="1" w:noHBand="0" w:noVBand="0"/>
      </w:tblPr>
      <w:tblGrid>
        <w:gridCol w:w="4819"/>
        <w:gridCol w:w="4819"/>
      </w:tblGrid>
      <w:tr w:rsidR="003257CA" w:rsidRPr="002630D9" w:rsidTr="00117AF7">
        <w:tc>
          <w:tcPr>
            <w:tcW w:w="2500" w:type="pct"/>
          </w:tcPr>
          <w:p w:rsidR="003257CA" w:rsidRPr="002630D9" w:rsidRDefault="003257CA" w:rsidP="00117AF7">
            <w:pPr>
              <w:jc w:val="both"/>
              <w:rPr>
                <w:rFonts w:cs="Arial"/>
                <w:b/>
              </w:rPr>
            </w:pPr>
            <w:r w:rsidRPr="002630D9">
              <w:rPr>
                <w:rFonts w:cs="Arial"/>
                <w:b/>
              </w:rPr>
              <w:t xml:space="preserve">Heard at </w:t>
            </w:r>
            <w:r>
              <w:rPr>
                <w:rFonts w:cs="Arial"/>
                <w:b/>
              </w:rPr>
              <w:t>Field House</w:t>
            </w:r>
          </w:p>
        </w:tc>
        <w:tc>
          <w:tcPr>
            <w:tcW w:w="2500" w:type="pct"/>
          </w:tcPr>
          <w:p w:rsidR="003257CA" w:rsidRPr="002630D9" w:rsidRDefault="003257CA" w:rsidP="00117AF7">
            <w:pPr>
              <w:jc w:val="right"/>
              <w:rPr>
                <w:rFonts w:cs="Arial"/>
                <w:b/>
                <w:color w:val="000000"/>
              </w:rPr>
            </w:pPr>
            <w:r w:rsidRPr="002630D9">
              <w:rPr>
                <w:rFonts w:cs="Arial"/>
                <w:b/>
                <w:color w:val="000000"/>
              </w:rPr>
              <w:t>Decision &amp; Reasons Promulgated</w:t>
            </w:r>
          </w:p>
        </w:tc>
      </w:tr>
      <w:tr w:rsidR="003257CA" w:rsidRPr="002630D9" w:rsidTr="00117AF7">
        <w:tc>
          <w:tcPr>
            <w:tcW w:w="2500" w:type="pct"/>
          </w:tcPr>
          <w:p w:rsidR="003257CA" w:rsidRPr="002630D9" w:rsidRDefault="003257CA" w:rsidP="00117AF7">
            <w:pPr>
              <w:jc w:val="both"/>
              <w:rPr>
                <w:rFonts w:cs="Arial"/>
                <w:b/>
              </w:rPr>
            </w:pPr>
            <w:r w:rsidRPr="002630D9">
              <w:rPr>
                <w:rFonts w:cs="Arial"/>
                <w:b/>
              </w:rPr>
              <w:t xml:space="preserve">On </w:t>
            </w:r>
            <w:r w:rsidR="00FA2D5F">
              <w:rPr>
                <w:rFonts w:cs="Arial"/>
                <w:b/>
              </w:rPr>
              <w:t>3 September</w:t>
            </w:r>
            <w:r>
              <w:rPr>
                <w:rFonts w:cs="Arial"/>
                <w:b/>
              </w:rPr>
              <w:t xml:space="preserve"> 2018</w:t>
            </w:r>
          </w:p>
        </w:tc>
        <w:tc>
          <w:tcPr>
            <w:tcW w:w="2500" w:type="pct"/>
          </w:tcPr>
          <w:p w:rsidR="003257CA" w:rsidRPr="002630D9" w:rsidRDefault="003C01BE" w:rsidP="00117AF7">
            <w:pPr>
              <w:jc w:val="right"/>
              <w:rPr>
                <w:rFonts w:cs="Arial"/>
                <w:b/>
              </w:rPr>
            </w:pPr>
            <w:r>
              <w:rPr>
                <w:rFonts w:cs="Arial"/>
                <w:b/>
              </w:rPr>
              <w:t>On 11 September 2018</w:t>
            </w:r>
          </w:p>
        </w:tc>
      </w:tr>
      <w:tr w:rsidR="003257CA" w:rsidRPr="002630D9" w:rsidTr="00117AF7">
        <w:tc>
          <w:tcPr>
            <w:tcW w:w="2500" w:type="pct"/>
          </w:tcPr>
          <w:p w:rsidR="003257CA" w:rsidRPr="002630D9" w:rsidRDefault="003257CA" w:rsidP="00117AF7">
            <w:pPr>
              <w:jc w:val="both"/>
              <w:rPr>
                <w:rFonts w:cs="Arial"/>
                <w:b/>
              </w:rPr>
            </w:pPr>
          </w:p>
        </w:tc>
        <w:tc>
          <w:tcPr>
            <w:tcW w:w="2500" w:type="pct"/>
          </w:tcPr>
          <w:p w:rsidR="003257CA" w:rsidRPr="002630D9" w:rsidRDefault="003257CA" w:rsidP="00117AF7">
            <w:pPr>
              <w:jc w:val="right"/>
              <w:rPr>
                <w:rFonts w:cs="Arial"/>
                <w:b/>
              </w:rPr>
            </w:pPr>
          </w:p>
        </w:tc>
      </w:tr>
    </w:tbl>
    <w:p w:rsidR="00117AF7" w:rsidRDefault="00117AF7" w:rsidP="00117AF7">
      <w:pPr>
        <w:jc w:val="center"/>
        <w:rPr>
          <w:rFonts w:cs="Arial"/>
          <w:b/>
        </w:rPr>
      </w:pPr>
    </w:p>
    <w:p w:rsidR="003257CA" w:rsidRDefault="003257CA" w:rsidP="00117AF7">
      <w:pPr>
        <w:jc w:val="center"/>
        <w:rPr>
          <w:rFonts w:cs="Arial"/>
          <w:b/>
        </w:rPr>
      </w:pPr>
      <w:r w:rsidRPr="002630D9">
        <w:rPr>
          <w:rFonts w:cs="Arial"/>
          <w:b/>
        </w:rPr>
        <w:t>Before</w:t>
      </w:r>
    </w:p>
    <w:p w:rsidR="00117AF7" w:rsidRPr="002630D9" w:rsidRDefault="00117AF7" w:rsidP="00117AF7">
      <w:pPr>
        <w:jc w:val="center"/>
        <w:rPr>
          <w:rFonts w:cs="Arial"/>
          <w:b/>
        </w:rPr>
      </w:pPr>
    </w:p>
    <w:p w:rsidR="003257CA" w:rsidRPr="002630D9" w:rsidRDefault="003257CA" w:rsidP="00117AF7">
      <w:pPr>
        <w:jc w:val="center"/>
        <w:rPr>
          <w:rFonts w:cs="Arial"/>
          <w:b/>
          <w:color w:val="000000"/>
        </w:rPr>
      </w:pPr>
      <w:r w:rsidRPr="002630D9">
        <w:rPr>
          <w:rFonts w:cs="Arial"/>
          <w:b/>
          <w:color w:val="000000"/>
        </w:rPr>
        <w:t>UPPER TRIBUNAL JUDGE FINCH</w:t>
      </w:r>
    </w:p>
    <w:p w:rsidR="00117AF7" w:rsidRDefault="00117AF7" w:rsidP="00117AF7">
      <w:pPr>
        <w:jc w:val="center"/>
        <w:rPr>
          <w:rFonts w:cs="Arial"/>
          <w:b/>
        </w:rPr>
      </w:pPr>
    </w:p>
    <w:p w:rsidR="00117AF7" w:rsidRDefault="00117AF7" w:rsidP="00117AF7">
      <w:pPr>
        <w:jc w:val="center"/>
        <w:rPr>
          <w:rFonts w:cs="Arial"/>
          <w:b/>
        </w:rPr>
      </w:pPr>
    </w:p>
    <w:p w:rsidR="003257CA" w:rsidRDefault="003257CA" w:rsidP="00117AF7">
      <w:pPr>
        <w:jc w:val="center"/>
        <w:rPr>
          <w:rFonts w:cs="Arial"/>
          <w:b/>
        </w:rPr>
      </w:pPr>
      <w:r w:rsidRPr="002630D9">
        <w:rPr>
          <w:rFonts w:cs="Arial"/>
          <w:b/>
        </w:rPr>
        <w:t>Between</w:t>
      </w:r>
    </w:p>
    <w:p w:rsidR="00EC7B40" w:rsidRDefault="00EC7B40" w:rsidP="00117AF7">
      <w:pPr>
        <w:jc w:val="center"/>
        <w:rPr>
          <w:rFonts w:cs="Arial"/>
          <w:b/>
        </w:rPr>
      </w:pPr>
    </w:p>
    <w:p w:rsidR="00EC7B40" w:rsidRDefault="000E101D" w:rsidP="00117AF7">
      <w:pPr>
        <w:jc w:val="center"/>
        <w:rPr>
          <w:rFonts w:cs="Arial"/>
          <w:b/>
        </w:rPr>
      </w:pPr>
      <w:r>
        <w:rPr>
          <w:rFonts w:cs="Arial"/>
          <w:b/>
        </w:rPr>
        <w:t>GEMUNU AUGUSTUS ALLES</w:t>
      </w:r>
    </w:p>
    <w:p w:rsidR="00EC7B40" w:rsidRPr="00EC7B40" w:rsidRDefault="00EC7B40" w:rsidP="00117AF7">
      <w:pPr>
        <w:jc w:val="right"/>
        <w:rPr>
          <w:rFonts w:cs="Arial"/>
          <w:b/>
          <w:u w:val="single"/>
        </w:rPr>
      </w:pPr>
      <w:r w:rsidRPr="00EC7B40">
        <w:rPr>
          <w:rFonts w:cs="Arial"/>
          <w:b/>
          <w:u w:val="single"/>
        </w:rPr>
        <w:t>Appellant</w:t>
      </w:r>
    </w:p>
    <w:p w:rsidR="00EC7B40" w:rsidRDefault="00EC7B40" w:rsidP="00117AF7">
      <w:pPr>
        <w:jc w:val="center"/>
        <w:rPr>
          <w:rFonts w:cs="Arial"/>
          <w:b/>
        </w:rPr>
      </w:pPr>
      <w:r>
        <w:rPr>
          <w:rFonts w:cs="Arial"/>
          <w:b/>
        </w:rPr>
        <w:t>-and-</w:t>
      </w:r>
    </w:p>
    <w:p w:rsidR="001207DF" w:rsidRDefault="001207DF" w:rsidP="00117AF7">
      <w:pPr>
        <w:jc w:val="center"/>
        <w:rPr>
          <w:rFonts w:cs="Arial"/>
          <w:b/>
        </w:rPr>
      </w:pPr>
    </w:p>
    <w:p w:rsidR="001207DF" w:rsidRDefault="001207DF" w:rsidP="00117AF7">
      <w:pPr>
        <w:jc w:val="center"/>
        <w:rPr>
          <w:rFonts w:cs="Arial"/>
          <w:b/>
        </w:rPr>
      </w:pPr>
      <w:r>
        <w:rPr>
          <w:rFonts w:cs="Arial"/>
          <w:b/>
        </w:rPr>
        <w:t>THE SECRETARY OF STATE FOR THE HOME DEPARTMENT</w:t>
      </w:r>
    </w:p>
    <w:p w:rsidR="001207DF" w:rsidRPr="00EC7B40" w:rsidRDefault="00EC7B40" w:rsidP="00117AF7">
      <w:pPr>
        <w:jc w:val="right"/>
        <w:rPr>
          <w:rFonts w:cs="Arial"/>
          <w:b/>
          <w:u w:val="single"/>
        </w:rPr>
      </w:pPr>
      <w:r w:rsidRPr="00EC7B40">
        <w:rPr>
          <w:rFonts w:cs="Arial"/>
          <w:b/>
          <w:u w:val="single"/>
        </w:rPr>
        <w:t>Respondent</w:t>
      </w:r>
    </w:p>
    <w:p w:rsidR="00117AF7" w:rsidRDefault="00117AF7" w:rsidP="00117AF7">
      <w:pPr>
        <w:tabs>
          <w:tab w:val="left" w:pos="2520"/>
        </w:tabs>
        <w:rPr>
          <w:rFonts w:cs="Arial"/>
          <w:b/>
          <w:u w:val="single"/>
        </w:rPr>
      </w:pPr>
    </w:p>
    <w:p w:rsidR="00117AF7" w:rsidRDefault="00117AF7" w:rsidP="00117AF7">
      <w:pPr>
        <w:tabs>
          <w:tab w:val="left" w:pos="2520"/>
        </w:tabs>
        <w:rPr>
          <w:rFonts w:cs="Arial"/>
          <w:b/>
          <w:u w:val="single"/>
        </w:rPr>
      </w:pPr>
    </w:p>
    <w:p w:rsidR="00827B41" w:rsidRPr="00827B41" w:rsidRDefault="00827B41" w:rsidP="00117AF7">
      <w:pPr>
        <w:tabs>
          <w:tab w:val="left" w:pos="2520"/>
        </w:tabs>
        <w:rPr>
          <w:rFonts w:cs="Arial"/>
          <w:b/>
          <w:u w:val="single"/>
        </w:rPr>
      </w:pPr>
      <w:r w:rsidRPr="00827B41">
        <w:rPr>
          <w:rFonts w:cs="Arial"/>
          <w:b/>
          <w:u w:val="single"/>
        </w:rPr>
        <w:t xml:space="preserve">Representation </w:t>
      </w:r>
    </w:p>
    <w:p w:rsidR="001C5143" w:rsidRPr="002630D9" w:rsidRDefault="003257CA" w:rsidP="00117AF7">
      <w:pPr>
        <w:tabs>
          <w:tab w:val="left" w:pos="2520"/>
        </w:tabs>
        <w:rPr>
          <w:rFonts w:cs="Arial"/>
        </w:rPr>
      </w:pPr>
      <w:r w:rsidRPr="002630D9">
        <w:rPr>
          <w:rFonts w:cs="Arial"/>
        </w:rPr>
        <w:t>For the Appellant:</w:t>
      </w:r>
      <w:r w:rsidRPr="002630D9">
        <w:rPr>
          <w:rFonts w:cs="Arial"/>
        </w:rPr>
        <w:tab/>
      </w:r>
      <w:r>
        <w:rPr>
          <w:rFonts w:cs="Arial"/>
        </w:rPr>
        <w:tab/>
      </w:r>
      <w:r>
        <w:rPr>
          <w:rFonts w:cs="Arial"/>
        </w:rPr>
        <w:tab/>
      </w:r>
      <w:r w:rsidR="00B272A0">
        <w:rPr>
          <w:rFonts w:cs="Arial"/>
        </w:rPr>
        <w:t>Mr. A. I. Corban, solicitor</w:t>
      </w:r>
    </w:p>
    <w:p w:rsidR="005D603D" w:rsidRPr="002630D9" w:rsidRDefault="003257CA" w:rsidP="00117AF7">
      <w:pPr>
        <w:tabs>
          <w:tab w:val="left" w:pos="2520"/>
        </w:tabs>
        <w:rPr>
          <w:rFonts w:cs="Arial"/>
        </w:rPr>
      </w:pPr>
      <w:r w:rsidRPr="002630D9">
        <w:rPr>
          <w:rFonts w:cs="Arial"/>
        </w:rPr>
        <w:t>For the Respondent:</w:t>
      </w:r>
      <w:r w:rsidRPr="002630D9">
        <w:rPr>
          <w:rFonts w:cs="Arial"/>
        </w:rPr>
        <w:tab/>
      </w:r>
      <w:r>
        <w:rPr>
          <w:rFonts w:cs="Arial"/>
        </w:rPr>
        <w:t xml:space="preserve">             </w:t>
      </w:r>
      <w:r w:rsidR="00FA2D5F">
        <w:rPr>
          <w:rFonts w:cs="Arial"/>
        </w:rPr>
        <w:t xml:space="preserve"> </w:t>
      </w:r>
      <w:r w:rsidR="00B272A0">
        <w:rPr>
          <w:rFonts w:cs="Arial"/>
        </w:rPr>
        <w:t xml:space="preserve">Ms A. </w:t>
      </w:r>
      <w:proofErr w:type="spellStart"/>
      <w:r w:rsidR="00B272A0">
        <w:rPr>
          <w:rFonts w:cs="Arial"/>
        </w:rPr>
        <w:t>Fijiwala</w:t>
      </w:r>
      <w:proofErr w:type="spellEnd"/>
      <w:r w:rsidR="00B272A0">
        <w:rPr>
          <w:rFonts w:cs="Arial"/>
        </w:rPr>
        <w:t xml:space="preserve">, </w:t>
      </w:r>
      <w:r w:rsidR="00FA2D5F">
        <w:rPr>
          <w:rFonts w:cs="Arial"/>
        </w:rPr>
        <w:t>Home Office Presenting Officer</w:t>
      </w:r>
    </w:p>
    <w:p w:rsidR="003257CA" w:rsidRDefault="003257CA" w:rsidP="00117AF7">
      <w:pPr>
        <w:tabs>
          <w:tab w:val="left" w:pos="2520"/>
        </w:tabs>
        <w:rPr>
          <w:rFonts w:cs="Arial"/>
        </w:rPr>
      </w:pPr>
    </w:p>
    <w:p w:rsidR="00117AF7" w:rsidRPr="002630D9" w:rsidRDefault="00117AF7" w:rsidP="00117AF7">
      <w:pPr>
        <w:tabs>
          <w:tab w:val="left" w:pos="2520"/>
        </w:tabs>
        <w:rPr>
          <w:rFonts w:cs="Arial"/>
        </w:rPr>
      </w:pPr>
    </w:p>
    <w:p w:rsidR="003257CA" w:rsidRDefault="003257CA" w:rsidP="00117AF7">
      <w:pPr>
        <w:jc w:val="center"/>
        <w:rPr>
          <w:rFonts w:cs="Arial"/>
          <w:b/>
          <w:u w:val="single"/>
        </w:rPr>
      </w:pPr>
      <w:r w:rsidRPr="002630D9">
        <w:rPr>
          <w:rFonts w:cs="Arial"/>
          <w:b/>
          <w:u w:val="single"/>
        </w:rPr>
        <w:t>DECISION AND REASONS</w:t>
      </w:r>
    </w:p>
    <w:p w:rsidR="003257CA" w:rsidRPr="00303BAF" w:rsidRDefault="003257CA" w:rsidP="00117AF7">
      <w:pPr>
        <w:spacing w:line="360" w:lineRule="auto"/>
        <w:rPr>
          <w:rFonts w:cs="Arial"/>
          <w:b/>
        </w:rPr>
      </w:pPr>
    </w:p>
    <w:p w:rsidR="003257CA" w:rsidRDefault="003257CA" w:rsidP="002630D9">
      <w:pPr>
        <w:spacing w:line="360" w:lineRule="auto"/>
        <w:jc w:val="both"/>
        <w:rPr>
          <w:rFonts w:cs="Arial"/>
          <w:b/>
        </w:rPr>
      </w:pPr>
      <w:r w:rsidRPr="009D341B">
        <w:rPr>
          <w:rFonts w:cs="Arial"/>
          <w:b/>
        </w:rPr>
        <w:t xml:space="preserve">BACKGROUND TO THE APPEAL </w:t>
      </w:r>
    </w:p>
    <w:p w:rsidR="00461072" w:rsidRDefault="00461072" w:rsidP="002630D9">
      <w:pPr>
        <w:spacing w:line="360" w:lineRule="auto"/>
        <w:jc w:val="both"/>
        <w:rPr>
          <w:rFonts w:cs="Arial"/>
          <w:b/>
        </w:rPr>
      </w:pPr>
    </w:p>
    <w:p w:rsidR="003257CA" w:rsidRDefault="003257CA" w:rsidP="002630D9">
      <w:pPr>
        <w:spacing w:line="360" w:lineRule="auto"/>
        <w:ind w:left="567" w:hanging="567"/>
        <w:jc w:val="both"/>
        <w:rPr>
          <w:rFonts w:cs="Arial"/>
        </w:rPr>
      </w:pPr>
      <w:r w:rsidRPr="002630D9">
        <w:rPr>
          <w:rFonts w:cs="Arial"/>
        </w:rPr>
        <w:t>1.</w:t>
      </w:r>
      <w:r w:rsidRPr="002630D9">
        <w:rPr>
          <w:rFonts w:cs="Arial"/>
        </w:rPr>
        <w:tab/>
        <w:t xml:space="preserve">The </w:t>
      </w:r>
      <w:r w:rsidR="001C5143">
        <w:rPr>
          <w:rFonts w:cs="Arial"/>
        </w:rPr>
        <w:t>Appellan</w:t>
      </w:r>
      <w:r w:rsidR="00EC7B40">
        <w:rPr>
          <w:rFonts w:cs="Arial"/>
        </w:rPr>
        <w:t>t</w:t>
      </w:r>
      <w:r w:rsidR="001C5143">
        <w:rPr>
          <w:rFonts w:cs="Arial"/>
        </w:rPr>
        <w:t xml:space="preserve"> is a national of </w:t>
      </w:r>
      <w:r w:rsidR="000E101D">
        <w:rPr>
          <w:rFonts w:cs="Arial"/>
        </w:rPr>
        <w:t>Sri Lanka</w:t>
      </w:r>
      <w:r w:rsidR="001C5143">
        <w:rPr>
          <w:rFonts w:cs="Arial"/>
        </w:rPr>
        <w:t xml:space="preserve">. </w:t>
      </w:r>
      <w:r w:rsidR="000E101D">
        <w:rPr>
          <w:rFonts w:cs="Arial"/>
        </w:rPr>
        <w:t>H</w:t>
      </w:r>
      <w:r w:rsidR="00FA2D5F">
        <w:rPr>
          <w:rFonts w:cs="Arial"/>
        </w:rPr>
        <w:t xml:space="preserve">e entered the United Kingdom on </w:t>
      </w:r>
      <w:r w:rsidR="000E101D">
        <w:rPr>
          <w:rFonts w:cs="Arial"/>
        </w:rPr>
        <w:t>13 January 2007 as a student. He</w:t>
      </w:r>
      <w:r w:rsidR="00FA2D5F">
        <w:rPr>
          <w:rFonts w:cs="Arial"/>
        </w:rPr>
        <w:t xml:space="preserve"> applied for </w:t>
      </w:r>
      <w:r w:rsidR="000E101D">
        <w:rPr>
          <w:rFonts w:cs="Arial"/>
        </w:rPr>
        <w:t xml:space="preserve">indefinite </w:t>
      </w:r>
      <w:r w:rsidR="00FA2D5F">
        <w:rPr>
          <w:rFonts w:cs="Arial"/>
        </w:rPr>
        <w:t xml:space="preserve">leave to remain in the United Kingdom on </w:t>
      </w:r>
      <w:r w:rsidR="000E101D">
        <w:rPr>
          <w:rFonts w:cs="Arial"/>
        </w:rPr>
        <w:t>12 January 2017.</w:t>
      </w:r>
      <w:r w:rsidR="00EC7B40">
        <w:rPr>
          <w:rFonts w:cs="Arial"/>
        </w:rPr>
        <w:t xml:space="preserve"> H</w:t>
      </w:r>
      <w:r w:rsidR="000E101D">
        <w:rPr>
          <w:rFonts w:cs="Arial"/>
        </w:rPr>
        <w:t>is</w:t>
      </w:r>
      <w:r w:rsidR="00EC7B40">
        <w:rPr>
          <w:rFonts w:cs="Arial"/>
        </w:rPr>
        <w:t xml:space="preserve"> application was refused on</w:t>
      </w:r>
      <w:r w:rsidR="000E101D">
        <w:rPr>
          <w:rFonts w:cs="Arial"/>
        </w:rPr>
        <w:t xml:space="preserve"> 30 May 2017</w:t>
      </w:r>
      <w:r w:rsidR="00EC7B40">
        <w:rPr>
          <w:rFonts w:cs="Arial"/>
        </w:rPr>
        <w:t xml:space="preserve">. </w:t>
      </w:r>
      <w:r w:rsidR="000E101D">
        <w:rPr>
          <w:rFonts w:cs="Arial"/>
        </w:rPr>
        <w:t>H</w:t>
      </w:r>
      <w:r w:rsidR="00EC7B40">
        <w:rPr>
          <w:rFonts w:cs="Arial"/>
        </w:rPr>
        <w:t>e</w:t>
      </w:r>
      <w:r w:rsidR="00963ED3">
        <w:rPr>
          <w:rFonts w:cs="Arial"/>
        </w:rPr>
        <w:t xml:space="preserve"> appealed </w:t>
      </w:r>
      <w:r w:rsidR="00EC7B40">
        <w:rPr>
          <w:rFonts w:cs="Arial"/>
        </w:rPr>
        <w:t xml:space="preserve">against this decision </w:t>
      </w:r>
      <w:r w:rsidR="001207DF">
        <w:rPr>
          <w:rFonts w:cs="Arial"/>
        </w:rPr>
        <w:t xml:space="preserve">and First-tier Tribunal Judge </w:t>
      </w:r>
      <w:r w:rsidR="000E101D">
        <w:rPr>
          <w:rFonts w:cs="Arial"/>
        </w:rPr>
        <w:t>Lawrence</w:t>
      </w:r>
      <w:r w:rsidR="00EC7B40">
        <w:rPr>
          <w:rFonts w:cs="Arial"/>
        </w:rPr>
        <w:t xml:space="preserve"> dismissed h</w:t>
      </w:r>
      <w:r w:rsidR="000E101D">
        <w:rPr>
          <w:rFonts w:cs="Arial"/>
        </w:rPr>
        <w:t>is</w:t>
      </w:r>
      <w:r w:rsidR="00EC7B40">
        <w:rPr>
          <w:rFonts w:cs="Arial"/>
        </w:rPr>
        <w:t xml:space="preserve"> appeal in a decision promulgated on </w:t>
      </w:r>
      <w:r w:rsidR="000E101D">
        <w:rPr>
          <w:rFonts w:cs="Arial"/>
        </w:rPr>
        <w:t>31 May</w:t>
      </w:r>
      <w:r w:rsidR="00EC7B40">
        <w:rPr>
          <w:rFonts w:cs="Arial"/>
        </w:rPr>
        <w:t xml:space="preserve"> 2018</w:t>
      </w:r>
      <w:r w:rsidR="00F86A0A">
        <w:rPr>
          <w:rFonts w:cs="Arial"/>
        </w:rPr>
        <w:t xml:space="preserve">. </w:t>
      </w:r>
      <w:r w:rsidR="00EC7B40">
        <w:rPr>
          <w:rFonts w:cs="Arial"/>
        </w:rPr>
        <w:t xml:space="preserve">First-tier Tribunal Judge </w:t>
      </w:r>
      <w:r w:rsidR="000E101D">
        <w:rPr>
          <w:rFonts w:cs="Arial"/>
        </w:rPr>
        <w:t>Pickup</w:t>
      </w:r>
      <w:r w:rsidR="00EC7B40">
        <w:rPr>
          <w:rFonts w:cs="Arial"/>
        </w:rPr>
        <w:t xml:space="preserve"> </w:t>
      </w:r>
      <w:r w:rsidR="00F86A0A">
        <w:rPr>
          <w:rFonts w:cs="Arial"/>
        </w:rPr>
        <w:t>grant</w:t>
      </w:r>
      <w:r w:rsidR="00EC7B40">
        <w:rPr>
          <w:rFonts w:cs="Arial"/>
        </w:rPr>
        <w:t>ed</w:t>
      </w:r>
      <w:r w:rsidR="00F86A0A">
        <w:rPr>
          <w:rFonts w:cs="Arial"/>
        </w:rPr>
        <w:t xml:space="preserve"> h</w:t>
      </w:r>
      <w:r w:rsidR="000E101D">
        <w:rPr>
          <w:rFonts w:cs="Arial"/>
        </w:rPr>
        <w:t>im</w:t>
      </w:r>
      <w:r w:rsidR="00F86A0A">
        <w:rPr>
          <w:rFonts w:cs="Arial"/>
        </w:rPr>
        <w:t xml:space="preserve"> permission to appeal on </w:t>
      </w:r>
      <w:r w:rsidR="00FA2D5F">
        <w:rPr>
          <w:rFonts w:cs="Arial"/>
        </w:rPr>
        <w:t>1</w:t>
      </w:r>
      <w:r w:rsidR="000E101D">
        <w:rPr>
          <w:rFonts w:cs="Arial"/>
        </w:rPr>
        <w:t>7</w:t>
      </w:r>
      <w:r w:rsidR="00FA2D5F">
        <w:rPr>
          <w:rFonts w:cs="Arial"/>
        </w:rPr>
        <w:t xml:space="preserve"> July</w:t>
      </w:r>
      <w:r w:rsidR="00F86A0A">
        <w:rPr>
          <w:rFonts w:cs="Arial"/>
        </w:rPr>
        <w:t xml:space="preserve"> 2018.</w:t>
      </w:r>
      <w:r w:rsidR="008130CE">
        <w:rPr>
          <w:rFonts w:cs="Arial"/>
        </w:rPr>
        <w:t xml:space="preserve"> </w:t>
      </w:r>
    </w:p>
    <w:p w:rsidR="003257CA" w:rsidRDefault="003257CA" w:rsidP="002630D9">
      <w:pPr>
        <w:spacing w:line="360" w:lineRule="auto"/>
        <w:ind w:left="567" w:hanging="567"/>
        <w:jc w:val="both"/>
        <w:rPr>
          <w:rFonts w:cs="Arial"/>
        </w:rPr>
      </w:pPr>
      <w:r>
        <w:rPr>
          <w:rFonts w:cs="Arial"/>
        </w:rPr>
        <w:lastRenderedPageBreak/>
        <w:t xml:space="preserve">                                                                                                                                                                                                                                                                                   </w:t>
      </w:r>
    </w:p>
    <w:p w:rsidR="003257CA" w:rsidRPr="009D341B" w:rsidRDefault="003257CA" w:rsidP="002630D9">
      <w:pPr>
        <w:spacing w:line="360" w:lineRule="auto"/>
        <w:ind w:left="567" w:hanging="567"/>
        <w:jc w:val="both"/>
        <w:rPr>
          <w:rFonts w:cs="Arial"/>
          <w:b/>
        </w:rPr>
      </w:pPr>
      <w:r w:rsidRPr="009D341B">
        <w:rPr>
          <w:rFonts w:cs="Arial"/>
          <w:b/>
        </w:rPr>
        <w:t xml:space="preserve">ERROR OF LAW HEARING </w:t>
      </w:r>
    </w:p>
    <w:p w:rsidR="003257CA" w:rsidRDefault="003257CA" w:rsidP="002630D9">
      <w:pPr>
        <w:spacing w:line="360" w:lineRule="auto"/>
        <w:ind w:left="567" w:hanging="567"/>
        <w:jc w:val="both"/>
        <w:rPr>
          <w:rFonts w:cs="Arial"/>
        </w:rPr>
      </w:pPr>
    </w:p>
    <w:p w:rsidR="003257CA" w:rsidRDefault="00B272A0" w:rsidP="002630D9">
      <w:pPr>
        <w:spacing w:line="360" w:lineRule="auto"/>
        <w:ind w:left="567" w:hanging="567"/>
        <w:jc w:val="both"/>
        <w:rPr>
          <w:rFonts w:cs="Arial"/>
        </w:rPr>
      </w:pPr>
      <w:r>
        <w:rPr>
          <w:rFonts w:cs="Arial"/>
        </w:rPr>
        <w:t>2</w:t>
      </w:r>
      <w:r w:rsidR="003257CA">
        <w:rPr>
          <w:rFonts w:cs="Arial"/>
        </w:rPr>
        <w:t>.</w:t>
      </w:r>
      <w:r w:rsidR="003257CA">
        <w:rPr>
          <w:rFonts w:cs="Arial"/>
        </w:rPr>
        <w:tab/>
      </w:r>
      <w:r>
        <w:rPr>
          <w:rFonts w:cs="Arial"/>
        </w:rPr>
        <w:t xml:space="preserve">The solicitor acting for the Appellant relied upon the grounds of appeal and the observations made by First-tier Tribunal Judge Pickup when granting permission. When doing so he </w:t>
      </w:r>
      <w:r w:rsidR="000E109D">
        <w:rPr>
          <w:rFonts w:cs="Arial"/>
        </w:rPr>
        <w:t>noted</w:t>
      </w:r>
      <w:r>
        <w:rPr>
          <w:rFonts w:cs="Arial"/>
        </w:rPr>
        <w:t xml:space="preserve"> that First-tier Tribunal Judge Lawrence had not considered Appendix FM of the Immigration Rules and did not apply Appendix FM when considering suitability. In reply, the Home Office Presenting Officer submitted that the First-tier Tribunal Judge had </w:t>
      </w:r>
      <w:r w:rsidR="00591941">
        <w:rPr>
          <w:rFonts w:cs="Arial"/>
        </w:rPr>
        <w:t xml:space="preserve">made clear findings in relation to all relevant issues. </w:t>
      </w:r>
      <w:r w:rsidR="003257CA">
        <w:rPr>
          <w:rFonts w:cs="Arial"/>
        </w:rPr>
        <w:t xml:space="preserve">   </w:t>
      </w:r>
    </w:p>
    <w:p w:rsidR="003257CA" w:rsidRDefault="003257CA" w:rsidP="00590558">
      <w:pPr>
        <w:spacing w:line="360" w:lineRule="auto"/>
        <w:ind w:left="567" w:hanging="567"/>
        <w:jc w:val="both"/>
        <w:rPr>
          <w:rFonts w:cs="Arial"/>
          <w:b/>
        </w:rPr>
      </w:pPr>
    </w:p>
    <w:p w:rsidR="003257CA" w:rsidRDefault="003257CA" w:rsidP="00590558">
      <w:pPr>
        <w:spacing w:line="360" w:lineRule="auto"/>
        <w:ind w:left="567" w:hanging="567"/>
        <w:jc w:val="both"/>
        <w:rPr>
          <w:rFonts w:cs="Arial"/>
          <w:b/>
        </w:rPr>
      </w:pPr>
      <w:r>
        <w:rPr>
          <w:rFonts w:cs="Arial"/>
          <w:b/>
        </w:rPr>
        <w:t xml:space="preserve">ERROR OF LAW </w:t>
      </w:r>
      <w:r w:rsidRPr="009D341B">
        <w:rPr>
          <w:rFonts w:cs="Arial"/>
          <w:b/>
        </w:rPr>
        <w:t xml:space="preserve">DECISION </w:t>
      </w:r>
    </w:p>
    <w:p w:rsidR="003257CA" w:rsidRPr="00590558" w:rsidRDefault="003257CA" w:rsidP="00590558">
      <w:pPr>
        <w:spacing w:line="360" w:lineRule="auto"/>
        <w:ind w:left="567" w:hanging="567"/>
        <w:jc w:val="both"/>
        <w:rPr>
          <w:rFonts w:cs="Arial"/>
          <w:b/>
        </w:rPr>
      </w:pPr>
    </w:p>
    <w:p w:rsidR="00591941" w:rsidRDefault="00591941" w:rsidP="000E101D">
      <w:pPr>
        <w:spacing w:line="360" w:lineRule="auto"/>
        <w:ind w:left="567" w:hanging="567"/>
        <w:jc w:val="both"/>
        <w:rPr>
          <w:rFonts w:cs="Arial"/>
        </w:rPr>
      </w:pPr>
      <w:r>
        <w:rPr>
          <w:rFonts w:cs="Arial"/>
        </w:rPr>
        <w:t>3</w:t>
      </w:r>
      <w:r w:rsidR="00827B41">
        <w:rPr>
          <w:rFonts w:cs="Arial"/>
        </w:rPr>
        <w:t>.</w:t>
      </w:r>
      <w:r w:rsidR="00827B41">
        <w:rPr>
          <w:rFonts w:cs="Arial"/>
        </w:rPr>
        <w:tab/>
      </w:r>
      <w:r w:rsidR="000E101D">
        <w:rPr>
          <w:rFonts w:cs="Arial"/>
        </w:rPr>
        <w:t xml:space="preserve">The Appellant’s </w:t>
      </w:r>
      <w:r>
        <w:rPr>
          <w:rFonts w:cs="Arial"/>
        </w:rPr>
        <w:t xml:space="preserve">solicitor submitted that the </w:t>
      </w:r>
      <w:r w:rsidR="00C64795">
        <w:rPr>
          <w:rFonts w:cs="Arial"/>
        </w:rPr>
        <w:t xml:space="preserve">requirements relating to suitability within Appendix FM should have been applied and that these contained a discretion which had not been exercised.  However, this was not a point which was contained within the grounds of appeal and the Appellant’s representative had not applied for permission to rely on any further grounds. </w:t>
      </w:r>
    </w:p>
    <w:p w:rsidR="00C64795" w:rsidRDefault="00C64795" w:rsidP="000E101D">
      <w:pPr>
        <w:spacing w:line="360" w:lineRule="auto"/>
        <w:ind w:left="567" w:hanging="567"/>
        <w:jc w:val="both"/>
        <w:rPr>
          <w:rFonts w:cs="Arial"/>
        </w:rPr>
      </w:pPr>
    </w:p>
    <w:p w:rsidR="00A6642A" w:rsidRDefault="00C64795" w:rsidP="000E101D">
      <w:pPr>
        <w:spacing w:line="360" w:lineRule="auto"/>
        <w:ind w:left="567" w:hanging="567"/>
        <w:jc w:val="both"/>
        <w:rPr>
          <w:rFonts w:cs="Arial"/>
        </w:rPr>
      </w:pPr>
      <w:r>
        <w:rPr>
          <w:rFonts w:cs="Arial"/>
        </w:rPr>
        <w:t>4.</w:t>
      </w:r>
      <w:r>
        <w:rPr>
          <w:rFonts w:cs="Arial"/>
        </w:rPr>
        <w:tab/>
        <w:t xml:space="preserve">In any event page 3 of 8 of the refusal decision makes it clear that the Respondent had relied on </w:t>
      </w:r>
      <w:r w:rsidR="000E101D">
        <w:rPr>
          <w:rFonts w:cs="Arial"/>
        </w:rPr>
        <w:t>the general grounds for refusal contained in paragraph 322(5) of the Immigration Rules</w:t>
      </w:r>
      <w:r w:rsidR="006C00E3">
        <w:rPr>
          <w:rFonts w:cs="Arial"/>
        </w:rPr>
        <w:t xml:space="preserve"> </w:t>
      </w:r>
      <w:r>
        <w:rPr>
          <w:rFonts w:cs="Arial"/>
        </w:rPr>
        <w:t xml:space="preserve">which was </w:t>
      </w:r>
      <w:r w:rsidR="006C00E3">
        <w:rPr>
          <w:rFonts w:cs="Arial"/>
        </w:rPr>
        <w:t xml:space="preserve">based on </w:t>
      </w:r>
    </w:p>
    <w:p w:rsidR="006C00E3" w:rsidRDefault="006C00E3" w:rsidP="00F41708">
      <w:pPr>
        <w:spacing w:line="360" w:lineRule="auto"/>
        <w:ind w:left="1134"/>
        <w:jc w:val="both"/>
        <w:rPr>
          <w:rFonts w:cs="Arial"/>
          <w:color w:val="000000"/>
          <w:szCs w:val="18"/>
        </w:rPr>
      </w:pPr>
    </w:p>
    <w:p w:rsidR="006C00E3" w:rsidRDefault="006C00E3" w:rsidP="00F41708">
      <w:pPr>
        <w:spacing w:line="360" w:lineRule="auto"/>
        <w:ind w:left="1134"/>
        <w:jc w:val="both"/>
        <w:rPr>
          <w:rFonts w:cs="Arial"/>
          <w:color w:val="000000"/>
          <w:szCs w:val="18"/>
        </w:rPr>
      </w:pPr>
      <w:r>
        <w:rPr>
          <w:rFonts w:cs="Arial"/>
          <w:color w:val="000000"/>
          <w:szCs w:val="18"/>
        </w:rPr>
        <w:t>“the undesirability of permitting the person concerned to remain in the United Kingdom in the light of his conduct (including convictions which do not fall within paragraph 322(1C), character or association or the fact that he represents a threat to national security”</w:t>
      </w:r>
      <w:r w:rsidR="00C64795">
        <w:rPr>
          <w:rFonts w:cs="Arial"/>
          <w:color w:val="000000"/>
          <w:szCs w:val="18"/>
        </w:rPr>
        <w:t>)</w:t>
      </w:r>
      <w:r>
        <w:rPr>
          <w:rFonts w:cs="Arial"/>
          <w:color w:val="000000"/>
          <w:szCs w:val="18"/>
        </w:rPr>
        <w:t>.</w:t>
      </w:r>
    </w:p>
    <w:p w:rsidR="006C00E3" w:rsidRDefault="006C00E3" w:rsidP="00F41708">
      <w:pPr>
        <w:spacing w:line="360" w:lineRule="auto"/>
        <w:ind w:left="1134"/>
        <w:jc w:val="both"/>
        <w:rPr>
          <w:rFonts w:cs="Arial"/>
          <w:color w:val="000000"/>
          <w:szCs w:val="18"/>
        </w:rPr>
      </w:pPr>
    </w:p>
    <w:p w:rsidR="006C00E3" w:rsidRDefault="006C00E3" w:rsidP="000E101D">
      <w:pPr>
        <w:spacing w:line="360" w:lineRule="auto"/>
        <w:ind w:left="567" w:hanging="567"/>
        <w:jc w:val="both"/>
        <w:rPr>
          <w:rFonts w:cs="Arial"/>
          <w:color w:val="000000"/>
          <w:szCs w:val="18"/>
        </w:rPr>
      </w:pPr>
      <w:r>
        <w:rPr>
          <w:rFonts w:cs="Arial"/>
          <w:color w:val="000000"/>
          <w:szCs w:val="18"/>
        </w:rPr>
        <w:t>5.</w:t>
      </w:r>
      <w:r>
        <w:rPr>
          <w:rFonts w:cs="Arial"/>
          <w:color w:val="000000"/>
          <w:szCs w:val="18"/>
        </w:rPr>
        <w:tab/>
        <w:t>In particular, it was said that</w:t>
      </w:r>
      <w:r w:rsidR="00C64795">
        <w:rPr>
          <w:rFonts w:cs="Arial"/>
          <w:color w:val="000000"/>
          <w:szCs w:val="18"/>
        </w:rPr>
        <w:t>,</w:t>
      </w:r>
      <w:r>
        <w:rPr>
          <w:rFonts w:cs="Arial"/>
          <w:color w:val="000000"/>
          <w:szCs w:val="18"/>
        </w:rPr>
        <w:t xml:space="preserve"> when the Appellant had applied for leave to remain as a Tier 1 (General) Migrant on 19 March 2014</w:t>
      </w:r>
      <w:r w:rsidR="00C64795">
        <w:rPr>
          <w:rFonts w:cs="Arial"/>
          <w:color w:val="000000"/>
          <w:szCs w:val="18"/>
        </w:rPr>
        <w:t>,</w:t>
      </w:r>
      <w:r>
        <w:rPr>
          <w:rFonts w:cs="Arial"/>
          <w:color w:val="000000"/>
          <w:szCs w:val="18"/>
        </w:rPr>
        <w:t xml:space="preserve"> he said that he had earned £86,879 in profit from self-employment between March 2013 and February 2014. However, when he made his tax return for 2013/2014 he declared a loss of £300.</w:t>
      </w:r>
      <w:r w:rsidR="00C64795">
        <w:rPr>
          <w:rFonts w:cs="Arial"/>
          <w:color w:val="000000"/>
          <w:szCs w:val="18"/>
        </w:rPr>
        <w:t xml:space="preserve"> </w:t>
      </w:r>
    </w:p>
    <w:p w:rsidR="006C00E3" w:rsidRDefault="006C00E3" w:rsidP="000E101D">
      <w:pPr>
        <w:spacing w:line="360" w:lineRule="auto"/>
        <w:ind w:left="567" w:hanging="567"/>
        <w:jc w:val="both"/>
        <w:rPr>
          <w:rFonts w:cs="Arial"/>
          <w:color w:val="000000"/>
          <w:szCs w:val="18"/>
        </w:rPr>
      </w:pPr>
    </w:p>
    <w:p w:rsidR="003B66B6" w:rsidRPr="004A4385" w:rsidRDefault="006C00E3" w:rsidP="003B66B6">
      <w:pPr>
        <w:spacing w:line="360" w:lineRule="auto"/>
        <w:ind w:left="567" w:hanging="567"/>
        <w:jc w:val="both"/>
        <w:rPr>
          <w:rFonts w:cs="Arial"/>
          <w:b/>
          <w:color w:val="000000"/>
          <w:szCs w:val="18"/>
        </w:rPr>
      </w:pPr>
      <w:r>
        <w:rPr>
          <w:rFonts w:cs="Arial"/>
          <w:color w:val="000000"/>
          <w:szCs w:val="18"/>
        </w:rPr>
        <w:t>6.</w:t>
      </w:r>
      <w:r>
        <w:rPr>
          <w:rFonts w:cs="Arial"/>
          <w:color w:val="000000"/>
          <w:szCs w:val="18"/>
        </w:rPr>
        <w:tab/>
        <w:t>It was the Appellant’s case that he had bought suits from China and made a profit of £83,000 when selling them in the United Kingdom for £45 a suit when he had bought them for £20</w:t>
      </w:r>
      <w:r w:rsidR="00845101">
        <w:rPr>
          <w:rFonts w:cs="Arial"/>
          <w:color w:val="000000"/>
          <w:szCs w:val="18"/>
        </w:rPr>
        <w:t xml:space="preserve"> and that this was the case when he applied for </w:t>
      </w:r>
      <w:r w:rsidR="00CF7F35">
        <w:rPr>
          <w:rFonts w:cs="Arial"/>
          <w:color w:val="000000"/>
          <w:szCs w:val="18"/>
        </w:rPr>
        <w:t xml:space="preserve">Tier 1 leave on 19 March 2014 but that he had made </w:t>
      </w:r>
      <w:r w:rsidR="00CF7F35">
        <w:rPr>
          <w:rFonts w:cs="Arial"/>
          <w:color w:val="000000"/>
          <w:szCs w:val="18"/>
        </w:rPr>
        <w:lastRenderedPageBreak/>
        <w:t xml:space="preserve">a loss on his business of £300 by the time he submitted his tax return </w:t>
      </w:r>
      <w:r w:rsidR="000E109D">
        <w:rPr>
          <w:rFonts w:cs="Arial"/>
          <w:color w:val="000000"/>
          <w:szCs w:val="18"/>
        </w:rPr>
        <w:t>for 2013/2014.</w:t>
      </w:r>
      <w:r w:rsidR="00CF7F35">
        <w:rPr>
          <w:rFonts w:cs="Arial"/>
          <w:color w:val="000000"/>
          <w:szCs w:val="18"/>
        </w:rPr>
        <w:t xml:space="preserve"> In paragraph 15 of his decision the First-tier Tribunal Judge found that the claim by the Appellant to be a self-employed trader was a fiction and the Appellant has not challenged this finding in his grounds of appeal. </w:t>
      </w:r>
      <w:r w:rsidR="003B66B6">
        <w:rPr>
          <w:rFonts w:cs="Arial"/>
          <w:color w:val="000000"/>
          <w:szCs w:val="18"/>
        </w:rPr>
        <w:tab/>
      </w:r>
    </w:p>
    <w:p w:rsidR="003B66B6" w:rsidRDefault="003B66B6" w:rsidP="000E101D">
      <w:pPr>
        <w:spacing w:line="360" w:lineRule="auto"/>
        <w:ind w:left="567" w:hanging="567"/>
        <w:jc w:val="both"/>
        <w:rPr>
          <w:rFonts w:cs="Arial"/>
          <w:color w:val="000000"/>
          <w:szCs w:val="18"/>
        </w:rPr>
      </w:pPr>
    </w:p>
    <w:p w:rsidR="006C00E3" w:rsidRDefault="00CF7F35" w:rsidP="000E101D">
      <w:pPr>
        <w:spacing w:line="360" w:lineRule="auto"/>
        <w:ind w:left="567" w:hanging="567"/>
        <w:jc w:val="both"/>
        <w:rPr>
          <w:rFonts w:cs="Arial"/>
          <w:color w:val="000000"/>
          <w:szCs w:val="18"/>
        </w:rPr>
      </w:pPr>
      <w:r>
        <w:rPr>
          <w:rFonts w:cs="Arial"/>
          <w:color w:val="000000"/>
          <w:szCs w:val="18"/>
        </w:rPr>
        <w:t>7.</w:t>
      </w:r>
      <w:r>
        <w:rPr>
          <w:rFonts w:cs="Arial"/>
          <w:color w:val="000000"/>
          <w:szCs w:val="18"/>
        </w:rPr>
        <w:tab/>
      </w:r>
      <w:r w:rsidR="007A100A">
        <w:rPr>
          <w:rFonts w:cs="Arial"/>
          <w:color w:val="000000"/>
          <w:szCs w:val="18"/>
        </w:rPr>
        <w:t xml:space="preserve">Instead he relies on the fact that his wife and child have been granted indefinite leave to remain and submits that, if he is not also granted leave to remain, a breach of Article 8 will occur. </w:t>
      </w:r>
    </w:p>
    <w:p w:rsidR="007A100A" w:rsidRDefault="007A100A" w:rsidP="000E101D">
      <w:pPr>
        <w:spacing w:line="360" w:lineRule="auto"/>
        <w:ind w:left="567" w:hanging="567"/>
        <w:jc w:val="both"/>
        <w:rPr>
          <w:rFonts w:cs="Arial"/>
          <w:color w:val="000000"/>
          <w:szCs w:val="18"/>
        </w:rPr>
      </w:pPr>
    </w:p>
    <w:p w:rsidR="007A100A" w:rsidRDefault="00CF7F35" w:rsidP="000E101D">
      <w:pPr>
        <w:spacing w:line="360" w:lineRule="auto"/>
        <w:ind w:left="567" w:hanging="567"/>
        <w:jc w:val="both"/>
        <w:rPr>
          <w:rFonts w:cs="Arial"/>
          <w:color w:val="000000"/>
          <w:szCs w:val="18"/>
        </w:rPr>
      </w:pPr>
      <w:r>
        <w:rPr>
          <w:rFonts w:cs="Arial"/>
          <w:color w:val="000000"/>
          <w:szCs w:val="18"/>
        </w:rPr>
        <w:t>8</w:t>
      </w:r>
      <w:r w:rsidR="007A100A">
        <w:rPr>
          <w:rFonts w:cs="Arial"/>
          <w:color w:val="000000"/>
          <w:szCs w:val="18"/>
        </w:rPr>
        <w:t>.</w:t>
      </w:r>
      <w:r w:rsidR="007A100A">
        <w:rPr>
          <w:rFonts w:cs="Arial"/>
          <w:color w:val="000000"/>
          <w:szCs w:val="18"/>
        </w:rPr>
        <w:tab/>
        <w:t xml:space="preserve">In paragraph 17 of his decision, First-tier Tribunal Judge Lawrence stated that their grants of leave were entirely based on the Appellant’s status and commented that it was a mystery whey the Appellant’s wife and </w:t>
      </w:r>
      <w:r w:rsidR="00D02511">
        <w:rPr>
          <w:rFonts w:cs="Arial"/>
          <w:color w:val="000000"/>
          <w:szCs w:val="18"/>
        </w:rPr>
        <w:t xml:space="preserve">daughter were granted such status. He went on to assert that their applications should also have been refused. </w:t>
      </w:r>
    </w:p>
    <w:p w:rsidR="00D02511" w:rsidRDefault="00D02511" w:rsidP="000E101D">
      <w:pPr>
        <w:spacing w:line="360" w:lineRule="auto"/>
        <w:ind w:left="567" w:hanging="567"/>
        <w:jc w:val="both"/>
        <w:rPr>
          <w:rFonts w:cs="Arial"/>
          <w:color w:val="000000"/>
          <w:szCs w:val="18"/>
        </w:rPr>
      </w:pPr>
    </w:p>
    <w:p w:rsidR="00D02511" w:rsidRDefault="00CF7F35" w:rsidP="000E101D">
      <w:pPr>
        <w:spacing w:line="360" w:lineRule="auto"/>
        <w:ind w:left="567" w:hanging="567"/>
        <w:jc w:val="both"/>
        <w:rPr>
          <w:rFonts w:cs="Arial"/>
          <w:color w:val="000000"/>
          <w:szCs w:val="18"/>
        </w:rPr>
      </w:pPr>
      <w:r>
        <w:rPr>
          <w:rFonts w:cs="Arial"/>
          <w:color w:val="000000"/>
          <w:szCs w:val="18"/>
        </w:rPr>
        <w:t>9</w:t>
      </w:r>
      <w:r w:rsidR="00D02511">
        <w:rPr>
          <w:rFonts w:cs="Arial"/>
          <w:color w:val="000000"/>
          <w:szCs w:val="18"/>
        </w:rPr>
        <w:t>.</w:t>
      </w:r>
      <w:r w:rsidR="00D02511">
        <w:rPr>
          <w:rFonts w:cs="Arial"/>
          <w:color w:val="000000"/>
          <w:szCs w:val="18"/>
        </w:rPr>
        <w:tab/>
        <w:t>However, at the date of the hearing the Appellant’s wife and daughter did have indefinite leave to remain and it was on this basis that the First-tier Tribunal Judge had to decide the Appellant’s appeal</w:t>
      </w:r>
      <w:r w:rsidR="00424168">
        <w:rPr>
          <w:rFonts w:cs="Arial"/>
          <w:color w:val="000000"/>
          <w:szCs w:val="18"/>
        </w:rPr>
        <w:t>.</w:t>
      </w:r>
    </w:p>
    <w:p w:rsidR="00424168" w:rsidRDefault="00424168" w:rsidP="000E101D">
      <w:pPr>
        <w:spacing w:line="360" w:lineRule="auto"/>
        <w:ind w:left="567" w:hanging="567"/>
        <w:jc w:val="both"/>
        <w:rPr>
          <w:rFonts w:cs="Arial"/>
          <w:color w:val="000000"/>
          <w:szCs w:val="18"/>
        </w:rPr>
      </w:pPr>
    </w:p>
    <w:p w:rsidR="00424168" w:rsidRDefault="00424168" w:rsidP="000E101D">
      <w:pPr>
        <w:spacing w:line="360" w:lineRule="auto"/>
        <w:ind w:left="567" w:hanging="567"/>
        <w:jc w:val="both"/>
        <w:rPr>
          <w:rFonts w:cs="Arial"/>
          <w:color w:val="000000"/>
          <w:szCs w:val="18"/>
        </w:rPr>
      </w:pPr>
      <w:r>
        <w:rPr>
          <w:rFonts w:cs="Arial"/>
          <w:color w:val="000000"/>
          <w:szCs w:val="18"/>
        </w:rPr>
        <w:t>1</w:t>
      </w:r>
      <w:r w:rsidR="00CF7F35">
        <w:rPr>
          <w:rFonts w:cs="Arial"/>
          <w:color w:val="000000"/>
          <w:szCs w:val="18"/>
        </w:rPr>
        <w:t>0</w:t>
      </w:r>
      <w:r>
        <w:rPr>
          <w:rFonts w:cs="Arial"/>
          <w:color w:val="000000"/>
          <w:szCs w:val="18"/>
        </w:rPr>
        <w:t>.</w:t>
      </w:r>
      <w:r>
        <w:rPr>
          <w:rFonts w:cs="Arial"/>
          <w:color w:val="000000"/>
          <w:szCs w:val="18"/>
        </w:rPr>
        <w:tab/>
        <w:t xml:space="preserve">In addition, it is arguable that the First-tier Tribunal Judge should not have commented on the Appellant’s wife and daughter’s immigration status when they did not have appeals which were before him.  The First-tier Tribunal Judge suggested that the Respondent may wish to revoke their leave under section 76 of the Nationality, Immigration and Asylum Act 2002 but it had not been suggested that they had obtained their leave by deception or that they were liable to deportation but cannot be deported for legal reasons.  </w:t>
      </w:r>
    </w:p>
    <w:p w:rsidR="00424168" w:rsidRDefault="00424168" w:rsidP="000E101D">
      <w:pPr>
        <w:spacing w:line="360" w:lineRule="auto"/>
        <w:ind w:left="567" w:hanging="567"/>
        <w:jc w:val="both"/>
        <w:rPr>
          <w:rFonts w:cs="Arial"/>
          <w:color w:val="000000"/>
          <w:szCs w:val="18"/>
        </w:rPr>
      </w:pPr>
    </w:p>
    <w:p w:rsidR="00424168" w:rsidRDefault="00424168" w:rsidP="000E101D">
      <w:pPr>
        <w:spacing w:line="360" w:lineRule="auto"/>
        <w:ind w:left="567" w:hanging="567"/>
        <w:jc w:val="both"/>
        <w:rPr>
          <w:rFonts w:cs="Arial"/>
          <w:b/>
          <w:color w:val="000000"/>
          <w:szCs w:val="18"/>
        </w:rPr>
      </w:pPr>
      <w:r>
        <w:rPr>
          <w:rFonts w:cs="Arial"/>
          <w:color w:val="000000"/>
          <w:szCs w:val="18"/>
        </w:rPr>
        <w:t>1</w:t>
      </w:r>
      <w:r w:rsidR="00CF7F35">
        <w:rPr>
          <w:rFonts w:cs="Arial"/>
          <w:color w:val="000000"/>
          <w:szCs w:val="18"/>
        </w:rPr>
        <w:t>1</w:t>
      </w:r>
      <w:r>
        <w:rPr>
          <w:rFonts w:cs="Arial"/>
          <w:color w:val="000000"/>
          <w:szCs w:val="18"/>
        </w:rPr>
        <w:t>.</w:t>
      </w:r>
      <w:r>
        <w:rPr>
          <w:rFonts w:cs="Arial"/>
          <w:color w:val="000000"/>
          <w:szCs w:val="18"/>
        </w:rPr>
        <w:tab/>
      </w:r>
      <w:r w:rsidR="00CF7F35">
        <w:rPr>
          <w:rFonts w:cs="Arial"/>
          <w:color w:val="000000"/>
          <w:szCs w:val="18"/>
        </w:rPr>
        <w:t xml:space="preserve">The Appellant’s solicitor submitted that </w:t>
      </w:r>
      <w:r>
        <w:rPr>
          <w:rFonts w:cs="Arial"/>
          <w:color w:val="000000"/>
          <w:szCs w:val="18"/>
        </w:rPr>
        <w:t xml:space="preserve">First-tier Tribunal Judge </w:t>
      </w:r>
      <w:r w:rsidR="0068698E">
        <w:rPr>
          <w:rFonts w:cs="Arial"/>
          <w:color w:val="000000"/>
          <w:szCs w:val="18"/>
        </w:rPr>
        <w:t xml:space="preserve">Lawrence </w:t>
      </w:r>
      <w:r w:rsidR="00CF7F35">
        <w:rPr>
          <w:rFonts w:cs="Arial"/>
          <w:color w:val="000000"/>
          <w:szCs w:val="18"/>
        </w:rPr>
        <w:t xml:space="preserve">had </w:t>
      </w:r>
      <w:r w:rsidR="0068698E">
        <w:rPr>
          <w:rFonts w:cs="Arial"/>
          <w:color w:val="000000"/>
          <w:szCs w:val="18"/>
        </w:rPr>
        <w:t>also failed to consider the Appellant’s application under Appendix FM as the partner of a person settled in the United Kingdom.</w:t>
      </w:r>
      <w:r w:rsidR="00CF7F35">
        <w:rPr>
          <w:rFonts w:cs="Arial"/>
          <w:color w:val="000000"/>
          <w:szCs w:val="18"/>
        </w:rPr>
        <w:t xml:space="preserve"> It is clear from the substance of the decision, that no consideration had been given to Appendix FM and it is my view that, even </w:t>
      </w:r>
      <w:r w:rsidR="000E109D">
        <w:rPr>
          <w:rFonts w:cs="Arial"/>
          <w:color w:val="000000"/>
          <w:szCs w:val="18"/>
        </w:rPr>
        <w:t xml:space="preserve">he could not meet </w:t>
      </w:r>
      <w:r w:rsidR="00CF7F35">
        <w:rPr>
          <w:rFonts w:cs="Arial"/>
          <w:color w:val="000000"/>
          <w:szCs w:val="18"/>
        </w:rPr>
        <w:t>the</w:t>
      </w:r>
      <w:r w:rsidR="00B70215">
        <w:rPr>
          <w:rFonts w:cs="Arial"/>
          <w:color w:val="000000"/>
          <w:szCs w:val="18"/>
        </w:rPr>
        <w:t xml:space="preserve"> s</w:t>
      </w:r>
      <w:r w:rsidR="00CF7F35">
        <w:rPr>
          <w:rFonts w:cs="Arial"/>
          <w:color w:val="000000"/>
          <w:szCs w:val="18"/>
        </w:rPr>
        <w:t xml:space="preserve">uitability requirements, </w:t>
      </w:r>
      <w:r w:rsidR="00B70215">
        <w:rPr>
          <w:rFonts w:cs="Arial"/>
          <w:color w:val="000000"/>
          <w:szCs w:val="18"/>
        </w:rPr>
        <w:t xml:space="preserve">Appendix FM </w:t>
      </w:r>
      <w:r w:rsidR="00CF7F35">
        <w:rPr>
          <w:rFonts w:cs="Arial"/>
          <w:color w:val="000000"/>
          <w:szCs w:val="18"/>
        </w:rPr>
        <w:t xml:space="preserve"> should have been considered as this formed the </w:t>
      </w:r>
      <w:r w:rsidR="00B70215">
        <w:rPr>
          <w:rFonts w:cs="Arial"/>
          <w:color w:val="000000"/>
          <w:szCs w:val="18"/>
        </w:rPr>
        <w:t xml:space="preserve">benchmark against which to consider whether </w:t>
      </w:r>
      <w:r w:rsidR="00CF7F35">
        <w:rPr>
          <w:rFonts w:cs="Arial"/>
          <w:color w:val="000000"/>
          <w:szCs w:val="18"/>
        </w:rPr>
        <w:t xml:space="preserve">leave to remain on family life grounds outside the Immigration Rules should </w:t>
      </w:r>
      <w:r w:rsidR="00B70215">
        <w:rPr>
          <w:rFonts w:cs="Arial"/>
          <w:color w:val="000000"/>
          <w:szCs w:val="18"/>
        </w:rPr>
        <w:t xml:space="preserve">be granted. </w:t>
      </w:r>
      <w:r w:rsidR="00CF7F35">
        <w:rPr>
          <w:rFonts w:cs="Arial"/>
          <w:color w:val="000000"/>
          <w:szCs w:val="18"/>
        </w:rPr>
        <w:t xml:space="preserve"> </w:t>
      </w:r>
    </w:p>
    <w:p w:rsidR="0068698E" w:rsidRDefault="0068698E" w:rsidP="000E101D">
      <w:pPr>
        <w:spacing w:line="360" w:lineRule="auto"/>
        <w:ind w:left="567" w:hanging="567"/>
        <w:jc w:val="both"/>
        <w:rPr>
          <w:rFonts w:cs="Arial"/>
          <w:b/>
          <w:color w:val="000000"/>
          <w:szCs w:val="18"/>
        </w:rPr>
      </w:pPr>
    </w:p>
    <w:p w:rsidR="0068698E" w:rsidRPr="0068698E" w:rsidRDefault="0068698E" w:rsidP="000E101D">
      <w:pPr>
        <w:spacing w:line="360" w:lineRule="auto"/>
        <w:ind w:left="567" w:hanging="567"/>
        <w:jc w:val="both"/>
        <w:rPr>
          <w:rFonts w:cs="Arial"/>
          <w:color w:val="000000"/>
          <w:szCs w:val="18"/>
        </w:rPr>
      </w:pPr>
      <w:r>
        <w:rPr>
          <w:rFonts w:cs="Arial"/>
          <w:color w:val="000000"/>
          <w:szCs w:val="18"/>
        </w:rPr>
        <w:t>1</w:t>
      </w:r>
      <w:r w:rsidR="000E109D">
        <w:rPr>
          <w:rFonts w:cs="Arial"/>
          <w:color w:val="000000"/>
          <w:szCs w:val="18"/>
        </w:rPr>
        <w:t>2</w:t>
      </w:r>
      <w:r w:rsidR="003B66B6">
        <w:rPr>
          <w:rFonts w:cs="Arial"/>
          <w:color w:val="000000"/>
          <w:szCs w:val="18"/>
        </w:rPr>
        <w:t>.</w:t>
      </w:r>
      <w:r>
        <w:rPr>
          <w:rFonts w:cs="Arial"/>
          <w:color w:val="000000"/>
          <w:szCs w:val="18"/>
        </w:rPr>
        <w:tab/>
        <w:t xml:space="preserve">In paragraph 26 of the decision, First-tier Tribunal Judge Lawrence </w:t>
      </w:r>
      <w:r w:rsidR="00CF7F35">
        <w:rPr>
          <w:rFonts w:cs="Arial"/>
          <w:color w:val="000000"/>
          <w:szCs w:val="18"/>
        </w:rPr>
        <w:t xml:space="preserve">did </w:t>
      </w:r>
      <w:r>
        <w:rPr>
          <w:rFonts w:cs="Arial"/>
          <w:color w:val="000000"/>
          <w:szCs w:val="18"/>
        </w:rPr>
        <w:t xml:space="preserve">accept that the Appellant enjoyed a family life with this wife and daughter </w:t>
      </w:r>
      <w:r w:rsidR="003B66B6">
        <w:rPr>
          <w:rFonts w:cs="Arial"/>
          <w:color w:val="000000"/>
          <w:szCs w:val="18"/>
        </w:rPr>
        <w:t xml:space="preserve">but when he went on to consider </w:t>
      </w:r>
      <w:r w:rsidR="003B66B6">
        <w:rPr>
          <w:rFonts w:cs="Arial"/>
          <w:color w:val="000000"/>
          <w:szCs w:val="18"/>
        </w:rPr>
        <w:lastRenderedPageBreak/>
        <w:t xml:space="preserve">the application of Article 8 of the ECHR he took into account the circumstances of the Appellant’s wife and daughter even though they were not subject of any appeal. For example, the fact that their previous immigration status was precarious was not material to a decision about the Appellant’s entitlement to leave. </w:t>
      </w:r>
      <w:r w:rsidR="00B70215">
        <w:rPr>
          <w:rFonts w:cs="Arial"/>
          <w:color w:val="000000"/>
          <w:szCs w:val="18"/>
        </w:rPr>
        <w:t xml:space="preserve">This had the effect of undermining the findings he made in relation to proportionality for the purposes of Article 8(2) of the ECHR. </w:t>
      </w:r>
    </w:p>
    <w:p w:rsidR="006C00E3" w:rsidRPr="007A100A" w:rsidRDefault="006C00E3" w:rsidP="000E101D">
      <w:pPr>
        <w:spacing w:line="360" w:lineRule="auto"/>
        <w:ind w:left="567" w:hanging="567"/>
        <w:jc w:val="both"/>
        <w:rPr>
          <w:rFonts w:cs="Arial"/>
          <w:b/>
          <w:color w:val="000000"/>
          <w:szCs w:val="18"/>
        </w:rPr>
      </w:pPr>
    </w:p>
    <w:p w:rsidR="00AC6BAA" w:rsidRPr="004A4385" w:rsidRDefault="00A6642A" w:rsidP="00883306">
      <w:pPr>
        <w:shd w:val="clear" w:color="auto" w:fill="FFFFFF"/>
        <w:spacing w:after="90" w:line="360" w:lineRule="auto"/>
        <w:ind w:left="567" w:hanging="567"/>
        <w:rPr>
          <w:rFonts w:cs="Arial"/>
          <w:color w:val="000000"/>
          <w:szCs w:val="18"/>
        </w:rPr>
      </w:pPr>
      <w:r>
        <w:rPr>
          <w:rFonts w:cs="Arial"/>
          <w:color w:val="000000"/>
          <w:szCs w:val="18"/>
        </w:rPr>
        <w:t>14.</w:t>
      </w:r>
      <w:r>
        <w:rPr>
          <w:rFonts w:cs="Arial"/>
          <w:color w:val="000000"/>
          <w:szCs w:val="18"/>
        </w:rPr>
        <w:tab/>
      </w:r>
      <w:r w:rsidR="00D748ED">
        <w:rPr>
          <w:rFonts w:cs="Arial"/>
          <w:color w:val="000000"/>
          <w:szCs w:val="18"/>
        </w:rPr>
        <w:t>It is also the case that the First-tier Tribunal Judge did err in law when he said in paragraph 5 that “the Appellant bears the legal burden of proof from start to finish and the standard of proof is on balance of probability”. In relation to any breach of Article 8</w:t>
      </w:r>
      <w:r w:rsidR="003D44E2">
        <w:rPr>
          <w:rFonts w:cs="Arial"/>
          <w:color w:val="000000"/>
          <w:szCs w:val="18"/>
        </w:rPr>
        <w:t>(2)</w:t>
      </w:r>
      <w:r w:rsidR="00D748ED">
        <w:rPr>
          <w:rFonts w:cs="Arial"/>
          <w:color w:val="000000"/>
          <w:szCs w:val="18"/>
        </w:rPr>
        <w:t xml:space="preserve"> of the ECHR</w:t>
      </w:r>
      <w:r w:rsidR="003D44E2">
        <w:rPr>
          <w:rFonts w:cs="Arial"/>
          <w:color w:val="000000"/>
          <w:szCs w:val="18"/>
        </w:rPr>
        <w:t xml:space="preserve">, the Respondent bears the burden of showing that any breach would be proportionate. </w:t>
      </w:r>
      <w:r w:rsidR="00B70215">
        <w:rPr>
          <w:rFonts w:cs="Arial"/>
          <w:color w:val="000000"/>
          <w:szCs w:val="18"/>
        </w:rPr>
        <w:t>The Home Office Presenting Officer submitted that</w:t>
      </w:r>
      <w:r w:rsidR="000E109D">
        <w:rPr>
          <w:rFonts w:cs="Arial"/>
          <w:color w:val="000000"/>
          <w:szCs w:val="18"/>
        </w:rPr>
        <w:t>,</w:t>
      </w:r>
      <w:r w:rsidR="00B70215">
        <w:rPr>
          <w:rFonts w:cs="Arial"/>
          <w:color w:val="000000"/>
          <w:szCs w:val="18"/>
        </w:rPr>
        <w:t xml:space="preserve"> in the substance of his decision</w:t>
      </w:r>
      <w:r w:rsidR="000E109D">
        <w:rPr>
          <w:rFonts w:cs="Arial"/>
          <w:color w:val="000000"/>
          <w:szCs w:val="18"/>
        </w:rPr>
        <w:t>,</w:t>
      </w:r>
      <w:r w:rsidR="00B70215">
        <w:rPr>
          <w:rFonts w:cs="Arial"/>
          <w:color w:val="000000"/>
          <w:szCs w:val="18"/>
        </w:rPr>
        <w:t xml:space="preserve"> the First-tier Tribunal Judge applied the correct burden of proof but it does not appear that this is the case as between paragraphs 26 to 31 he only addressed the Appellant’s private life rights not his family life rights </w:t>
      </w:r>
      <w:r w:rsidR="00F279A2">
        <w:rPr>
          <w:rFonts w:cs="Arial"/>
          <w:color w:val="000000"/>
          <w:szCs w:val="18"/>
        </w:rPr>
        <w:t xml:space="preserve">as he found that there would be no interference with his family life rights. </w:t>
      </w:r>
    </w:p>
    <w:p w:rsidR="00B70215" w:rsidRDefault="00B70215" w:rsidP="00ED4DFD">
      <w:pPr>
        <w:spacing w:line="360" w:lineRule="auto"/>
        <w:ind w:left="567" w:hanging="567"/>
        <w:jc w:val="both"/>
        <w:rPr>
          <w:rFonts w:cs="Arial"/>
        </w:rPr>
      </w:pPr>
    </w:p>
    <w:p w:rsidR="00461072" w:rsidRDefault="00461072" w:rsidP="00ED4DFD">
      <w:pPr>
        <w:spacing w:line="360" w:lineRule="auto"/>
        <w:ind w:left="567" w:hanging="567"/>
        <w:jc w:val="both"/>
        <w:rPr>
          <w:rFonts w:cs="Arial"/>
        </w:rPr>
      </w:pPr>
      <w:r>
        <w:rPr>
          <w:rFonts w:cs="Arial"/>
        </w:rPr>
        <w:t>1</w:t>
      </w:r>
      <w:r w:rsidR="003D44E2">
        <w:rPr>
          <w:rFonts w:cs="Arial"/>
        </w:rPr>
        <w:t>5</w:t>
      </w:r>
      <w:r>
        <w:rPr>
          <w:rFonts w:cs="Arial"/>
        </w:rPr>
        <w:t>.</w:t>
      </w:r>
      <w:r>
        <w:rPr>
          <w:rFonts w:cs="Arial"/>
        </w:rPr>
        <w:tab/>
        <w:t xml:space="preserve">As a consequence, I find that First-tier Tribunal Judge </w:t>
      </w:r>
      <w:r w:rsidR="003B66B6">
        <w:rPr>
          <w:rFonts w:cs="Arial"/>
        </w:rPr>
        <w:t>Lawrence</w:t>
      </w:r>
      <w:r>
        <w:rPr>
          <w:rFonts w:cs="Arial"/>
        </w:rPr>
        <w:t xml:space="preserve"> did make errors of law in h</w:t>
      </w:r>
      <w:r w:rsidR="00C1671B">
        <w:rPr>
          <w:rFonts w:cs="Arial"/>
        </w:rPr>
        <w:t>is</w:t>
      </w:r>
      <w:r>
        <w:rPr>
          <w:rFonts w:cs="Arial"/>
        </w:rPr>
        <w:t xml:space="preserve"> decision.</w:t>
      </w:r>
    </w:p>
    <w:p w:rsidR="00461072" w:rsidRDefault="00461072" w:rsidP="00ED4DFD">
      <w:pPr>
        <w:spacing w:line="360" w:lineRule="auto"/>
        <w:ind w:left="567" w:hanging="567"/>
        <w:jc w:val="both"/>
        <w:rPr>
          <w:rFonts w:cs="Arial"/>
        </w:rPr>
      </w:pPr>
    </w:p>
    <w:p w:rsidR="00461072" w:rsidRDefault="00461072" w:rsidP="00ED4DFD">
      <w:pPr>
        <w:spacing w:line="360" w:lineRule="auto"/>
        <w:ind w:left="567" w:hanging="567"/>
        <w:jc w:val="both"/>
        <w:rPr>
          <w:rFonts w:cs="Arial"/>
          <w:b/>
        </w:rPr>
      </w:pPr>
      <w:r>
        <w:rPr>
          <w:rFonts w:cs="Arial"/>
          <w:b/>
        </w:rPr>
        <w:t>Decision</w:t>
      </w:r>
    </w:p>
    <w:p w:rsidR="00461072" w:rsidRDefault="00461072" w:rsidP="00ED4DFD">
      <w:pPr>
        <w:spacing w:line="360" w:lineRule="auto"/>
        <w:ind w:left="567" w:hanging="567"/>
        <w:jc w:val="both"/>
        <w:rPr>
          <w:rFonts w:cs="Arial"/>
          <w:b/>
        </w:rPr>
      </w:pPr>
    </w:p>
    <w:p w:rsidR="00461072" w:rsidRDefault="00461072" w:rsidP="00ED4DFD">
      <w:pPr>
        <w:spacing w:line="360" w:lineRule="auto"/>
        <w:ind w:left="567" w:hanging="567"/>
        <w:jc w:val="both"/>
        <w:rPr>
          <w:rFonts w:cs="Arial"/>
        </w:rPr>
      </w:pPr>
      <w:r>
        <w:rPr>
          <w:rFonts w:cs="Arial"/>
        </w:rPr>
        <w:t>(1)</w:t>
      </w:r>
      <w:r>
        <w:rPr>
          <w:rFonts w:cs="Arial"/>
        </w:rPr>
        <w:tab/>
        <w:t>The Appellant’s appeal is allowed.</w:t>
      </w:r>
    </w:p>
    <w:p w:rsidR="00461072" w:rsidRDefault="00461072" w:rsidP="00ED4DFD">
      <w:pPr>
        <w:spacing w:line="360" w:lineRule="auto"/>
        <w:ind w:left="567" w:hanging="567"/>
        <w:jc w:val="both"/>
        <w:rPr>
          <w:rFonts w:cs="Arial"/>
        </w:rPr>
      </w:pPr>
    </w:p>
    <w:p w:rsidR="00461072" w:rsidRDefault="00461072" w:rsidP="00ED4DFD">
      <w:pPr>
        <w:spacing w:line="360" w:lineRule="auto"/>
        <w:ind w:left="567" w:hanging="567"/>
        <w:jc w:val="both"/>
        <w:rPr>
          <w:rFonts w:cs="Arial"/>
        </w:rPr>
      </w:pPr>
      <w:r>
        <w:rPr>
          <w:rFonts w:cs="Arial"/>
        </w:rPr>
        <w:t>(2)</w:t>
      </w:r>
      <w:r>
        <w:rPr>
          <w:rFonts w:cs="Arial"/>
        </w:rPr>
        <w:tab/>
        <w:t>The decision of First-tier Tribunal Judge</w:t>
      </w:r>
      <w:r w:rsidR="003B66B6">
        <w:rPr>
          <w:rFonts w:cs="Arial"/>
        </w:rPr>
        <w:t xml:space="preserve"> Lawrence</w:t>
      </w:r>
      <w:r>
        <w:rPr>
          <w:rFonts w:cs="Arial"/>
        </w:rPr>
        <w:t xml:space="preserve"> is set aside.</w:t>
      </w:r>
    </w:p>
    <w:p w:rsidR="00461072" w:rsidRDefault="00461072" w:rsidP="00ED4DFD">
      <w:pPr>
        <w:spacing w:line="360" w:lineRule="auto"/>
        <w:ind w:left="567" w:hanging="567"/>
        <w:jc w:val="both"/>
        <w:rPr>
          <w:rFonts w:cs="Arial"/>
        </w:rPr>
      </w:pPr>
    </w:p>
    <w:p w:rsidR="00461072" w:rsidRPr="00461072" w:rsidRDefault="00461072" w:rsidP="00ED4DFD">
      <w:pPr>
        <w:spacing w:line="360" w:lineRule="auto"/>
        <w:ind w:left="567" w:hanging="567"/>
        <w:jc w:val="both"/>
        <w:rPr>
          <w:rFonts w:cs="Arial"/>
        </w:rPr>
      </w:pPr>
      <w:r>
        <w:rPr>
          <w:rFonts w:cs="Arial"/>
        </w:rPr>
        <w:t>(3)</w:t>
      </w:r>
      <w:r>
        <w:rPr>
          <w:rFonts w:cs="Arial"/>
        </w:rPr>
        <w:tab/>
        <w:t xml:space="preserve">The appeal is remitted to </w:t>
      </w:r>
      <w:r w:rsidR="000E101D">
        <w:rPr>
          <w:rFonts w:cs="Arial"/>
        </w:rPr>
        <w:t>Hatton Cross</w:t>
      </w:r>
      <w:r>
        <w:rPr>
          <w:rFonts w:cs="Arial"/>
        </w:rPr>
        <w:t xml:space="preserve"> for a </w:t>
      </w:r>
      <w:r>
        <w:rPr>
          <w:rFonts w:cs="Arial"/>
          <w:i/>
        </w:rPr>
        <w:t xml:space="preserve">de novo </w:t>
      </w:r>
      <w:r>
        <w:rPr>
          <w:rFonts w:cs="Arial"/>
        </w:rPr>
        <w:t xml:space="preserve">hearing before a First-tier Tribunal Judge other than First-tier Tribunal Judge </w:t>
      </w:r>
      <w:r w:rsidR="003B66B6">
        <w:rPr>
          <w:rFonts w:cs="Arial"/>
        </w:rPr>
        <w:t>Lawrence</w:t>
      </w:r>
      <w:r>
        <w:rPr>
          <w:rFonts w:cs="Arial"/>
        </w:rPr>
        <w:t>.</w:t>
      </w:r>
    </w:p>
    <w:p w:rsidR="00EC7B40" w:rsidRDefault="00EC7B40" w:rsidP="00ED4DFD">
      <w:pPr>
        <w:spacing w:line="360" w:lineRule="auto"/>
        <w:ind w:left="567" w:hanging="567"/>
        <w:jc w:val="both"/>
        <w:rPr>
          <w:rFonts w:cs="Arial"/>
        </w:rPr>
      </w:pPr>
    </w:p>
    <w:p w:rsidR="00234FD6" w:rsidRDefault="00234FD6" w:rsidP="00ED4DFD">
      <w:pPr>
        <w:spacing w:line="360" w:lineRule="auto"/>
        <w:ind w:left="567" w:hanging="567"/>
        <w:jc w:val="both"/>
        <w:rPr>
          <w:rFonts w:cs="Arial"/>
        </w:rPr>
      </w:pPr>
    </w:p>
    <w:p w:rsidR="003257CA" w:rsidRPr="00725575" w:rsidRDefault="003257CA" w:rsidP="00026E39">
      <w:pPr>
        <w:jc w:val="both"/>
        <w:rPr>
          <w:rFonts w:ascii="Lucida Handwriting" w:hAnsi="Lucida Handwriting" w:cs="Arial"/>
          <w:sz w:val="40"/>
        </w:rPr>
      </w:pPr>
      <w:r>
        <w:rPr>
          <w:rFonts w:ascii="Lucida Handwriting" w:hAnsi="Lucida Handwriting" w:cs="Arial"/>
          <w:sz w:val="40"/>
        </w:rPr>
        <w:t>Nadine Finch</w:t>
      </w:r>
    </w:p>
    <w:p w:rsidR="003257CA" w:rsidRDefault="003257CA" w:rsidP="00026E39">
      <w:pPr>
        <w:jc w:val="both"/>
        <w:rPr>
          <w:rFonts w:ascii="Book Antiqua" w:hAnsi="Book Antiqua" w:cs="Arial"/>
        </w:rPr>
      </w:pPr>
    </w:p>
    <w:p w:rsidR="003257CA" w:rsidRDefault="003257CA" w:rsidP="00847259">
      <w:pPr>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t>Date</w:t>
      </w:r>
      <w:r>
        <w:rPr>
          <w:rFonts w:ascii="Book Antiqua" w:hAnsi="Book Antiqua" w:cs="Arial"/>
        </w:rPr>
        <w:t xml:space="preserve"> </w:t>
      </w:r>
      <w:r w:rsidR="00C1671B">
        <w:rPr>
          <w:rFonts w:ascii="Book Antiqua" w:hAnsi="Book Antiqua" w:cs="Arial"/>
        </w:rPr>
        <w:t>3 September</w:t>
      </w:r>
      <w:r w:rsidR="0072305A">
        <w:rPr>
          <w:rFonts w:ascii="Book Antiqua" w:hAnsi="Book Antiqua" w:cs="Arial"/>
        </w:rPr>
        <w:t xml:space="preserve"> </w:t>
      </w:r>
      <w:r>
        <w:rPr>
          <w:rFonts w:ascii="Book Antiqua" w:hAnsi="Book Antiqua" w:cs="Arial"/>
        </w:rPr>
        <w:t>2018</w:t>
      </w:r>
    </w:p>
    <w:p w:rsidR="003257CA" w:rsidRDefault="003257CA" w:rsidP="00847259">
      <w:pPr>
        <w:jc w:val="both"/>
        <w:rPr>
          <w:rFonts w:ascii="Book Antiqua" w:hAnsi="Book Antiqua" w:cs="Arial"/>
        </w:rPr>
      </w:pPr>
    </w:p>
    <w:p w:rsidR="003257CA" w:rsidRDefault="003257CA" w:rsidP="00847259">
      <w:pPr>
        <w:jc w:val="both"/>
        <w:rPr>
          <w:rFonts w:ascii="Book Antiqua" w:hAnsi="Book Antiqua" w:cs="Arial"/>
          <w:color w:val="000000"/>
        </w:rPr>
      </w:pPr>
      <w:r>
        <w:rPr>
          <w:rFonts w:ascii="Book Antiqua" w:hAnsi="Book Antiqua" w:cs="Arial"/>
          <w:color w:val="000000"/>
        </w:rPr>
        <w:t xml:space="preserve">Upper Tribunal Judge Finch </w:t>
      </w:r>
    </w:p>
    <w:sectPr w:rsidR="003257CA" w:rsidSect="00117AF7">
      <w:headerReference w:type="default" r:id="rId8"/>
      <w:footerReference w:type="default" r:id="rId9"/>
      <w:footerReference w:type="first" r:id="rId10"/>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5CF9" w:rsidRDefault="00A25CF9">
      <w:r>
        <w:separator/>
      </w:r>
    </w:p>
  </w:endnote>
  <w:endnote w:type="continuationSeparator" w:id="0">
    <w:p w:rsidR="00A25CF9" w:rsidRDefault="00A25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712448621"/>
      <w:docPartObj>
        <w:docPartGallery w:val="Page Numbers (Bottom of Page)"/>
        <w:docPartUnique/>
      </w:docPartObj>
    </w:sdtPr>
    <w:sdtEndPr>
      <w:rPr>
        <w:noProof/>
      </w:rPr>
    </w:sdtEndPr>
    <w:sdtContent>
      <w:p w:rsidR="006E714D" w:rsidRPr="00117AF7" w:rsidRDefault="006E714D">
        <w:pPr>
          <w:pStyle w:val="Footer"/>
          <w:jc w:val="center"/>
          <w:rPr>
            <w:sz w:val="20"/>
            <w:szCs w:val="20"/>
          </w:rPr>
        </w:pPr>
        <w:r w:rsidRPr="00117AF7">
          <w:rPr>
            <w:sz w:val="20"/>
            <w:szCs w:val="20"/>
          </w:rPr>
          <w:fldChar w:fldCharType="begin"/>
        </w:r>
        <w:r w:rsidRPr="00117AF7">
          <w:rPr>
            <w:sz w:val="20"/>
            <w:szCs w:val="20"/>
          </w:rPr>
          <w:instrText xml:space="preserve"> PAGE   \* MERGEFORMAT </w:instrText>
        </w:r>
        <w:r w:rsidRPr="00117AF7">
          <w:rPr>
            <w:sz w:val="20"/>
            <w:szCs w:val="20"/>
          </w:rPr>
          <w:fldChar w:fldCharType="separate"/>
        </w:r>
        <w:r w:rsidR="003625B3">
          <w:rPr>
            <w:noProof/>
            <w:sz w:val="20"/>
            <w:szCs w:val="20"/>
          </w:rPr>
          <w:t>4</w:t>
        </w:r>
        <w:r w:rsidRPr="00117AF7">
          <w:rPr>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7CA" w:rsidRPr="009B7433" w:rsidRDefault="003257CA" w:rsidP="00A82254">
    <w:pPr>
      <w:jc w:val="center"/>
      <w:rPr>
        <w:rFonts w:ascii="Book Antiqua" w:hAnsi="Book Antiqua" w:cs="Arial"/>
        <w:b/>
      </w:rPr>
    </w:pPr>
    <w:r w:rsidRPr="009B7433">
      <w:rPr>
        <w:rFonts w:ascii="Book Antiqua" w:hAnsi="Book Antiqua" w:cs="Arial"/>
        <w:b/>
        <w:spacing w:val="-6"/>
      </w:rPr>
      <w:t>©</w:t>
    </w:r>
    <w:r w:rsidR="006E714D">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5CF9" w:rsidRDefault="00A25CF9">
      <w:r>
        <w:separator/>
      </w:r>
    </w:p>
  </w:footnote>
  <w:footnote w:type="continuationSeparator" w:id="0">
    <w:p w:rsidR="00A25CF9" w:rsidRDefault="00A25C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7CA" w:rsidRPr="00117AF7" w:rsidRDefault="003257CA" w:rsidP="00117AF7">
    <w:pPr>
      <w:tabs>
        <w:tab w:val="right" w:pos="9638"/>
      </w:tabs>
      <w:rPr>
        <w:rFonts w:cs="Arial"/>
        <w:color w:val="000000"/>
        <w:sz w:val="20"/>
        <w:szCs w:val="20"/>
      </w:rPr>
    </w:pPr>
    <w:r w:rsidRPr="00117AF7">
      <w:rPr>
        <w:rFonts w:ascii="Book Antiqua" w:hAnsi="Book Antiqua" w:cs="Arial"/>
        <w:caps/>
        <w:color w:val="000000"/>
        <w:sz w:val="20"/>
        <w:szCs w:val="20"/>
      </w:rPr>
      <w:t>IAC-AR-AR-V1</w:t>
    </w:r>
    <w:r w:rsidR="00117AF7">
      <w:rPr>
        <w:rFonts w:cs="Arial"/>
        <w:color w:val="000000"/>
        <w:sz w:val="20"/>
        <w:szCs w:val="20"/>
      </w:rPr>
      <w:tab/>
      <w:t>A</w:t>
    </w:r>
    <w:r w:rsidRPr="00117AF7">
      <w:rPr>
        <w:rFonts w:cs="Arial"/>
        <w:color w:val="000000"/>
        <w:sz w:val="20"/>
        <w:szCs w:val="20"/>
      </w:rPr>
      <w:t>ppeal Numbe</w:t>
    </w:r>
    <w:r w:rsidR="00CB6CFF" w:rsidRPr="00117AF7">
      <w:rPr>
        <w:rFonts w:cs="Arial"/>
        <w:color w:val="000000"/>
        <w:sz w:val="20"/>
        <w:szCs w:val="20"/>
      </w:rPr>
      <w:t>r</w:t>
    </w:r>
    <w:r w:rsidR="00827B41" w:rsidRPr="00117AF7">
      <w:rPr>
        <w:rFonts w:cs="Arial"/>
        <w:color w:val="000000"/>
        <w:sz w:val="20"/>
        <w:szCs w:val="20"/>
      </w:rPr>
      <w:t xml:space="preserve"> </w:t>
    </w:r>
    <w:r w:rsidR="00FA2D5F" w:rsidRPr="00117AF7">
      <w:rPr>
        <w:rFonts w:cs="Arial"/>
        <w:color w:val="000000"/>
        <w:sz w:val="20"/>
        <w:szCs w:val="20"/>
      </w:rPr>
      <w:t>HU/</w:t>
    </w:r>
    <w:r w:rsidR="000E101D" w:rsidRPr="00117AF7">
      <w:rPr>
        <w:rFonts w:cs="Arial"/>
        <w:color w:val="000000"/>
        <w:sz w:val="20"/>
        <w:szCs w:val="20"/>
      </w:rPr>
      <w:t>06725</w:t>
    </w:r>
    <w:r w:rsidR="00FA2D5F" w:rsidRPr="00117AF7">
      <w:rPr>
        <w:rFonts w:cs="Arial"/>
        <w:color w:val="000000"/>
        <w:sz w:val="20"/>
        <w:szCs w:val="20"/>
      </w:rPr>
      <w:t>/201</w:t>
    </w:r>
    <w:r w:rsidR="000E101D" w:rsidRPr="00117AF7">
      <w:rPr>
        <w:rFonts w:cs="Arial"/>
        <w:color w:val="000000"/>
        <w:sz w:val="20"/>
        <w:szCs w:val="20"/>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523D"/>
    <w:multiLevelType w:val="hybridMultilevel"/>
    <w:tmpl w:val="CF580D46"/>
    <w:lvl w:ilvl="0" w:tplc="BA909BAE">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164C169C"/>
    <w:multiLevelType w:val="hybridMultilevel"/>
    <w:tmpl w:val="CF58EC80"/>
    <w:lvl w:ilvl="0" w:tplc="7BD0497E">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3C901CC4"/>
    <w:multiLevelType w:val="hybridMultilevel"/>
    <w:tmpl w:val="9A007F10"/>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43472FAC"/>
    <w:multiLevelType w:val="hybridMultilevel"/>
    <w:tmpl w:val="00B2E5D0"/>
    <w:lvl w:ilvl="0" w:tplc="005C0DFC">
      <w:start w:val="2"/>
      <w:numFmt w:val="decimal"/>
      <w:lvlText w:val="%1."/>
      <w:lvlJc w:val="left"/>
      <w:pPr>
        <w:tabs>
          <w:tab w:val="num" w:pos="1140"/>
        </w:tabs>
        <w:ind w:left="1140" w:hanging="570"/>
      </w:pPr>
      <w:rPr>
        <w:rFonts w:cs="Times New Roman" w:hint="default"/>
      </w:rPr>
    </w:lvl>
    <w:lvl w:ilvl="1" w:tplc="08090019" w:tentative="1">
      <w:start w:val="1"/>
      <w:numFmt w:val="lowerLetter"/>
      <w:lvlText w:val="%2."/>
      <w:lvlJc w:val="left"/>
      <w:pPr>
        <w:tabs>
          <w:tab w:val="num" w:pos="1650"/>
        </w:tabs>
        <w:ind w:left="1650" w:hanging="360"/>
      </w:pPr>
      <w:rPr>
        <w:rFonts w:cs="Times New Roman"/>
      </w:rPr>
    </w:lvl>
    <w:lvl w:ilvl="2" w:tplc="0809001B" w:tentative="1">
      <w:start w:val="1"/>
      <w:numFmt w:val="lowerRoman"/>
      <w:lvlText w:val="%3."/>
      <w:lvlJc w:val="right"/>
      <w:pPr>
        <w:tabs>
          <w:tab w:val="num" w:pos="2370"/>
        </w:tabs>
        <w:ind w:left="2370" w:hanging="180"/>
      </w:pPr>
      <w:rPr>
        <w:rFonts w:cs="Times New Roman"/>
      </w:rPr>
    </w:lvl>
    <w:lvl w:ilvl="3" w:tplc="0809000F" w:tentative="1">
      <w:start w:val="1"/>
      <w:numFmt w:val="decimal"/>
      <w:lvlText w:val="%4."/>
      <w:lvlJc w:val="left"/>
      <w:pPr>
        <w:tabs>
          <w:tab w:val="num" w:pos="3090"/>
        </w:tabs>
        <w:ind w:left="3090" w:hanging="360"/>
      </w:pPr>
      <w:rPr>
        <w:rFonts w:cs="Times New Roman"/>
      </w:rPr>
    </w:lvl>
    <w:lvl w:ilvl="4" w:tplc="08090019" w:tentative="1">
      <w:start w:val="1"/>
      <w:numFmt w:val="lowerLetter"/>
      <w:lvlText w:val="%5."/>
      <w:lvlJc w:val="left"/>
      <w:pPr>
        <w:tabs>
          <w:tab w:val="num" w:pos="3810"/>
        </w:tabs>
        <w:ind w:left="3810" w:hanging="360"/>
      </w:pPr>
      <w:rPr>
        <w:rFonts w:cs="Times New Roman"/>
      </w:rPr>
    </w:lvl>
    <w:lvl w:ilvl="5" w:tplc="0809001B" w:tentative="1">
      <w:start w:val="1"/>
      <w:numFmt w:val="lowerRoman"/>
      <w:lvlText w:val="%6."/>
      <w:lvlJc w:val="right"/>
      <w:pPr>
        <w:tabs>
          <w:tab w:val="num" w:pos="4530"/>
        </w:tabs>
        <w:ind w:left="4530" w:hanging="180"/>
      </w:pPr>
      <w:rPr>
        <w:rFonts w:cs="Times New Roman"/>
      </w:rPr>
    </w:lvl>
    <w:lvl w:ilvl="6" w:tplc="0809000F" w:tentative="1">
      <w:start w:val="1"/>
      <w:numFmt w:val="decimal"/>
      <w:lvlText w:val="%7."/>
      <w:lvlJc w:val="left"/>
      <w:pPr>
        <w:tabs>
          <w:tab w:val="num" w:pos="5250"/>
        </w:tabs>
        <w:ind w:left="5250" w:hanging="360"/>
      </w:pPr>
      <w:rPr>
        <w:rFonts w:cs="Times New Roman"/>
      </w:rPr>
    </w:lvl>
    <w:lvl w:ilvl="7" w:tplc="08090019" w:tentative="1">
      <w:start w:val="1"/>
      <w:numFmt w:val="lowerLetter"/>
      <w:lvlText w:val="%8."/>
      <w:lvlJc w:val="left"/>
      <w:pPr>
        <w:tabs>
          <w:tab w:val="num" w:pos="5970"/>
        </w:tabs>
        <w:ind w:left="5970" w:hanging="360"/>
      </w:pPr>
      <w:rPr>
        <w:rFonts w:cs="Times New Roman"/>
      </w:rPr>
    </w:lvl>
    <w:lvl w:ilvl="8" w:tplc="0809001B" w:tentative="1">
      <w:start w:val="1"/>
      <w:numFmt w:val="lowerRoman"/>
      <w:lvlText w:val="%9."/>
      <w:lvlJc w:val="right"/>
      <w:pPr>
        <w:tabs>
          <w:tab w:val="num" w:pos="6690"/>
        </w:tabs>
        <w:ind w:left="6690" w:hanging="180"/>
      </w:pPr>
      <w:rPr>
        <w:rFonts w:cs="Times New Roman"/>
      </w:rPr>
    </w:lvl>
  </w:abstractNum>
  <w:abstractNum w:abstractNumId="4" w15:restartNumberingAfterBreak="0">
    <w:nsid w:val="5CB677A5"/>
    <w:multiLevelType w:val="multilevel"/>
    <w:tmpl w:val="AD2054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8E72CC"/>
    <w:multiLevelType w:val="hybridMultilevel"/>
    <w:tmpl w:val="C29084B6"/>
    <w:lvl w:ilvl="0" w:tplc="1F323F60">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6" w15:restartNumberingAfterBreak="0">
    <w:nsid w:val="781E593A"/>
    <w:multiLevelType w:val="hybridMultilevel"/>
    <w:tmpl w:val="CCDC9F84"/>
    <w:lvl w:ilvl="0" w:tplc="D8CEEF16">
      <w:start w:val="1"/>
      <w:numFmt w:val="decimal"/>
      <w:lvlText w:val="%1."/>
      <w:lvlJc w:val="left"/>
      <w:pPr>
        <w:tabs>
          <w:tab w:val="num" w:pos="750"/>
        </w:tabs>
        <w:ind w:left="750" w:hanging="570"/>
      </w:pPr>
      <w:rPr>
        <w:rFonts w:cs="Times New Roman" w:hint="default"/>
      </w:rPr>
    </w:lvl>
    <w:lvl w:ilvl="1" w:tplc="08090019">
      <w:start w:val="1"/>
      <w:numFmt w:val="lowerLetter"/>
      <w:lvlText w:val="%2."/>
      <w:lvlJc w:val="left"/>
      <w:pPr>
        <w:tabs>
          <w:tab w:val="num" w:pos="1260"/>
        </w:tabs>
        <w:ind w:left="1260" w:hanging="360"/>
      </w:pPr>
      <w:rPr>
        <w:rFonts w:cs="Times New Roman"/>
      </w:rPr>
    </w:lvl>
    <w:lvl w:ilvl="2" w:tplc="0809001B" w:tentative="1">
      <w:start w:val="1"/>
      <w:numFmt w:val="lowerRoman"/>
      <w:lvlText w:val="%3."/>
      <w:lvlJc w:val="right"/>
      <w:pPr>
        <w:tabs>
          <w:tab w:val="num" w:pos="1980"/>
        </w:tabs>
        <w:ind w:left="1980" w:hanging="180"/>
      </w:pPr>
      <w:rPr>
        <w:rFonts w:cs="Times New Roman"/>
      </w:rPr>
    </w:lvl>
    <w:lvl w:ilvl="3" w:tplc="0809000F" w:tentative="1">
      <w:start w:val="1"/>
      <w:numFmt w:val="decimal"/>
      <w:lvlText w:val="%4."/>
      <w:lvlJc w:val="left"/>
      <w:pPr>
        <w:tabs>
          <w:tab w:val="num" w:pos="2700"/>
        </w:tabs>
        <w:ind w:left="2700" w:hanging="360"/>
      </w:pPr>
      <w:rPr>
        <w:rFonts w:cs="Times New Roman"/>
      </w:rPr>
    </w:lvl>
    <w:lvl w:ilvl="4" w:tplc="08090019" w:tentative="1">
      <w:start w:val="1"/>
      <w:numFmt w:val="lowerLetter"/>
      <w:lvlText w:val="%5."/>
      <w:lvlJc w:val="left"/>
      <w:pPr>
        <w:tabs>
          <w:tab w:val="num" w:pos="3420"/>
        </w:tabs>
        <w:ind w:left="3420" w:hanging="360"/>
      </w:pPr>
      <w:rPr>
        <w:rFonts w:cs="Times New Roman"/>
      </w:rPr>
    </w:lvl>
    <w:lvl w:ilvl="5" w:tplc="0809001B" w:tentative="1">
      <w:start w:val="1"/>
      <w:numFmt w:val="lowerRoman"/>
      <w:lvlText w:val="%6."/>
      <w:lvlJc w:val="right"/>
      <w:pPr>
        <w:tabs>
          <w:tab w:val="num" w:pos="4140"/>
        </w:tabs>
        <w:ind w:left="4140" w:hanging="180"/>
      </w:pPr>
      <w:rPr>
        <w:rFonts w:cs="Times New Roman"/>
      </w:rPr>
    </w:lvl>
    <w:lvl w:ilvl="6" w:tplc="0809000F" w:tentative="1">
      <w:start w:val="1"/>
      <w:numFmt w:val="decimal"/>
      <w:lvlText w:val="%7."/>
      <w:lvlJc w:val="left"/>
      <w:pPr>
        <w:tabs>
          <w:tab w:val="num" w:pos="4860"/>
        </w:tabs>
        <w:ind w:left="4860" w:hanging="360"/>
      </w:pPr>
      <w:rPr>
        <w:rFonts w:cs="Times New Roman"/>
      </w:rPr>
    </w:lvl>
    <w:lvl w:ilvl="7" w:tplc="08090019" w:tentative="1">
      <w:start w:val="1"/>
      <w:numFmt w:val="lowerLetter"/>
      <w:lvlText w:val="%8."/>
      <w:lvlJc w:val="left"/>
      <w:pPr>
        <w:tabs>
          <w:tab w:val="num" w:pos="5580"/>
        </w:tabs>
        <w:ind w:left="5580" w:hanging="360"/>
      </w:pPr>
      <w:rPr>
        <w:rFonts w:cs="Times New Roman"/>
      </w:rPr>
    </w:lvl>
    <w:lvl w:ilvl="8" w:tplc="0809001B" w:tentative="1">
      <w:start w:val="1"/>
      <w:numFmt w:val="lowerRoman"/>
      <w:lvlText w:val="%9."/>
      <w:lvlJc w:val="right"/>
      <w:pPr>
        <w:tabs>
          <w:tab w:val="num" w:pos="6300"/>
        </w:tabs>
        <w:ind w:left="6300" w:hanging="180"/>
      </w:pPr>
      <w:rPr>
        <w:rFonts w:cs="Times New Roman"/>
      </w:rPr>
    </w:lvl>
  </w:abstractNum>
  <w:abstractNum w:abstractNumId="7" w15:restartNumberingAfterBreak="0">
    <w:nsid w:val="7F715898"/>
    <w:multiLevelType w:val="multilevel"/>
    <w:tmpl w:val="1E3417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360"/>
        </w:tabs>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
  </w:num>
  <w:num w:numId="4">
    <w:abstractNumId w:val="0"/>
  </w:num>
  <w:num w:numId="5">
    <w:abstractNumId w:val="5"/>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704"/>
    <w:rsid w:val="00000621"/>
    <w:rsid w:val="000012A0"/>
    <w:rsid w:val="00002FE6"/>
    <w:rsid w:val="000036C2"/>
    <w:rsid w:val="000036E5"/>
    <w:rsid w:val="00003F8A"/>
    <w:rsid w:val="00005C5B"/>
    <w:rsid w:val="00011C5D"/>
    <w:rsid w:val="00013EFF"/>
    <w:rsid w:val="00014893"/>
    <w:rsid w:val="00016BC5"/>
    <w:rsid w:val="00025E48"/>
    <w:rsid w:val="00026E39"/>
    <w:rsid w:val="00033D3D"/>
    <w:rsid w:val="0003581A"/>
    <w:rsid w:val="0003772C"/>
    <w:rsid w:val="00040A6C"/>
    <w:rsid w:val="000428C0"/>
    <w:rsid w:val="00045E7E"/>
    <w:rsid w:val="00046575"/>
    <w:rsid w:val="00052233"/>
    <w:rsid w:val="00062F02"/>
    <w:rsid w:val="00071A7E"/>
    <w:rsid w:val="000746C0"/>
    <w:rsid w:val="0007473F"/>
    <w:rsid w:val="000747FB"/>
    <w:rsid w:val="00074D1D"/>
    <w:rsid w:val="00081F3E"/>
    <w:rsid w:val="00087721"/>
    <w:rsid w:val="00092429"/>
    <w:rsid w:val="00092551"/>
    <w:rsid w:val="00092580"/>
    <w:rsid w:val="00093D4D"/>
    <w:rsid w:val="000A3D14"/>
    <w:rsid w:val="000A3F67"/>
    <w:rsid w:val="000A5B67"/>
    <w:rsid w:val="000B024E"/>
    <w:rsid w:val="000B0381"/>
    <w:rsid w:val="000B24F7"/>
    <w:rsid w:val="000B51C2"/>
    <w:rsid w:val="000B5402"/>
    <w:rsid w:val="000B6640"/>
    <w:rsid w:val="000C00D4"/>
    <w:rsid w:val="000C2CDE"/>
    <w:rsid w:val="000C3CB0"/>
    <w:rsid w:val="000C4CC2"/>
    <w:rsid w:val="000D4BC9"/>
    <w:rsid w:val="000D5D94"/>
    <w:rsid w:val="000E101D"/>
    <w:rsid w:val="000E109D"/>
    <w:rsid w:val="000E3A77"/>
    <w:rsid w:val="000F1A0E"/>
    <w:rsid w:val="0010028C"/>
    <w:rsid w:val="00100617"/>
    <w:rsid w:val="001069F9"/>
    <w:rsid w:val="00106C24"/>
    <w:rsid w:val="001107AD"/>
    <w:rsid w:val="00111206"/>
    <w:rsid w:val="00111800"/>
    <w:rsid w:val="0011268F"/>
    <w:rsid w:val="0011302C"/>
    <w:rsid w:val="00114C50"/>
    <w:rsid w:val="001165A7"/>
    <w:rsid w:val="00117AF7"/>
    <w:rsid w:val="001207DF"/>
    <w:rsid w:val="00120A12"/>
    <w:rsid w:val="00121A51"/>
    <w:rsid w:val="001222AE"/>
    <w:rsid w:val="00124BCD"/>
    <w:rsid w:val="00125B37"/>
    <w:rsid w:val="001263DC"/>
    <w:rsid w:val="0012789B"/>
    <w:rsid w:val="00133911"/>
    <w:rsid w:val="00135190"/>
    <w:rsid w:val="001430C7"/>
    <w:rsid w:val="00144A8F"/>
    <w:rsid w:val="0014653D"/>
    <w:rsid w:val="00151509"/>
    <w:rsid w:val="001521D5"/>
    <w:rsid w:val="00161D7A"/>
    <w:rsid w:val="00162CB6"/>
    <w:rsid w:val="00166E37"/>
    <w:rsid w:val="00167D3A"/>
    <w:rsid w:val="00173946"/>
    <w:rsid w:val="00174D95"/>
    <w:rsid w:val="00176B08"/>
    <w:rsid w:val="00183704"/>
    <w:rsid w:val="001971C8"/>
    <w:rsid w:val="001A19A9"/>
    <w:rsid w:val="001A2558"/>
    <w:rsid w:val="001A3082"/>
    <w:rsid w:val="001B091F"/>
    <w:rsid w:val="001B186A"/>
    <w:rsid w:val="001B2F75"/>
    <w:rsid w:val="001B5021"/>
    <w:rsid w:val="001B6A67"/>
    <w:rsid w:val="001B768F"/>
    <w:rsid w:val="001C5143"/>
    <w:rsid w:val="001F245E"/>
    <w:rsid w:val="001F2716"/>
    <w:rsid w:val="00200BD4"/>
    <w:rsid w:val="00203467"/>
    <w:rsid w:val="002035ED"/>
    <w:rsid w:val="00206D4A"/>
    <w:rsid w:val="00207617"/>
    <w:rsid w:val="0021618E"/>
    <w:rsid w:val="002165E3"/>
    <w:rsid w:val="00217865"/>
    <w:rsid w:val="00224D49"/>
    <w:rsid w:val="0023134B"/>
    <w:rsid w:val="00234FD6"/>
    <w:rsid w:val="002367B0"/>
    <w:rsid w:val="00236A9B"/>
    <w:rsid w:val="002376E5"/>
    <w:rsid w:val="00243EF7"/>
    <w:rsid w:val="00251979"/>
    <w:rsid w:val="00251A86"/>
    <w:rsid w:val="00253110"/>
    <w:rsid w:val="00253D70"/>
    <w:rsid w:val="002540F1"/>
    <w:rsid w:val="00254DBC"/>
    <w:rsid w:val="00256EEF"/>
    <w:rsid w:val="002630D9"/>
    <w:rsid w:val="00264D85"/>
    <w:rsid w:val="00266099"/>
    <w:rsid w:val="00267EBB"/>
    <w:rsid w:val="00271A88"/>
    <w:rsid w:val="002809C0"/>
    <w:rsid w:val="00283659"/>
    <w:rsid w:val="00287C9C"/>
    <w:rsid w:val="002946D1"/>
    <w:rsid w:val="002A5013"/>
    <w:rsid w:val="002A78E2"/>
    <w:rsid w:val="002B144D"/>
    <w:rsid w:val="002B342D"/>
    <w:rsid w:val="002C6BD4"/>
    <w:rsid w:val="002D083B"/>
    <w:rsid w:val="002D0E6D"/>
    <w:rsid w:val="002D56FD"/>
    <w:rsid w:val="002D68BF"/>
    <w:rsid w:val="002D6C34"/>
    <w:rsid w:val="002E7EA9"/>
    <w:rsid w:val="002F0F14"/>
    <w:rsid w:val="002F3955"/>
    <w:rsid w:val="002F6B98"/>
    <w:rsid w:val="002F7BBB"/>
    <w:rsid w:val="00300D36"/>
    <w:rsid w:val="00300EFA"/>
    <w:rsid w:val="00303BAF"/>
    <w:rsid w:val="00321375"/>
    <w:rsid w:val="00322667"/>
    <w:rsid w:val="003257CA"/>
    <w:rsid w:val="003343B2"/>
    <w:rsid w:val="00334F0C"/>
    <w:rsid w:val="00335737"/>
    <w:rsid w:val="00336CBF"/>
    <w:rsid w:val="00343FE3"/>
    <w:rsid w:val="0034796B"/>
    <w:rsid w:val="00353B0E"/>
    <w:rsid w:val="003546C8"/>
    <w:rsid w:val="003625B3"/>
    <w:rsid w:val="003626A1"/>
    <w:rsid w:val="00363410"/>
    <w:rsid w:val="00364F8E"/>
    <w:rsid w:val="0037519F"/>
    <w:rsid w:val="00376618"/>
    <w:rsid w:val="00376763"/>
    <w:rsid w:val="00384748"/>
    <w:rsid w:val="003863F7"/>
    <w:rsid w:val="00390A01"/>
    <w:rsid w:val="00394E67"/>
    <w:rsid w:val="00395C30"/>
    <w:rsid w:val="003A0375"/>
    <w:rsid w:val="003A7CF2"/>
    <w:rsid w:val="003B66B6"/>
    <w:rsid w:val="003C01BE"/>
    <w:rsid w:val="003C11AC"/>
    <w:rsid w:val="003C5CE5"/>
    <w:rsid w:val="003D3F1E"/>
    <w:rsid w:val="003D44E2"/>
    <w:rsid w:val="003D461D"/>
    <w:rsid w:val="003D549E"/>
    <w:rsid w:val="003E015F"/>
    <w:rsid w:val="003E267B"/>
    <w:rsid w:val="003E3C30"/>
    <w:rsid w:val="003E7CC8"/>
    <w:rsid w:val="003E7CD1"/>
    <w:rsid w:val="003F4C61"/>
    <w:rsid w:val="00401DA1"/>
    <w:rsid w:val="00402B9E"/>
    <w:rsid w:val="00404B61"/>
    <w:rsid w:val="00415CC5"/>
    <w:rsid w:val="00420216"/>
    <w:rsid w:val="00424168"/>
    <w:rsid w:val="004249CB"/>
    <w:rsid w:val="00431935"/>
    <w:rsid w:val="00433ABB"/>
    <w:rsid w:val="0044127D"/>
    <w:rsid w:val="00443BB9"/>
    <w:rsid w:val="00444316"/>
    <w:rsid w:val="004448DB"/>
    <w:rsid w:val="004458F2"/>
    <w:rsid w:val="00446305"/>
    <w:rsid w:val="00446C9A"/>
    <w:rsid w:val="00447988"/>
    <w:rsid w:val="00451B2C"/>
    <w:rsid w:val="00451D01"/>
    <w:rsid w:val="00452F2B"/>
    <w:rsid w:val="0045568B"/>
    <w:rsid w:val="0046060F"/>
    <w:rsid w:val="00461072"/>
    <w:rsid w:val="00464DE1"/>
    <w:rsid w:val="004672C1"/>
    <w:rsid w:val="00471E3C"/>
    <w:rsid w:val="00473BE7"/>
    <w:rsid w:val="00477193"/>
    <w:rsid w:val="00484940"/>
    <w:rsid w:val="00486AF4"/>
    <w:rsid w:val="004931D1"/>
    <w:rsid w:val="004A00B4"/>
    <w:rsid w:val="004A1848"/>
    <w:rsid w:val="004A1985"/>
    <w:rsid w:val="004A34EE"/>
    <w:rsid w:val="004A4385"/>
    <w:rsid w:val="004A6F4A"/>
    <w:rsid w:val="004B2449"/>
    <w:rsid w:val="004B5275"/>
    <w:rsid w:val="004B66BF"/>
    <w:rsid w:val="004B7E8C"/>
    <w:rsid w:val="004C0AB4"/>
    <w:rsid w:val="004C1D93"/>
    <w:rsid w:val="004C5D11"/>
    <w:rsid w:val="004C6EC3"/>
    <w:rsid w:val="004E1E3A"/>
    <w:rsid w:val="004E2190"/>
    <w:rsid w:val="004E4717"/>
    <w:rsid w:val="004F3592"/>
    <w:rsid w:val="004F55F8"/>
    <w:rsid w:val="004F672C"/>
    <w:rsid w:val="004F74EC"/>
    <w:rsid w:val="005016E0"/>
    <w:rsid w:val="0050334D"/>
    <w:rsid w:val="0050388A"/>
    <w:rsid w:val="00507FEC"/>
    <w:rsid w:val="00510339"/>
    <w:rsid w:val="00510F0E"/>
    <w:rsid w:val="00511050"/>
    <w:rsid w:val="0051653A"/>
    <w:rsid w:val="00516A49"/>
    <w:rsid w:val="005171BD"/>
    <w:rsid w:val="005256BD"/>
    <w:rsid w:val="00536F43"/>
    <w:rsid w:val="00537E50"/>
    <w:rsid w:val="005420FD"/>
    <w:rsid w:val="00543C6E"/>
    <w:rsid w:val="00543D39"/>
    <w:rsid w:val="00547222"/>
    <w:rsid w:val="005473D4"/>
    <w:rsid w:val="005479E1"/>
    <w:rsid w:val="00553E0A"/>
    <w:rsid w:val="00556B0D"/>
    <w:rsid w:val="005570FD"/>
    <w:rsid w:val="005575EA"/>
    <w:rsid w:val="005611D9"/>
    <w:rsid w:val="005630AD"/>
    <w:rsid w:val="0056365B"/>
    <w:rsid w:val="00565359"/>
    <w:rsid w:val="005653A9"/>
    <w:rsid w:val="005661A7"/>
    <w:rsid w:val="0056624B"/>
    <w:rsid w:val="00571979"/>
    <w:rsid w:val="0057790C"/>
    <w:rsid w:val="00590558"/>
    <w:rsid w:val="00591941"/>
    <w:rsid w:val="00593795"/>
    <w:rsid w:val="00595102"/>
    <w:rsid w:val="00596130"/>
    <w:rsid w:val="005A11EA"/>
    <w:rsid w:val="005A6895"/>
    <w:rsid w:val="005A75FF"/>
    <w:rsid w:val="005B7413"/>
    <w:rsid w:val="005C2B9C"/>
    <w:rsid w:val="005C720F"/>
    <w:rsid w:val="005D0062"/>
    <w:rsid w:val="005D10AB"/>
    <w:rsid w:val="005D603D"/>
    <w:rsid w:val="005E34E2"/>
    <w:rsid w:val="005E3B61"/>
    <w:rsid w:val="005F3EB4"/>
    <w:rsid w:val="005F7557"/>
    <w:rsid w:val="00601D8F"/>
    <w:rsid w:val="00602C67"/>
    <w:rsid w:val="00602FB3"/>
    <w:rsid w:val="0060435A"/>
    <w:rsid w:val="00604A30"/>
    <w:rsid w:val="00606611"/>
    <w:rsid w:val="00610B20"/>
    <w:rsid w:val="0062078F"/>
    <w:rsid w:val="00621D2B"/>
    <w:rsid w:val="00627B05"/>
    <w:rsid w:val="0063325D"/>
    <w:rsid w:val="00636BB7"/>
    <w:rsid w:val="006408F7"/>
    <w:rsid w:val="00643D0C"/>
    <w:rsid w:val="00643F31"/>
    <w:rsid w:val="00646D54"/>
    <w:rsid w:val="006479DD"/>
    <w:rsid w:val="00652381"/>
    <w:rsid w:val="00653E97"/>
    <w:rsid w:val="006705BC"/>
    <w:rsid w:val="00672884"/>
    <w:rsid w:val="00681052"/>
    <w:rsid w:val="00684A74"/>
    <w:rsid w:val="0068698E"/>
    <w:rsid w:val="0068707D"/>
    <w:rsid w:val="00690B8A"/>
    <w:rsid w:val="00693BA8"/>
    <w:rsid w:val="006B2C82"/>
    <w:rsid w:val="006B3E15"/>
    <w:rsid w:val="006C00E3"/>
    <w:rsid w:val="006C0A52"/>
    <w:rsid w:val="006C2275"/>
    <w:rsid w:val="006C5055"/>
    <w:rsid w:val="006C7066"/>
    <w:rsid w:val="006D091B"/>
    <w:rsid w:val="006E47C4"/>
    <w:rsid w:val="006E714D"/>
    <w:rsid w:val="006F2CF1"/>
    <w:rsid w:val="006F73F1"/>
    <w:rsid w:val="00701A03"/>
    <w:rsid w:val="00702792"/>
    <w:rsid w:val="00702B91"/>
    <w:rsid w:val="00703184"/>
    <w:rsid w:val="007038ED"/>
    <w:rsid w:val="00703BC3"/>
    <w:rsid w:val="00704B61"/>
    <w:rsid w:val="00705AFB"/>
    <w:rsid w:val="0072305A"/>
    <w:rsid w:val="00724968"/>
    <w:rsid w:val="00725575"/>
    <w:rsid w:val="007276FF"/>
    <w:rsid w:val="007326A3"/>
    <w:rsid w:val="00744073"/>
    <w:rsid w:val="00745C27"/>
    <w:rsid w:val="00747519"/>
    <w:rsid w:val="007552A9"/>
    <w:rsid w:val="00761858"/>
    <w:rsid w:val="00767019"/>
    <w:rsid w:val="00767D59"/>
    <w:rsid w:val="00772B71"/>
    <w:rsid w:val="007736D2"/>
    <w:rsid w:val="00776E97"/>
    <w:rsid w:val="00780F86"/>
    <w:rsid w:val="00782593"/>
    <w:rsid w:val="007827A0"/>
    <w:rsid w:val="00787AC3"/>
    <w:rsid w:val="007912AD"/>
    <w:rsid w:val="0079216A"/>
    <w:rsid w:val="007A0794"/>
    <w:rsid w:val="007A100A"/>
    <w:rsid w:val="007A5C26"/>
    <w:rsid w:val="007B0824"/>
    <w:rsid w:val="007B0DDF"/>
    <w:rsid w:val="007B2BD6"/>
    <w:rsid w:val="007B4374"/>
    <w:rsid w:val="007B5330"/>
    <w:rsid w:val="007B5D3C"/>
    <w:rsid w:val="007C0095"/>
    <w:rsid w:val="007C6FA5"/>
    <w:rsid w:val="007D4375"/>
    <w:rsid w:val="007D63FF"/>
    <w:rsid w:val="007E2895"/>
    <w:rsid w:val="007F2534"/>
    <w:rsid w:val="007F339D"/>
    <w:rsid w:val="00804815"/>
    <w:rsid w:val="00806A73"/>
    <w:rsid w:val="0080713D"/>
    <w:rsid w:val="008130CE"/>
    <w:rsid w:val="00813153"/>
    <w:rsid w:val="00821B72"/>
    <w:rsid w:val="00823EF2"/>
    <w:rsid w:val="00826B2A"/>
    <w:rsid w:val="00827025"/>
    <w:rsid w:val="00827B41"/>
    <w:rsid w:val="008303B8"/>
    <w:rsid w:val="00830810"/>
    <w:rsid w:val="00831918"/>
    <w:rsid w:val="00831E27"/>
    <w:rsid w:val="00833D8D"/>
    <w:rsid w:val="00833DCE"/>
    <w:rsid w:val="00841072"/>
    <w:rsid w:val="00845101"/>
    <w:rsid w:val="00847259"/>
    <w:rsid w:val="008478F6"/>
    <w:rsid w:val="008516F1"/>
    <w:rsid w:val="008537F9"/>
    <w:rsid w:val="00854534"/>
    <w:rsid w:val="00854894"/>
    <w:rsid w:val="008566D0"/>
    <w:rsid w:val="0086738E"/>
    <w:rsid w:val="00871063"/>
    <w:rsid w:val="00871D34"/>
    <w:rsid w:val="00874D45"/>
    <w:rsid w:val="0087528C"/>
    <w:rsid w:val="00877198"/>
    <w:rsid w:val="00881860"/>
    <w:rsid w:val="00883306"/>
    <w:rsid w:val="00891016"/>
    <w:rsid w:val="0089348F"/>
    <w:rsid w:val="00897C8C"/>
    <w:rsid w:val="008A2695"/>
    <w:rsid w:val="008A7E3E"/>
    <w:rsid w:val="008B270C"/>
    <w:rsid w:val="008B2F0F"/>
    <w:rsid w:val="008B5078"/>
    <w:rsid w:val="008C12BC"/>
    <w:rsid w:val="008C3D3D"/>
    <w:rsid w:val="008D1135"/>
    <w:rsid w:val="008D4131"/>
    <w:rsid w:val="008E0286"/>
    <w:rsid w:val="008E7B93"/>
    <w:rsid w:val="008F1932"/>
    <w:rsid w:val="008F1BDC"/>
    <w:rsid w:val="008F48D0"/>
    <w:rsid w:val="008F4C67"/>
    <w:rsid w:val="008F6C0F"/>
    <w:rsid w:val="00901A46"/>
    <w:rsid w:val="00920EC0"/>
    <w:rsid w:val="00921062"/>
    <w:rsid w:val="00921E1F"/>
    <w:rsid w:val="00922444"/>
    <w:rsid w:val="009239B0"/>
    <w:rsid w:val="00924D93"/>
    <w:rsid w:val="009276B8"/>
    <w:rsid w:val="00947565"/>
    <w:rsid w:val="00950F7D"/>
    <w:rsid w:val="009530C8"/>
    <w:rsid w:val="00953E15"/>
    <w:rsid w:val="00956C43"/>
    <w:rsid w:val="009604E6"/>
    <w:rsid w:val="00961434"/>
    <w:rsid w:val="009617A1"/>
    <w:rsid w:val="00963E6D"/>
    <w:rsid w:val="00963ED3"/>
    <w:rsid w:val="00963F7F"/>
    <w:rsid w:val="00965C3E"/>
    <w:rsid w:val="009722BC"/>
    <w:rsid w:val="009727A3"/>
    <w:rsid w:val="00974225"/>
    <w:rsid w:val="009771B1"/>
    <w:rsid w:val="00980665"/>
    <w:rsid w:val="00984B68"/>
    <w:rsid w:val="00984E64"/>
    <w:rsid w:val="00987774"/>
    <w:rsid w:val="0099516E"/>
    <w:rsid w:val="009A11E8"/>
    <w:rsid w:val="009A244B"/>
    <w:rsid w:val="009A6060"/>
    <w:rsid w:val="009B0A37"/>
    <w:rsid w:val="009B443B"/>
    <w:rsid w:val="009B7433"/>
    <w:rsid w:val="009C0687"/>
    <w:rsid w:val="009D1EA3"/>
    <w:rsid w:val="009D341B"/>
    <w:rsid w:val="009E7D56"/>
    <w:rsid w:val="009F45F1"/>
    <w:rsid w:val="009F5220"/>
    <w:rsid w:val="009F6F01"/>
    <w:rsid w:val="009F7540"/>
    <w:rsid w:val="00A0236C"/>
    <w:rsid w:val="00A11735"/>
    <w:rsid w:val="00A11B3C"/>
    <w:rsid w:val="00A13119"/>
    <w:rsid w:val="00A15234"/>
    <w:rsid w:val="00A201AB"/>
    <w:rsid w:val="00A25CF9"/>
    <w:rsid w:val="00A2642D"/>
    <w:rsid w:val="00A31C8B"/>
    <w:rsid w:val="00A32CD1"/>
    <w:rsid w:val="00A40BC5"/>
    <w:rsid w:val="00A46E02"/>
    <w:rsid w:val="00A509FA"/>
    <w:rsid w:val="00A53185"/>
    <w:rsid w:val="00A54BD6"/>
    <w:rsid w:val="00A564E3"/>
    <w:rsid w:val="00A575DA"/>
    <w:rsid w:val="00A57B5D"/>
    <w:rsid w:val="00A6017F"/>
    <w:rsid w:val="00A61FE2"/>
    <w:rsid w:val="00A6486B"/>
    <w:rsid w:val="00A659B5"/>
    <w:rsid w:val="00A6642A"/>
    <w:rsid w:val="00A743D3"/>
    <w:rsid w:val="00A759FF"/>
    <w:rsid w:val="00A75BCD"/>
    <w:rsid w:val="00A80595"/>
    <w:rsid w:val="00A82254"/>
    <w:rsid w:val="00A845DC"/>
    <w:rsid w:val="00A872EE"/>
    <w:rsid w:val="00A92942"/>
    <w:rsid w:val="00AA14AD"/>
    <w:rsid w:val="00AA557A"/>
    <w:rsid w:val="00AA708B"/>
    <w:rsid w:val="00AA77BE"/>
    <w:rsid w:val="00AB0C35"/>
    <w:rsid w:val="00AB20E4"/>
    <w:rsid w:val="00AC217A"/>
    <w:rsid w:val="00AC6BAA"/>
    <w:rsid w:val="00AC6CDD"/>
    <w:rsid w:val="00AD5231"/>
    <w:rsid w:val="00AD5B45"/>
    <w:rsid w:val="00AD7BB2"/>
    <w:rsid w:val="00AE1861"/>
    <w:rsid w:val="00AE47FD"/>
    <w:rsid w:val="00AE6DDE"/>
    <w:rsid w:val="00AE7D0A"/>
    <w:rsid w:val="00AE7D4D"/>
    <w:rsid w:val="00AF6109"/>
    <w:rsid w:val="00B03D62"/>
    <w:rsid w:val="00B04B47"/>
    <w:rsid w:val="00B04BD3"/>
    <w:rsid w:val="00B14A0F"/>
    <w:rsid w:val="00B14DB5"/>
    <w:rsid w:val="00B25CB9"/>
    <w:rsid w:val="00B26AA2"/>
    <w:rsid w:val="00B272A0"/>
    <w:rsid w:val="00B30647"/>
    <w:rsid w:val="00B3313B"/>
    <w:rsid w:val="00B34549"/>
    <w:rsid w:val="00B3524D"/>
    <w:rsid w:val="00B354CC"/>
    <w:rsid w:val="00B40F69"/>
    <w:rsid w:val="00B40FFF"/>
    <w:rsid w:val="00B46616"/>
    <w:rsid w:val="00B478BC"/>
    <w:rsid w:val="00B50946"/>
    <w:rsid w:val="00B515A8"/>
    <w:rsid w:val="00B5248D"/>
    <w:rsid w:val="00B601E0"/>
    <w:rsid w:val="00B62149"/>
    <w:rsid w:val="00B64E78"/>
    <w:rsid w:val="00B70215"/>
    <w:rsid w:val="00B7040A"/>
    <w:rsid w:val="00B73518"/>
    <w:rsid w:val="00B83391"/>
    <w:rsid w:val="00B84192"/>
    <w:rsid w:val="00B84A71"/>
    <w:rsid w:val="00B87C01"/>
    <w:rsid w:val="00B93154"/>
    <w:rsid w:val="00B95326"/>
    <w:rsid w:val="00B97CED"/>
    <w:rsid w:val="00BA295F"/>
    <w:rsid w:val="00BB5234"/>
    <w:rsid w:val="00BB7A60"/>
    <w:rsid w:val="00BB7C68"/>
    <w:rsid w:val="00BC042A"/>
    <w:rsid w:val="00BD4196"/>
    <w:rsid w:val="00BE0FBA"/>
    <w:rsid w:val="00BE10F9"/>
    <w:rsid w:val="00BE2D7D"/>
    <w:rsid w:val="00BE6E17"/>
    <w:rsid w:val="00BF023D"/>
    <w:rsid w:val="00BF21F8"/>
    <w:rsid w:val="00BF22CA"/>
    <w:rsid w:val="00BF23BB"/>
    <w:rsid w:val="00BF4F4A"/>
    <w:rsid w:val="00BF55CC"/>
    <w:rsid w:val="00BF5EFB"/>
    <w:rsid w:val="00BF66E5"/>
    <w:rsid w:val="00BF6E43"/>
    <w:rsid w:val="00C00C8D"/>
    <w:rsid w:val="00C027FD"/>
    <w:rsid w:val="00C06CD7"/>
    <w:rsid w:val="00C13AB5"/>
    <w:rsid w:val="00C15C10"/>
    <w:rsid w:val="00C1671B"/>
    <w:rsid w:val="00C17D15"/>
    <w:rsid w:val="00C222E1"/>
    <w:rsid w:val="00C26032"/>
    <w:rsid w:val="00C32F37"/>
    <w:rsid w:val="00C33454"/>
    <w:rsid w:val="00C345E1"/>
    <w:rsid w:val="00C355A8"/>
    <w:rsid w:val="00C43662"/>
    <w:rsid w:val="00C43BFD"/>
    <w:rsid w:val="00C53074"/>
    <w:rsid w:val="00C63FCE"/>
    <w:rsid w:val="00C64795"/>
    <w:rsid w:val="00C74B35"/>
    <w:rsid w:val="00C87A30"/>
    <w:rsid w:val="00C942F8"/>
    <w:rsid w:val="00C94635"/>
    <w:rsid w:val="00CA10DE"/>
    <w:rsid w:val="00CB4AB2"/>
    <w:rsid w:val="00CB5088"/>
    <w:rsid w:val="00CB575C"/>
    <w:rsid w:val="00CB5C75"/>
    <w:rsid w:val="00CB6CFF"/>
    <w:rsid w:val="00CB6E35"/>
    <w:rsid w:val="00CC295A"/>
    <w:rsid w:val="00CD3634"/>
    <w:rsid w:val="00CD3B1E"/>
    <w:rsid w:val="00CD3E3A"/>
    <w:rsid w:val="00CD58CE"/>
    <w:rsid w:val="00CD59AC"/>
    <w:rsid w:val="00CD643A"/>
    <w:rsid w:val="00CD7CCB"/>
    <w:rsid w:val="00CE1A46"/>
    <w:rsid w:val="00CE1B9B"/>
    <w:rsid w:val="00CE3602"/>
    <w:rsid w:val="00CE5824"/>
    <w:rsid w:val="00CF20B6"/>
    <w:rsid w:val="00CF7F35"/>
    <w:rsid w:val="00D01A25"/>
    <w:rsid w:val="00D02511"/>
    <w:rsid w:val="00D06C8C"/>
    <w:rsid w:val="00D11C22"/>
    <w:rsid w:val="00D17E9D"/>
    <w:rsid w:val="00D20757"/>
    <w:rsid w:val="00D22636"/>
    <w:rsid w:val="00D27055"/>
    <w:rsid w:val="00D33AF2"/>
    <w:rsid w:val="00D3569D"/>
    <w:rsid w:val="00D40687"/>
    <w:rsid w:val="00D40FD9"/>
    <w:rsid w:val="00D42BE3"/>
    <w:rsid w:val="00D45631"/>
    <w:rsid w:val="00D53769"/>
    <w:rsid w:val="00D558B3"/>
    <w:rsid w:val="00D56507"/>
    <w:rsid w:val="00D576FD"/>
    <w:rsid w:val="00D57890"/>
    <w:rsid w:val="00D57BA3"/>
    <w:rsid w:val="00D67C17"/>
    <w:rsid w:val="00D748ED"/>
    <w:rsid w:val="00D76EB4"/>
    <w:rsid w:val="00D80907"/>
    <w:rsid w:val="00D858C5"/>
    <w:rsid w:val="00D85C13"/>
    <w:rsid w:val="00D87AF7"/>
    <w:rsid w:val="00D9111A"/>
    <w:rsid w:val="00D91BE3"/>
    <w:rsid w:val="00D9291A"/>
    <w:rsid w:val="00D9445B"/>
    <w:rsid w:val="00D94AFC"/>
    <w:rsid w:val="00DA31CD"/>
    <w:rsid w:val="00DA7299"/>
    <w:rsid w:val="00DB032D"/>
    <w:rsid w:val="00DB0FA2"/>
    <w:rsid w:val="00DB2824"/>
    <w:rsid w:val="00DB4CF2"/>
    <w:rsid w:val="00DB6169"/>
    <w:rsid w:val="00DB70AE"/>
    <w:rsid w:val="00DC1BD4"/>
    <w:rsid w:val="00DC39E7"/>
    <w:rsid w:val="00DC6179"/>
    <w:rsid w:val="00DC719A"/>
    <w:rsid w:val="00DD1BBC"/>
    <w:rsid w:val="00DD228A"/>
    <w:rsid w:val="00DD4868"/>
    <w:rsid w:val="00DD5071"/>
    <w:rsid w:val="00DD5C39"/>
    <w:rsid w:val="00DE6345"/>
    <w:rsid w:val="00DE7DB7"/>
    <w:rsid w:val="00DF01B2"/>
    <w:rsid w:val="00DF09E9"/>
    <w:rsid w:val="00DF0EC0"/>
    <w:rsid w:val="00DF7CE2"/>
    <w:rsid w:val="00E00973"/>
    <w:rsid w:val="00E00A0A"/>
    <w:rsid w:val="00E03875"/>
    <w:rsid w:val="00E066DE"/>
    <w:rsid w:val="00E07F57"/>
    <w:rsid w:val="00E142AF"/>
    <w:rsid w:val="00E14C03"/>
    <w:rsid w:val="00E17463"/>
    <w:rsid w:val="00E17E24"/>
    <w:rsid w:val="00E25182"/>
    <w:rsid w:val="00E25D2E"/>
    <w:rsid w:val="00E30683"/>
    <w:rsid w:val="00E431DE"/>
    <w:rsid w:val="00E453D8"/>
    <w:rsid w:val="00E47401"/>
    <w:rsid w:val="00E50BCE"/>
    <w:rsid w:val="00E51F18"/>
    <w:rsid w:val="00E52B70"/>
    <w:rsid w:val="00E574BF"/>
    <w:rsid w:val="00E57959"/>
    <w:rsid w:val="00E61292"/>
    <w:rsid w:val="00E61AB9"/>
    <w:rsid w:val="00E6703A"/>
    <w:rsid w:val="00E67616"/>
    <w:rsid w:val="00E75E86"/>
    <w:rsid w:val="00E77C4D"/>
    <w:rsid w:val="00E81D01"/>
    <w:rsid w:val="00E83B41"/>
    <w:rsid w:val="00E841E4"/>
    <w:rsid w:val="00E845A5"/>
    <w:rsid w:val="00E848CE"/>
    <w:rsid w:val="00E85E57"/>
    <w:rsid w:val="00E95E09"/>
    <w:rsid w:val="00EA4A5B"/>
    <w:rsid w:val="00EA53CE"/>
    <w:rsid w:val="00EB1955"/>
    <w:rsid w:val="00EB5DB7"/>
    <w:rsid w:val="00EB5FC7"/>
    <w:rsid w:val="00EB71D2"/>
    <w:rsid w:val="00EB772A"/>
    <w:rsid w:val="00EC0100"/>
    <w:rsid w:val="00EC3926"/>
    <w:rsid w:val="00EC7B40"/>
    <w:rsid w:val="00ED345E"/>
    <w:rsid w:val="00ED4DFD"/>
    <w:rsid w:val="00ED5594"/>
    <w:rsid w:val="00ED56AC"/>
    <w:rsid w:val="00ED5C52"/>
    <w:rsid w:val="00ED7C65"/>
    <w:rsid w:val="00EE1E3E"/>
    <w:rsid w:val="00EE45D8"/>
    <w:rsid w:val="00EF488C"/>
    <w:rsid w:val="00EF49CF"/>
    <w:rsid w:val="00F040D9"/>
    <w:rsid w:val="00F115EC"/>
    <w:rsid w:val="00F15CE3"/>
    <w:rsid w:val="00F179F0"/>
    <w:rsid w:val="00F22EDA"/>
    <w:rsid w:val="00F246FD"/>
    <w:rsid w:val="00F279A2"/>
    <w:rsid w:val="00F301F6"/>
    <w:rsid w:val="00F34B59"/>
    <w:rsid w:val="00F41708"/>
    <w:rsid w:val="00F41E63"/>
    <w:rsid w:val="00F563E7"/>
    <w:rsid w:val="00F63267"/>
    <w:rsid w:val="00F729E6"/>
    <w:rsid w:val="00F74FA7"/>
    <w:rsid w:val="00F75D7A"/>
    <w:rsid w:val="00F760DA"/>
    <w:rsid w:val="00F84B01"/>
    <w:rsid w:val="00F85BA0"/>
    <w:rsid w:val="00F86A0A"/>
    <w:rsid w:val="00F97364"/>
    <w:rsid w:val="00FA040C"/>
    <w:rsid w:val="00FA1DB5"/>
    <w:rsid w:val="00FA2D5F"/>
    <w:rsid w:val="00FA608B"/>
    <w:rsid w:val="00FA6DBD"/>
    <w:rsid w:val="00FB05E3"/>
    <w:rsid w:val="00FB66A9"/>
    <w:rsid w:val="00FB6DB1"/>
    <w:rsid w:val="00FC244D"/>
    <w:rsid w:val="00FC4DDB"/>
    <w:rsid w:val="00FD3222"/>
    <w:rsid w:val="00FE20E0"/>
    <w:rsid w:val="00FE53D1"/>
    <w:rsid w:val="00FE7A43"/>
    <w:rsid w:val="00FF15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locked="1" w:semiHidden="1" w:uiPriority="0" w:unhideWhenUsed="1"/>
    <w:lsdException w:name="Balloon Text" w:semiHidden="1" w:unhideWhenUsed="1"/>
    <w:lsdException w:name="Table Grid" w:locked="1" w:uiPriority="0"/>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19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locked/>
    <w:rsid w:val="0087528C"/>
    <w:rPr>
      <w:rFonts w:cs="Times New Roman"/>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locked/>
    <w:rsid w:val="0087528C"/>
    <w:rPr>
      <w:rFonts w:cs="Times New Roman"/>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7528C"/>
    <w:rPr>
      <w:rFonts w:cs="Times New Roman"/>
      <w:sz w:val="2"/>
    </w:rPr>
  </w:style>
  <w:style w:type="character" w:styleId="Hyperlink">
    <w:name w:val="Hyperlink"/>
    <w:basedOn w:val="DefaultParagraphFont"/>
    <w:uiPriority w:val="99"/>
    <w:rsid w:val="00B95326"/>
    <w:rPr>
      <w:rFonts w:cs="Times New Roman"/>
      <w:color w:val="0000FF"/>
      <w:u w:val="single"/>
    </w:rPr>
  </w:style>
  <w:style w:type="character" w:customStyle="1" w:styleId="legds2">
    <w:name w:val="legds2"/>
    <w:basedOn w:val="DefaultParagraphFont"/>
    <w:uiPriority w:val="99"/>
    <w:rsid w:val="00E85E57"/>
    <w:rPr>
      <w:rFonts w:cs="Times New Roman"/>
    </w:rPr>
  </w:style>
  <w:style w:type="character" w:customStyle="1" w:styleId="legextentrestriction7">
    <w:name w:val="legextentrestriction7"/>
    <w:basedOn w:val="DefaultParagraphFont"/>
    <w:uiPriority w:val="99"/>
    <w:rsid w:val="00E85E57"/>
    <w:rPr>
      <w:rFonts w:cs="Times New Roman"/>
      <w:b/>
      <w:bCs/>
      <w:vanish/>
      <w:color w:val="FFFFFF"/>
      <w:sz w:val="22"/>
      <w:szCs w:val="22"/>
      <w:shd w:val="clear" w:color="auto" w:fill="660066"/>
    </w:rPr>
  </w:style>
  <w:style w:type="paragraph" w:customStyle="1" w:styleId="legclearfix2">
    <w:name w:val="legclearfix2"/>
    <w:basedOn w:val="Normal"/>
    <w:uiPriority w:val="99"/>
    <w:rsid w:val="00E85E57"/>
    <w:pPr>
      <w:shd w:val="clear" w:color="auto" w:fill="FFFFFF"/>
      <w:spacing w:after="120" w:line="360" w:lineRule="atLeast"/>
    </w:pPr>
    <w:rPr>
      <w:color w:val="000000"/>
      <w:sz w:val="19"/>
      <w:szCs w:val="19"/>
    </w:rPr>
  </w:style>
  <w:style w:type="paragraph" w:customStyle="1" w:styleId="legclearfix">
    <w:name w:val="legclearfix"/>
    <w:basedOn w:val="Normal"/>
    <w:rsid w:val="004A438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48272">
      <w:bodyDiv w:val="1"/>
      <w:marLeft w:val="0"/>
      <w:marRight w:val="0"/>
      <w:marTop w:val="0"/>
      <w:marBottom w:val="0"/>
      <w:divBdr>
        <w:top w:val="none" w:sz="0" w:space="0" w:color="auto"/>
        <w:left w:val="none" w:sz="0" w:space="0" w:color="auto"/>
        <w:bottom w:val="none" w:sz="0" w:space="0" w:color="auto"/>
        <w:right w:val="none" w:sz="0" w:space="0" w:color="auto"/>
      </w:divBdr>
    </w:div>
    <w:div w:id="250814891">
      <w:marLeft w:val="0"/>
      <w:marRight w:val="0"/>
      <w:marTop w:val="0"/>
      <w:marBottom w:val="0"/>
      <w:divBdr>
        <w:top w:val="none" w:sz="0" w:space="0" w:color="auto"/>
        <w:left w:val="none" w:sz="0" w:space="0" w:color="auto"/>
        <w:bottom w:val="none" w:sz="0" w:space="0" w:color="auto"/>
        <w:right w:val="none" w:sz="0" w:space="0" w:color="auto"/>
      </w:divBdr>
      <w:divsChild>
        <w:div w:id="250814897">
          <w:marLeft w:val="0"/>
          <w:marRight w:val="0"/>
          <w:marTop w:val="0"/>
          <w:marBottom w:val="0"/>
          <w:divBdr>
            <w:top w:val="none" w:sz="0" w:space="0" w:color="auto"/>
            <w:left w:val="none" w:sz="0" w:space="0" w:color="auto"/>
            <w:bottom w:val="none" w:sz="0" w:space="0" w:color="auto"/>
            <w:right w:val="none" w:sz="0" w:space="0" w:color="auto"/>
          </w:divBdr>
          <w:divsChild>
            <w:div w:id="250814898">
              <w:marLeft w:val="0"/>
              <w:marRight w:val="0"/>
              <w:marTop w:val="0"/>
              <w:marBottom w:val="0"/>
              <w:divBdr>
                <w:top w:val="single" w:sz="2" w:space="0" w:color="FFFFFF"/>
                <w:left w:val="single" w:sz="6" w:space="0" w:color="FFFFFF"/>
                <w:bottom w:val="single" w:sz="6" w:space="0" w:color="FFFFFF"/>
                <w:right w:val="single" w:sz="6" w:space="0" w:color="FFFFFF"/>
              </w:divBdr>
              <w:divsChild>
                <w:div w:id="250814899">
                  <w:marLeft w:val="0"/>
                  <w:marRight w:val="0"/>
                  <w:marTop w:val="0"/>
                  <w:marBottom w:val="0"/>
                  <w:divBdr>
                    <w:top w:val="single" w:sz="6" w:space="1" w:color="D3D3D3"/>
                    <w:left w:val="none" w:sz="0" w:space="0" w:color="auto"/>
                    <w:bottom w:val="none" w:sz="0" w:space="0" w:color="auto"/>
                    <w:right w:val="none" w:sz="0" w:space="0" w:color="auto"/>
                  </w:divBdr>
                  <w:divsChild>
                    <w:div w:id="2508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814893">
      <w:marLeft w:val="0"/>
      <w:marRight w:val="0"/>
      <w:marTop w:val="0"/>
      <w:marBottom w:val="0"/>
      <w:divBdr>
        <w:top w:val="none" w:sz="0" w:space="0" w:color="auto"/>
        <w:left w:val="none" w:sz="0" w:space="0" w:color="auto"/>
        <w:bottom w:val="none" w:sz="0" w:space="0" w:color="auto"/>
        <w:right w:val="none" w:sz="0" w:space="0" w:color="auto"/>
      </w:divBdr>
    </w:div>
    <w:div w:id="250814894">
      <w:marLeft w:val="0"/>
      <w:marRight w:val="0"/>
      <w:marTop w:val="0"/>
      <w:marBottom w:val="0"/>
      <w:divBdr>
        <w:top w:val="none" w:sz="0" w:space="0" w:color="auto"/>
        <w:left w:val="none" w:sz="0" w:space="0" w:color="auto"/>
        <w:bottom w:val="none" w:sz="0" w:space="0" w:color="auto"/>
        <w:right w:val="none" w:sz="0" w:space="0" w:color="auto"/>
      </w:divBdr>
    </w:div>
    <w:div w:id="250814895">
      <w:marLeft w:val="0"/>
      <w:marRight w:val="0"/>
      <w:marTop w:val="0"/>
      <w:marBottom w:val="0"/>
      <w:divBdr>
        <w:top w:val="none" w:sz="0" w:space="0" w:color="auto"/>
        <w:left w:val="none" w:sz="0" w:space="0" w:color="auto"/>
        <w:bottom w:val="none" w:sz="0" w:space="0" w:color="auto"/>
        <w:right w:val="none" w:sz="0" w:space="0" w:color="auto"/>
      </w:divBdr>
    </w:div>
    <w:div w:id="250814896">
      <w:marLeft w:val="0"/>
      <w:marRight w:val="0"/>
      <w:marTop w:val="0"/>
      <w:marBottom w:val="0"/>
      <w:divBdr>
        <w:top w:val="none" w:sz="0" w:space="0" w:color="auto"/>
        <w:left w:val="none" w:sz="0" w:space="0" w:color="auto"/>
        <w:bottom w:val="none" w:sz="0" w:space="0" w:color="auto"/>
        <w:right w:val="none" w:sz="0" w:space="0" w:color="auto"/>
      </w:divBdr>
    </w:div>
    <w:div w:id="946347707">
      <w:bodyDiv w:val="1"/>
      <w:marLeft w:val="0"/>
      <w:marRight w:val="0"/>
      <w:marTop w:val="0"/>
      <w:marBottom w:val="0"/>
      <w:divBdr>
        <w:top w:val="none" w:sz="0" w:space="0" w:color="auto"/>
        <w:left w:val="none" w:sz="0" w:space="0" w:color="auto"/>
        <w:bottom w:val="none" w:sz="0" w:space="0" w:color="auto"/>
        <w:right w:val="none" w:sz="0" w:space="0" w:color="auto"/>
      </w:divBdr>
    </w:div>
    <w:div w:id="201386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1167</Words>
  <Characters>6125</Characters>
  <Application>Microsoft Office Word</Application>
  <DocSecurity>0</DocSecurity>
  <Lines>51</Lines>
  <Paragraphs>14</Paragraphs>
  <ScaleCrop>false</ScaleCrop>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2018-09-27T10:51:00Z</dcterms:created>
  <dcterms:modified xsi:type="dcterms:W3CDTF">2018-09-27T10:51:00Z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