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BCE4" w14:textId="77777777" w:rsidR="008A6059" w:rsidRPr="009B7433" w:rsidRDefault="006C69E0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88B1113" wp14:editId="2A1AC3CB">
            <wp:extent cx="1041400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C748" w14:textId="65AD2CF4" w:rsidR="00D94AFC" w:rsidRDefault="00D94AFC">
      <w:pPr>
        <w:rPr>
          <w:rFonts w:ascii="Book Antiqua" w:hAnsi="Book Antiqua" w:cs="Arial"/>
          <w:sz w:val="16"/>
          <w:szCs w:val="16"/>
        </w:rPr>
      </w:pPr>
    </w:p>
    <w:p w14:paraId="061DEDBA" w14:textId="77777777" w:rsidR="008A6059" w:rsidRPr="009B7433" w:rsidRDefault="00ED0770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</w:p>
    <w:p w14:paraId="4535A082" w14:textId="77777777"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420968" w:rsidRPr="00F5664C">
        <w:rPr>
          <w:rFonts w:ascii="Book Antiqua" w:hAnsi="Book Antiqua" w:cs="Arial"/>
        </w:rPr>
        <w:t>Appeal Number</w:t>
      </w:r>
      <w:r w:rsidR="006C69E0">
        <w:rPr>
          <w:rFonts w:ascii="Book Antiqua" w:hAnsi="Book Antiqua" w:cs="Arial"/>
        </w:rPr>
        <w:t>s</w:t>
      </w:r>
      <w:r w:rsidR="00420968" w:rsidRPr="00F5664C">
        <w:rPr>
          <w:rFonts w:ascii="Book Antiqua" w:hAnsi="Book Antiqua" w:cs="Arial"/>
        </w:rPr>
        <w:t xml:space="preserve">: </w:t>
      </w:r>
      <w:r w:rsidR="006C69E0" w:rsidRPr="006C69E0">
        <w:rPr>
          <w:rFonts w:ascii="Book Antiqua" w:hAnsi="Book Antiqua" w:cs="Arial"/>
          <w:caps/>
        </w:rPr>
        <w:t>HU/06893/2017</w:t>
      </w:r>
    </w:p>
    <w:p w14:paraId="355B6DF3" w14:textId="77777777" w:rsidR="006C69E0" w:rsidRDefault="006C69E0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ab/>
      </w:r>
      <w:r w:rsidRPr="006C69E0">
        <w:rPr>
          <w:rFonts w:ascii="Book Antiqua" w:hAnsi="Book Antiqua" w:cs="Arial"/>
          <w:color w:val="000000"/>
        </w:rPr>
        <w:t>HU/06895/2017</w:t>
      </w:r>
    </w:p>
    <w:p w14:paraId="0F95CB23" w14:textId="5770C3BE" w:rsidR="00A94230" w:rsidRPr="009B7433" w:rsidRDefault="00A94230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ab/>
      </w:r>
    </w:p>
    <w:p w14:paraId="641D09AB" w14:textId="77777777"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4908CC86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719B0918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63B8C472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420968" w:rsidRPr="000363C4" w14:paraId="3C99D629" w14:textId="77777777" w:rsidTr="000363C4">
        <w:tc>
          <w:tcPr>
            <w:tcW w:w="6048" w:type="dxa"/>
            <w:shd w:val="clear" w:color="auto" w:fill="auto"/>
          </w:tcPr>
          <w:p w14:paraId="42552474" w14:textId="77777777" w:rsidR="00420968" w:rsidRPr="000363C4" w:rsidRDefault="00420968" w:rsidP="000363C4">
            <w:pPr>
              <w:jc w:val="both"/>
              <w:rPr>
                <w:rFonts w:ascii="Book Antiqua" w:hAnsi="Book Antiqua" w:cs="Arial"/>
                <w:b/>
              </w:rPr>
            </w:pPr>
            <w:r w:rsidRPr="000363C4">
              <w:rPr>
                <w:rFonts w:ascii="Book Antiqua" w:hAnsi="Book Antiqua" w:cs="Arial"/>
                <w:b/>
              </w:rPr>
              <w:t xml:space="preserve">Heard at </w:t>
            </w:r>
            <w:r w:rsidR="006C69E0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14:paraId="57644437" w14:textId="77777777" w:rsidR="00420968" w:rsidRPr="000363C4" w:rsidRDefault="00420968" w:rsidP="000363C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0363C4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420968" w:rsidRPr="000363C4" w14:paraId="49A382C2" w14:textId="77777777" w:rsidTr="000363C4">
        <w:tc>
          <w:tcPr>
            <w:tcW w:w="6048" w:type="dxa"/>
            <w:shd w:val="clear" w:color="auto" w:fill="auto"/>
          </w:tcPr>
          <w:p w14:paraId="74B9B71C" w14:textId="77777777" w:rsidR="00420968" w:rsidRPr="000363C4" w:rsidRDefault="00420968" w:rsidP="000363C4">
            <w:pPr>
              <w:jc w:val="both"/>
              <w:rPr>
                <w:rFonts w:ascii="Book Antiqua" w:hAnsi="Book Antiqua" w:cs="Arial"/>
                <w:b/>
              </w:rPr>
            </w:pPr>
            <w:r w:rsidRPr="000363C4">
              <w:rPr>
                <w:rFonts w:ascii="Book Antiqua" w:hAnsi="Book Antiqua" w:cs="Arial"/>
                <w:b/>
              </w:rPr>
              <w:t xml:space="preserve">On </w:t>
            </w:r>
            <w:r w:rsidR="006C69E0">
              <w:rPr>
                <w:rFonts w:ascii="Book Antiqua" w:hAnsi="Book Antiqua" w:cs="Arial"/>
                <w:b/>
              </w:rPr>
              <w:t>19 June 2018</w:t>
            </w:r>
          </w:p>
        </w:tc>
        <w:tc>
          <w:tcPr>
            <w:tcW w:w="3960" w:type="dxa"/>
            <w:shd w:val="clear" w:color="auto" w:fill="auto"/>
          </w:tcPr>
          <w:p w14:paraId="13B2B3AC" w14:textId="445AE051" w:rsidR="00420968" w:rsidRPr="000363C4" w:rsidRDefault="00BD6CC4" w:rsidP="000363C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28 June 2018 </w:t>
            </w:r>
          </w:p>
        </w:tc>
      </w:tr>
      <w:tr w:rsidR="00D22636" w:rsidRPr="000363C4" w14:paraId="25087546" w14:textId="77777777" w:rsidTr="000363C4">
        <w:tc>
          <w:tcPr>
            <w:tcW w:w="6048" w:type="dxa"/>
            <w:shd w:val="clear" w:color="auto" w:fill="auto"/>
          </w:tcPr>
          <w:p w14:paraId="20DC2BF0" w14:textId="77777777" w:rsidR="00D22636" w:rsidRPr="000363C4" w:rsidRDefault="00D22636" w:rsidP="000363C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398E5966" w14:textId="212D24F1" w:rsidR="00D22636" w:rsidRPr="000363C4" w:rsidRDefault="00D22636" w:rsidP="000363C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5087C264" w14:textId="77777777" w:rsidR="00A15234" w:rsidRPr="009B7433" w:rsidRDefault="00A15234" w:rsidP="00E4627B">
      <w:pPr>
        <w:rPr>
          <w:rFonts w:ascii="Book Antiqua" w:hAnsi="Book Antiqua" w:cs="Arial"/>
        </w:rPr>
      </w:pPr>
    </w:p>
    <w:p w14:paraId="03394681" w14:textId="77777777"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14:paraId="475283FA" w14:textId="77777777"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14:paraId="439DE1BE" w14:textId="77777777" w:rsidR="00C23DFC" w:rsidRPr="001C5703" w:rsidRDefault="00C23DFC" w:rsidP="00C23DFC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</w:t>
      </w:r>
      <w:r w:rsidR="00C50137">
        <w:rPr>
          <w:rFonts w:ascii="Book Antiqua" w:hAnsi="Book Antiqua" w:cs="Arial"/>
          <w:b/>
          <w:color w:val="000000"/>
        </w:rPr>
        <w:t>PUTY UPPER TRIBUNAL JUDGE HUTCHINSON</w:t>
      </w:r>
    </w:p>
    <w:p w14:paraId="1AEA114A" w14:textId="1A0A4CFD" w:rsidR="00D20757" w:rsidRDefault="00D20757" w:rsidP="00A15234">
      <w:pPr>
        <w:jc w:val="center"/>
        <w:rPr>
          <w:rFonts w:ascii="Book Antiqua" w:hAnsi="Book Antiqua" w:cs="Arial"/>
          <w:b/>
        </w:rPr>
      </w:pPr>
    </w:p>
    <w:p w14:paraId="18385676" w14:textId="77777777" w:rsidR="00544C38" w:rsidRPr="009B7433" w:rsidRDefault="00544C38" w:rsidP="00A15234">
      <w:pPr>
        <w:jc w:val="center"/>
        <w:rPr>
          <w:rFonts w:ascii="Book Antiqua" w:hAnsi="Book Antiqua" w:cs="Arial"/>
          <w:b/>
        </w:rPr>
      </w:pPr>
    </w:p>
    <w:p w14:paraId="20A60081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14:paraId="1B6E0652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14:paraId="66F526C4" w14:textId="77777777" w:rsidR="000239E1" w:rsidRDefault="006C69E0" w:rsidP="000239E1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Entry Clearance Officer</w:t>
      </w:r>
      <w:r w:rsidR="00EE1E17">
        <w:rPr>
          <w:rFonts w:ascii="Book Antiqua" w:hAnsi="Book Antiqua" w:cs="Arial"/>
          <w:b/>
          <w:caps/>
        </w:rPr>
        <w:t xml:space="preserve"> – abu dhabi</w:t>
      </w:r>
    </w:p>
    <w:p w14:paraId="65DD2922" w14:textId="77777777"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14:paraId="707FE7D2" w14:textId="77777777"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14:paraId="75ED67C2" w14:textId="77777777"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14:paraId="2FB28313" w14:textId="77777777" w:rsidR="006C69E0" w:rsidRDefault="006C69E0" w:rsidP="006C69E0">
      <w:pPr>
        <w:jc w:val="center"/>
        <w:rPr>
          <w:rFonts w:ascii="Book Antiqua" w:hAnsi="Book Antiqua" w:cs="Arial"/>
          <w:b/>
          <w:caps/>
        </w:rPr>
      </w:pPr>
      <w:r w:rsidRPr="006C69E0">
        <w:rPr>
          <w:rFonts w:ascii="Book Antiqua" w:hAnsi="Book Antiqua" w:cs="Arial"/>
          <w:b/>
          <w:caps/>
        </w:rPr>
        <w:t>FS</w:t>
      </w:r>
    </w:p>
    <w:p w14:paraId="6E5B44A5" w14:textId="77777777" w:rsidR="00EE1E17" w:rsidRDefault="006C69E0" w:rsidP="00EE1E17">
      <w:pPr>
        <w:jc w:val="center"/>
        <w:rPr>
          <w:rFonts w:ascii="Book Antiqua" w:hAnsi="Book Antiqua" w:cs="Arial"/>
          <w:b/>
          <w:caps/>
        </w:rPr>
      </w:pPr>
      <w:r w:rsidRPr="006C69E0">
        <w:rPr>
          <w:rFonts w:ascii="Book Antiqua" w:hAnsi="Book Antiqua" w:cs="Arial"/>
          <w:b/>
          <w:caps/>
        </w:rPr>
        <w:t>RK</w:t>
      </w:r>
    </w:p>
    <w:p w14:paraId="510098A3" w14:textId="77777777" w:rsidR="00DD5071" w:rsidRPr="009B7433" w:rsidRDefault="006C69E0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caps/>
        </w:rPr>
        <w:t>(anonymity direction made)</w:t>
      </w:r>
    </w:p>
    <w:p w14:paraId="1EEC8E44" w14:textId="57D9696A" w:rsidR="00DD5071" w:rsidRPr="009B7433" w:rsidRDefault="001A0312" w:rsidP="00E4627B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 xml:space="preserve"> </w:t>
      </w:r>
      <w:r w:rsidR="00DD5071" w:rsidRPr="009B7433">
        <w:rPr>
          <w:rFonts w:ascii="Book Antiqua" w:hAnsi="Book Antiqua" w:cs="Arial"/>
          <w:u w:val="single"/>
        </w:rPr>
        <w:t>Respondent</w:t>
      </w:r>
      <w:r w:rsidR="006C69E0">
        <w:rPr>
          <w:rFonts w:ascii="Book Antiqua" w:hAnsi="Book Antiqua" w:cs="Arial"/>
          <w:u w:val="single"/>
        </w:rPr>
        <w:t>s</w:t>
      </w:r>
    </w:p>
    <w:p w14:paraId="741A9380" w14:textId="4459AA75" w:rsidR="00DD5071" w:rsidRDefault="00DD5071" w:rsidP="00DD5071">
      <w:pPr>
        <w:rPr>
          <w:rFonts w:ascii="Book Antiqua" w:hAnsi="Book Antiqua" w:cs="Arial"/>
          <w:u w:val="single"/>
        </w:rPr>
      </w:pPr>
    </w:p>
    <w:p w14:paraId="3EED302F" w14:textId="77777777" w:rsidR="00544C38" w:rsidRPr="009B7433" w:rsidRDefault="00544C38" w:rsidP="00DD5071">
      <w:pPr>
        <w:rPr>
          <w:rFonts w:ascii="Book Antiqua" w:hAnsi="Book Antiqua" w:cs="Arial"/>
          <w:u w:val="single"/>
        </w:rPr>
      </w:pPr>
    </w:p>
    <w:p w14:paraId="3A999CAC" w14:textId="77777777" w:rsidR="000239E1" w:rsidRPr="00F5664C" w:rsidRDefault="000239E1" w:rsidP="000239E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00D1730A" w14:textId="77777777" w:rsidR="000239E1" w:rsidRPr="00F5664C" w:rsidRDefault="000239E1" w:rsidP="000239E1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6C69E0">
        <w:rPr>
          <w:rFonts w:ascii="Book Antiqua" w:hAnsi="Book Antiqua" w:cs="Arial"/>
        </w:rPr>
        <w:t xml:space="preserve">Mrs W Brocklesby, Senior Home Office Presenting Officer </w:t>
      </w:r>
    </w:p>
    <w:p w14:paraId="7E36EAF8" w14:textId="77777777" w:rsidR="000239E1" w:rsidRPr="00F5664C" w:rsidRDefault="000239E1" w:rsidP="000239E1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6C69E0">
        <w:rPr>
          <w:rFonts w:ascii="Book Antiqua" w:hAnsi="Book Antiqua" w:cs="Arial"/>
        </w:rPr>
        <w:t>No appearance</w:t>
      </w:r>
    </w:p>
    <w:p w14:paraId="1BE12FF9" w14:textId="77777777" w:rsidR="00D05375" w:rsidRPr="00F5664C" w:rsidRDefault="00D05375" w:rsidP="00D05375">
      <w:pPr>
        <w:tabs>
          <w:tab w:val="left" w:pos="2520"/>
        </w:tabs>
        <w:rPr>
          <w:rFonts w:ascii="Book Antiqua" w:hAnsi="Book Antiqua" w:cs="Arial"/>
        </w:rPr>
      </w:pPr>
    </w:p>
    <w:p w14:paraId="36F868B1" w14:textId="77777777" w:rsidR="00544C38" w:rsidRDefault="00544C38" w:rsidP="00D0537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14:paraId="28FA167C" w14:textId="2C5E4135" w:rsidR="00D05375" w:rsidRPr="00F5664C" w:rsidRDefault="00D05375" w:rsidP="00D0537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Pr="00F5664C">
        <w:rPr>
          <w:rFonts w:ascii="Book Antiqua" w:hAnsi="Book Antiqua" w:cs="Arial"/>
          <w:b/>
          <w:u w:val="single"/>
        </w:rPr>
        <w:t>AND REASONS</w:t>
      </w:r>
    </w:p>
    <w:p w14:paraId="56C9862E" w14:textId="4AADE791" w:rsidR="000239E1" w:rsidRDefault="009B1F1B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bookmarkStart w:id="0" w:name="_GoBack"/>
      <w:bookmarkEnd w:id="0"/>
      <w:r>
        <w:rPr>
          <w:rFonts w:ascii="Book Antiqua" w:hAnsi="Book Antiqua" w:cs="Arial"/>
        </w:rPr>
        <w:t>Alt</w:t>
      </w:r>
      <w:r w:rsidR="005C3D99">
        <w:rPr>
          <w:rFonts w:ascii="Book Antiqua" w:hAnsi="Book Antiqua" w:cs="Arial"/>
        </w:rPr>
        <w:t>hough the appellant</w:t>
      </w:r>
      <w:r>
        <w:rPr>
          <w:rFonts w:ascii="Book Antiqua" w:hAnsi="Book Antiqua" w:cs="Arial"/>
        </w:rPr>
        <w:t xml:space="preserve"> is the Entry Clearance Officer and the respondent </w:t>
      </w:r>
      <w:r w:rsidR="005C3D99">
        <w:rPr>
          <w:rFonts w:ascii="Book Antiqua" w:hAnsi="Book Antiqua" w:cs="Arial"/>
        </w:rPr>
        <w:t>is Mrs FS and her minor child</w:t>
      </w:r>
      <w:r w:rsidR="00AF0DDF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 refer to the appellants as they were before the First-tier Tribunal w</w:t>
      </w:r>
      <w:r w:rsidR="00AF0DDF">
        <w:rPr>
          <w:rFonts w:ascii="Book Antiqua" w:hAnsi="Book Antiqua" w:cs="Arial"/>
        </w:rPr>
        <w:t>h</w:t>
      </w:r>
      <w:r w:rsidR="005C3D99">
        <w:rPr>
          <w:rFonts w:ascii="Book Antiqua" w:hAnsi="Book Antiqua" w:cs="Arial"/>
        </w:rPr>
        <w:t xml:space="preserve">ere Mrs FS and her son </w:t>
      </w:r>
      <w:r>
        <w:rPr>
          <w:rFonts w:ascii="Book Antiqua" w:hAnsi="Book Antiqua" w:cs="Arial"/>
        </w:rPr>
        <w:t xml:space="preserve">were the appellants.  </w:t>
      </w:r>
      <w:r w:rsidR="005C3D99">
        <w:rPr>
          <w:rFonts w:ascii="Book Antiqua" w:hAnsi="Book Antiqua" w:cs="Arial"/>
        </w:rPr>
        <w:t>I note that one of the</w:t>
      </w:r>
      <w:r w:rsidR="001A0312">
        <w:rPr>
          <w:rFonts w:ascii="Book Antiqua" w:hAnsi="Book Antiqua" w:cs="Arial"/>
        </w:rPr>
        <w:t xml:space="preserve"> purported</w:t>
      </w:r>
      <w:r w:rsidR="005C3D99">
        <w:rPr>
          <w:rFonts w:ascii="Book Antiqua" w:hAnsi="Book Antiqua" w:cs="Arial"/>
        </w:rPr>
        <w:t xml:space="preserve"> appeals, for a second child, was struck out as no fee was paid.  </w:t>
      </w:r>
      <w:r>
        <w:rPr>
          <w:rFonts w:ascii="Book Antiqua" w:hAnsi="Book Antiqua" w:cs="Arial"/>
        </w:rPr>
        <w:t>The appellants had applied for a visit visa to visit the</w:t>
      </w:r>
      <w:r w:rsidR="005C3D99">
        <w:rPr>
          <w:rFonts w:ascii="Book Antiqua" w:hAnsi="Book Antiqua" w:cs="Arial"/>
        </w:rPr>
        <w:t xml:space="preserve"> UK for two.  </w:t>
      </w:r>
      <w:r>
        <w:rPr>
          <w:rFonts w:ascii="Book Antiqua" w:hAnsi="Book Antiqua" w:cs="Arial"/>
        </w:rPr>
        <w:t xml:space="preserve">In a decision promulgated on 2 </w:t>
      </w:r>
      <w:r>
        <w:rPr>
          <w:rFonts w:ascii="Book Antiqua" w:hAnsi="Book Antiqua" w:cs="Arial"/>
        </w:rPr>
        <w:lastRenderedPageBreak/>
        <w:t xml:space="preserve">November 2017, Judge of the First-tier Tribunal </w:t>
      </w:r>
      <w:proofErr w:type="gramStart"/>
      <w:r>
        <w:rPr>
          <w:rFonts w:ascii="Book Antiqua" w:hAnsi="Book Antiqua" w:cs="Arial"/>
        </w:rPr>
        <w:t>A</w:t>
      </w:r>
      <w:proofErr w:type="gramEnd"/>
      <w:r>
        <w:rPr>
          <w:rFonts w:ascii="Book Antiqua" w:hAnsi="Book Antiqua" w:cs="Arial"/>
        </w:rPr>
        <w:t xml:space="preserve"> Simmon</w:t>
      </w:r>
      <w:r w:rsidR="00E17E85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 xml:space="preserve">s allowed the appellants’ appeals on human rights grounds.  </w:t>
      </w:r>
    </w:p>
    <w:p w14:paraId="0C2D850E" w14:textId="77777777" w:rsidR="00E17E85" w:rsidRDefault="009B1F1B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Entry Clearance Officer appealed on the following grounds</w:t>
      </w:r>
      <w:r w:rsidR="008475C7">
        <w:rPr>
          <w:rFonts w:ascii="Book Antiqua" w:hAnsi="Book Antiqua" w:cs="Arial"/>
        </w:rPr>
        <w:t>:</w:t>
      </w:r>
      <w:r>
        <w:rPr>
          <w:rFonts w:ascii="Book Antiqua" w:hAnsi="Book Antiqua" w:cs="Arial"/>
        </w:rPr>
        <w:t xml:space="preserve"> </w:t>
      </w:r>
    </w:p>
    <w:p w14:paraId="4956249B" w14:textId="77777777" w:rsidR="009B1F1B" w:rsidRDefault="009B1F1B" w:rsidP="00544C38">
      <w:pPr>
        <w:spacing w:before="120"/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Ground 1: that the judge had no jurisdiction to hear the appeal as no human rights claim had been made or refused; and</w:t>
      </w:r>
    </w:p>
    <w:p w14:paraId="08C722D5" w14:textId="77777777" w:rsidR="009B1F1B" w:rsidRDefault="009B1F1B" w:rsidP="00544C38">
      <w:pPr>
        <w:spacing w:before="120"/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Ground 2: The judge had made no adequate findings that </w:t>
      </w:r>
      <w:r w:rsidR="006B1462">
        <w:rPr>
          <w:rFonts w:ascii="Book Antiqua" w:hAnsi="Book Antiqua" w:cs="Arial"/>
        </w:rPr>
        <w:t>Article 8</w:t>
      </w:r>
      <w:r>
        <w:rPr>
          <w:rFonts w:ascii="Book Antiqua" w:hAnsi="Book Antiqua" w:cs="Arial"/>
        </w:rPr>
        <w:t xml:space="preserve"> was engaged and the proportionality assessment was inadequate.  </w:t>
      </w:r>
    </w:p>
    <w:p w14:paraId="5A8FF4A8" w14:textId="77777777" w:rsidR="009B1F1B" w:rsidRPr="009B1F1B" w:rsidRDefault="009B1F1B" w:rsidP="009B1F1B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Error of Law Hearing</w:t>
      </w:r>
    </w:p>
    <w:p w14:paraId="5FA9C279" w14:textId="27FFF4E0" w:rsidR="009B1F1B" w:rsidRDefault="009B1F1B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was no appearance by or on behalf o</w:t>
      </w:r>
      <w:r w:rsidR="005C3D99">
        <w:rPr>
          <w:rFonts w:ascii="Book Antiqua" w:hAnsi="Book Antiqua" w:cs="Arial"/>
        </w:rPr>
        <w:t>f the respondent family.</w:t>
      </w:r>
      <w:r>
        <w:rPr>
          <w:rFonts w:ascii="Book Antiqua" w:hAnsi="Book Antiqua" w:cs="Arial"/>
        </w:rPr>
        <w:t xml:space="preserve"> I took into consideration further </w:t>
      </w:r>
      <w:r w:rsidR="00C67553">
        <w:rPr>
          <w:rFonts w:ascii="Book Antiqua" w:hAnsi="Book Antiqua" w:cs="Arial"/>
        </w:rPr>
        <w:t>information</w:t>
      </w:r>
      <w:r>
        <w:rPr>
          <w:rFonts w:ascii="Book Antiqua" w:hAnsi="Book Antiqua" w:cs="Arial"/>
        </w:rPr>
        <w:t xml:space="preserve"> </w:t>
      </w:r>
      <w:r w:rsidR="00CF1672">
        <w:rPr>
          <w:rFonts w:ascii="Book Antiqua" w:hAnsi="Book Antiqua" w:cs="Arial"/>
        </w:rPr>
        <w:t>which</w:t>
      </w:r>
      <w:r>
        <w:rPr>
          <w:rFonts w:ascii="Book Antiqua" w:hAnsi="Book Antiqua" w:cs="Arial"/>
        </w:rPr>
        <w:t xml:space="preserve"> was submitted in the form of a Rule 24 response received on 12 June 2018.  Although a further submission containing an Upper Tribunal case was also forwarded to the Upper Tribunal on the date o</w:t>
      </w:r>
      <w:r w:rsidR="005C3D99">
        <w:rPr>
          <w:rFonts w:ascii="Book Antiqua" w:hAnsi="Book Antiqua" w:cs="Arial"/>
        </w:rPr>
        <w:t>f the hearing from the appellant, as that case was unreported I</w:t>
      </w:r>
      <w:r>
        <w:rPr>
          <w:rFonts w:ascii="Book Antiqua" w:hAnsi="Book Antiqua" w:cs="Arial"/>
        </w:rPr>
        <w:t xml:space="preserve"> did not admit it to the proceedings. </w:t>
      </w:r>
    </w:p>
    <w:p w14:paraId="0E9675F3" w14:textId="77777777" w:rsidR="009B1F1B" w:rsidRPr="009B1F1B" w:rsidRDefault="009B1F1B" w:rsidP="009B1F1B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Error of Law Discussion</w:t>
      </w:r>
    </w:p>
    <w:p w14:paraId="3D37A486" w14:textId="7C62DDFD" w:rsidR="009B1F1B" w:rsidRDefault="004E5A1B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Mrs Brocklesby relied on</w:t>
      </w:r>
      <w:r w:rsidR="00745AC0">
        <w:rPr>
          <w:rFonts w:ascii="Book Antiqua" w:hAnsi="Book Antiqua" w:cs="Arial"/>
        </w:rPr>
        <w:t>ly on</w:t>
      </w:r>
      <w:r>
        <w:rPr>
          <w:rFonts w:ascii="Book Antiqua" w:hAnsi="Book Antiqua" w:cs="Arial"/>
        </w:rPr>
        <w:t xml:space="preserve"> ground 2.  </w:t>
      </w:r>
      <w:r w:rsidR="005C3D99">
        <w:rPr>
          <w:rFonts w:ascii="Book Antiqua" w:hAnsi="Book Antiqua" w:cs="Arial"/>
        </w:rPr>
        <w:t>Given the decision of the Upper Tribunal President in</w:t>
      </w:r>
      <w:r>
        <w:rPr>
          <w:rFonts w:ascii="Book Antiqua" w:hAnsi="Book Antiqua" w:cs="Arial"/>
        </w:rPr>
        <w:t xml:space="preserve"> </w:t>
      </w:r>
      <w:proofErr w:type="spellStart"/>
      <w:r w:rsidRPr="00745AC0">
        <w:rPr>
          <w:rFonts w:ascii="Book Antiqua" w:hAnsi="Book Antiqua" w:cs="Arial"/>
          <w:b/>
          <w:u w:val="single"/>
        </w:rPr>
        <w:t>Baihinga</w:t>
      </w:r>
      <w:proofErr w:type="spellEnd"/>
      <w:r w:rsidRPr="00745AC0">
        <w:rPr>
          <w:rFonts w:ascii="Book Antiqua" w:hAnsi="Book Antiqua" w:cs="Arial"/>
          <w:b/>
        </w:rPr>
        <w:t xml:space="preserve"> (Rule 22; human rights </w:t>
      </w:r>
      <w:proofErr w:type="gramStart"/>
      <w:r w:rsidRPr="00745AC0">
        <w:rPr>
          <w:rFonts w:ascii="Book Antiqua" w:hAnsi="Book Antiqua" w:cs="Arial"/>
          <w:b/>
        </w:rPr>
        <w:t>appeals</w:t>
      </w:r>
      <w:proofErr w:type="gramEnd"/>
      <w:r w:rsidR="002618DD" w:rsidRPr="00745AC0">
        <w:rPr>
          <w:rFonts w:ascii="Book Antiqua" w:hAnsi="Book Antiqua" w:cs="Arial"/>
          <w:b/>
        </w:rPr>
        <w:t>:</w:t>
      </w:r>
      <w:r w:rsidRPr="00745AC0">
        <w:rPr>
          <w:rFonts w:ascii="Book Antiqua" w:hAnsi="Book Antiqua" w:cs="Arial"/>
          <w:b/>
        </w:rPr>
        <w:t xml:space="preserve"> requirements</w:t>
      </w:r>
      <w:r w:rsidR="002618DD" w:rsidRPr="00745AC0">
        <w:rPr>
          <w:rFonts w:ascii="Book Antiqua" w:hAnsi="Book Antiqua" w:cs="Arial"/>
          <w:b/>
        </w:rPr>
        <w:t>)</w:t>
      </w:r>
      <w:r w:rsidRPr="00745AC0">
        <w:rPr>
          <w:rFonts w:ascii="Book Antiqua" w:hAnsi="Book Antiqua" w:cs="Arial"/>
          <w:b/>
        </w:rPr>
        <w:t xml:space="preserve"> [2018] UKUT 00090</w:t>
      </w:r>
      <w:r w:rsidR="00E700B4">
        <w:rPr>
          <w:rFonts w:ascii="Book Antiqua" w:hAnsi="Book Antiqua" w:cs="Arial"/>
        </w:rPr>
        <w:t>,</w:t>
      </w:r>
      <w:r w:rsidR="005C3D99">
        <w:rPr>
          <w:rFonts w:ascii="Book Antiqua" w:hAnsi="Book Antiqua" w:cs="Arial"/>
        </w:rPr>
        <w:t xml:space="preserve"> which included</w:t>
      </w:r>
      <w:r>
        <w:rPr>
          <w:rFonts w:ascii="Book Antiqua" w:hAnsi="Book Antiqua" w:cs="Arial"/>
        </w:rPr>
        <w:t xml:space="preserve"> that an application for leave or entry c</w:t>
      </w:r>
      <w:r w:rsidR="005C3D99">
        <w:rPr>
          <w:rFonts w:ascii="Book Antiqua" w:hAnsi="Book Antiqua" w:cs="Arial"/>
        </w:rPr>
        <w:t xml:space="preserve">learance may constitute a human </w:t>
      </w:r>
      <w:r>
        <w:rPr>
          <w:rFonts w:ascii="Book Antiqua" w:hAnsi="Book Antiqua" w:cs="Arial"/>
        </w:rPr>
        <w:t xml:space="preserve">rights claim, </w:t>
      </w:r>
      <w:r w:rsidR="0020302E">
        <w:rPr>
          <w:rFonts w:ascii="Book Antiqua" w:hAnsi="Book Antiqua" w:cs="Arial"/>
        </w:rPr>
        <w:t xml:space="preserve">even if the applicant does not, in terms, raise human rights, </w:t>
      </w:r>
      <w:r w:rsidR="005C3D99">
        <w:rPr>
          <w:rFonts w:ascii="Book Antiqua" w:hAnsi="Book Antiqua" w:cs="Arial"/>
        </w:rPr>
        <w:t>Mrs Brocklesby was correct to abandon ground 1</w:t>
      </w:r>
      <w:r w:rsidR="0020302E">
        <w:rPr>
          <w:rFonts w:ascii="Book Antiqua" w:hAnsi="Book Antiqua" w:cs="Arial"/>
        </w:rPr>
        <w:t xml:space="preserve">.  </w:t>
      </w:r>
    </w:p>
    <w:p w14:paraId="1AAF79D4" w14:textId="3E5256BD" w:rsidR="0020302E" w:rsidRDefault="005C3D99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considered </w:t>
      </w:r>
      <w:r w:rsidR="0020302E">
        <w:rPr>
          <w:rFonts w:ascii="Book Antiqua" w:hAnsi="Book Antiqua" w:cs="Arial"/>
        </w:rPr>
        <w:t>ground 2.  I am satisfied it is made out.  This was an appeal on human rights grounds only.  The First-tier Tribunal Judge found that the appellants met the requirements of t</w:t>
      </w:r>
      <w:r>
        <w:rPr>
          <w:rFonts w:ascii="Book Antiqua" w:hAnsi="Book Antiqua" w:cs="Arial"/>
        </w:rPr>
        <w:t>he Immigration Rules.  She</w:t>
      </w:r>
      <w:r w:rsidR="0020302E">
        <w:rPr>
          <w:rFonts w:ascii="Book Antiqua" w:hAnsi="Book Antiqua" w:cs="Arial"/>
        </w:rPr>
        <w:t xml:space="preserve"> remind</w:t>
      </w:r>
      <w:r>
        <w:rPr>
          <w:rFonts w:ascii="Book Antiqua" w:hAnsi="Book Antiqua" w:cs="Arial"/>
        </w:rPr>
        <w:t>ed</w:t>
      </w:r>
      <w:r w:rsidR="0020302E">
        <w:rPr>
          <w:rFonts w:ascii="Book Antiqua" w:hAnsi="Book Antiqua" w:cs="Arial"/>
        </w:rPr>
        <w:t xml:space="preserve"> herself that under the </w:t>
      </w:r>
      <w:r>
        <w:rPr>
          <w:rFonts w:ascii="Book Antiqua" w:hAnsi="Book Antiqua" w:cs="Arial"/>
        </w:rPr>
        <w:t>‘</w:t>
      </w:r>
      <w:r w:rsidR="0020302E">
        <w:rPr>
          <w:rFonts w:ascii="Book Antiqua" w:hAnsi="Book Antiqua" w:cs="Arial"/>
        </w:rPr>
        <w:t>new right</w:t>
      </w:r>
      <w:r w:rsidR="00EF1B2F">
        <w:rPr>
          <w:rFonts w:ascii="Book Antiqua" w:hAnsi="Book Antiqua" w:cs="Arial"/>
        </w:rPr>
        <w:t>s</w:t>
      </w:r>
      <w:r w:rsidR="0020302E">
        <w:rPr>
          <w:rFonts w:ascii="Book Antiqua" w:hAnsi="Book Antiqua" w:cs="Arial"/>
        </w:rPr>
        <w:t xml:space="preserve"> of appeal</w:t>
      </w:r>
      <w:r>
        <w:rPr>
          <w:rFonts w:ascii="Book Antiqua" w:hAnsi="Book Antiqua" w:cs="Arial"/>
        </w:rPr>
        <w:t>’</w:t>
      </w:r>
      <w:r w:rsidR="0020302E">
        <w:rPr>
          <w:rFonts w:ascii="Book Antiqua" w:hAnsi="Book Antiqua" w:cs="Arial"/>
        </w:rPr>
        <w:t xml:space="preserve"> this is relevant but not determinative but her decision “in respect of the family relationship has to be viewed through the prism of the Immigration Rules”.  </w:t>
      </w:r>
    </w:p>
    <w:p w14:paraId="58E188FD" w14:textId="673E5E3D" w:rsidR="0020302E" w:rsidRDefault="0020302E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appellants had</w:t>
      </w:r>
      <w:r w:rsidR="005C3D99">
        <w:rPr>
          <w:rFonts w:ascii="Book Antiqua" w:hAnsi="Book Antiqua" w:cs="Arial"/>
        </w:rPr>
        <w:t xml:space="preserve"> applied for a visa to visit family in the UK.  The first appellant’s</w:t>
      </w:r>
      <w:r>
        <w:rPr>
          <w:rFonts w:ascii="Book Antiqua" w:hAnsi="Book Antiqua" w:cs="Arial"/>
        </w:rPr>
        <w:t xml:space="preserve"> brother had been killed in the UK in a road traffic accident and it was stated that the first appellant wished to visit his grave </w:t>
      </w:r>
      <w:r w:rsidR="007C1D15">
        <w:rPr>
          <w:rFonts w:ascii="Book Antiqua" w:hAnsi="Book Antiqua" w:cs="Arial"/>
        </w:rPr>
        <w:t xml:space="preserve">and </w:t>
      </w:r>
      <w:r>
        <w:rPr>
          <w:rFonts w:ascii="Book Antiqua" w:hAnsi="Book Antiqua" w:cs="Arial"/>
        </w:rPr>
        <w:t xml:space="preserve">to see her parents who were in ill health.  The judge took into consideration a considerable volume of documentary evidence and was satisfied that the appellant’s brother had died in the UK and that her father was seriously ill.  </w:t>
      </w:r>
    </w:p>
    <w:p w14:paraId="5F513CFB" w14:textId="3A6D2674" w:rsidR="0020302E" w:rsidRDefault="0020302E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However, in going on to f</w:t>
      </w:r>
      <w:r w:rsidR="005C3D99">
        <w:rPr>
          <w:rFonts w:ascii="Book Antiqua" w:hAnsi="Book Antiqua" w:cs="Arial"/>
        </w:rPr>
        <w:t>ind,</w:t>
      </w:r>
      <w:r>
        <w:rPr>
          <w:rFonts w:ascii="Book Antiqua" w:hAnsi="Book Antiqua" w:cs="Arial"/>
        </w:rPr>
        <w:t xml:space="preserve"> at [22]</w:t>
      </w:r>
      <w:r w:rsidR="005C3D99">
        <w:rPr>
          <w:rFonts w:ascii="Book Antiqua" w:hAnsi="Book Antiqua" w:cs="Arial"/>
        </w:rPr>
        <w:t>, that</w:t>
      </w:r>
      <w:r>
        <w:rPr>
          <w:rFonts w:ascii="Book Antiqua" w:hAnsi="Book Antiqua" w:cs="Arial"/>
        </w:rPr>
        <w:t xml:space="preserve"> the “first four questions are answered in the affirmative” in relation to the </w:t>
      </w:r>
      <w:proofErr w:type="spellStart"/>
      <w:r w:rsidRPr="007C1D15">
        <w:rPr>
          <w:rFonts w:ascii="Book Antiqua" w:hAnsi="Book Antiqua" w:cs="Arial"/>
          <w:b/>
          <w:u w:val="single"/>
        </w:rPr>
        <w:t>Razgar</w:t>
      </w:r>
      <w:proofErr w:type="spellEnd"/>
      <w:r w:rsidRPr="007C1D15">
        <w:rPr>
          <w:rFonts w:ascii="Book Antiqua" w:hAnsi="Book Antiqua" w:cs="Arial"/>
          <w:b/>
        </w:rPr>
        <w:t xml:space="preserve"> [2004] UKHL 27</w:t>
      </w:r>
      <w:r>
        <w:rPr>
          <w:rFonts w:ascii="Book Antiqua" w:hAnsi="Book Antiqua" w:cs="Arial"/>
        </w:rPr>
        <w:t xml:space="preserve"> test, the First-tier Tribunal Judge failed</w:t>
      </w:r>
      <w:r w:rsidR="005C3D99">
        <w:rPr>
          <w:rFonts w:ascii="Book Antiqua" w:hAnsi="Book Antiqua" w:cs="Arial"/>
        </w:rPr>
        <w:t xml:space="preserve"> to provide adequate reasons, or</w:t>
      </w:r>
      <w:r>
        <w:rPr>
          <w:rFonts w:ascii="Book Antiqua" w:hAnsi="Book Antiqua" w:cs="Arial"/>
        </w:rPr>
        <w:t xml:space="preserve"> indeed any reasons at all, why either family and/or private life exists in this case.  </w:t>
      </w:r>
    </w:p>
    <w:p w14:paraId="4A9D58AD" w14:textId="3D1F6238" w:rsidR="00E139B7" w:rsidRDefault="00E139B7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It was incumbent on the First-tier Tribunal to consider whether there was anything that goes beyond normal emotional ties</w:t>
      </w:r>
      <w:r w:rsidR="00367DFE">
        <w:rPr>
          <w:rFonts w:ascii="Book Antiqua" w:hAnsi="Book Antiqua" w:cs="Arial"/>
        </w:rPr>
        <w:t xml:space="preserve"> between an adult and surviving parents and/or other siblings (</w:t>
      </w:r>
      <w:proofErr w:type="spellStart"/>
      <w:r w:rsidR="00367DFE" w:rsidRPr="00C63947">
        <w:rPr>
          <w:rFonts w:ascii="Book Antiqua" w:hAnsi="Book Antiqua" w:cs="Arial"/>
          <w:b/>
          <w:u w:val="single"/>
        </w:rPr>
        <w:t>Ku</w:t>
      </w:r>
      <w:r w:rsidR="00C63947" w:rsidRPr="00C63947">
        <w:rPr>
          <w:rFonts w:ascii="Book Antiqua" w:hAnsi="Book Antiqua" w:cs="Arial"/>
          <w:b/>
          <w:u w:val="single"/>
        </w:rPr>
        <w:t>ga</w:t>
      </w:r>
      <w:r w:rsidR="00367DFE" w:rsidRPr="00C63947">
        <w:rPr>
          <w:rFonts w:ascii="Book Antiqua" w:hAnsi="Book Antiqua" w:cs="Arial"/>
          <w:b/>
          <w:u w:val="single"/>
        </w:rPr>
        <w:t>thas</w:t>
      </w:r>
      <w:proofErr w:type="spellEnd"/>
      <w:r w:rsidR="00367DFE" w:rsidRPr="00C63947">
        <w:rPr>
          <w:rFonts w:ascii="Book Antiqua" w:hAnsi="Book Antiqua" w:cs="Arial"/>
          <w:b/>
          <w:u w:val="single"/>
        </w:rPr>
        <w:t xml:space="preserve"> v SSHD</w:t>
      </w:r>
      <w:r w:rsidR="00367DFE" w:rsidRPr="00C63947">
        <w:rPr>
          <w:rFonts w:ascii="Book Antiqua" w:hAnsi="Book Antiqua" w:cs="Arial"/>
          <w:b/>
        </w:rPr>
        <w:t xml:space="preserve"> [2003] EWCA </w:t>
      </w:r>
      <w:proofErr w:type="spellStart"/>
      <w:r w:rsidR="00367DFE" w:rsidRPr="00C63947">
        <w:rPr>
          <w:rFonts w:ascii="Book Antiqua" w:hAnsi="Book Antiqua" w:cs="Arial"/>
          <w:b/>
        </w:rPr>
        <w:t>Civ</w:t>
      </w:r>
      <w:proofErr w:type="spellEnd"/>
      <w:r w:rsidR="00367DFE" w:rsidRPr="00C63947">
        <w:rPr>
          <w:rFonts w:ascii="Book Antiqua" w:hAnsi="Book Antiqua" w:cs="Arial"/>
          <w:b/>
        </w:rPr>
        <w:t xml:space="preserve"> 31</w:t>
      </w:r>
      <w:r w:rsidR="00367DFE">
        <w:rPr>
          <w:rFonts w:ascii="Book Antiqua" w:hAnsi="Book Antiqua" w:cs="Arial"/>
        </w:rPr>
        <w:t xml:space="preserve">).  </w:t>
      </w:r>
      <w:r w:rsidR="005C3D99">
        <w:rPr>
          <w:rFonts w:ascii="Book Antiqua" w:hAnsi="Book Antiqua" w:cs="Arial"/>
        </w:rPr>
        <w:t>T</w:t>
      </w:r>
      <w:r w:rsidR="00A8148D">
        <w:rPr>
          <w:rFonts w:ascii="Book Antiqua" w:hAnsi="Book Antiqua" w:cs="Arial"/>
        </w:rPr>
        <w:t>he Court of Appeal</w:t>
      </w:r>
      <w:r w:rsidR="005C3D99">
        <w:rPr>
          <w:rFonts w:ascii="Book Antiqua" w:hAnsi="Book Antiqua" w:cs="Arial"/>
        </w:rPr>
        <w:t xml:space="preserve"> </w:t>
      </w:r>
      <w:r w:rsidR="005C3D99">
        <w:rPr>
          <w:rFonts w:ascii="Book Antiqua" w:hAnsi="Book Antiqua" w:cs="Arial"/>
        </w:rPr>
        <w:lastRenderedPageBreak/>
        <w:t>including</w:t>
      </w:r>
      <w:r w:rsidR="00A8148D">
        <w:rPr>
          <w:rFonts w:ascii="Book Antiqua" w:hAnsi="Book Antiqua" w:cs="Arial"/>
        </w:rPr>
        <w:t xml:space="preserve"> in </w:t>
      </w:r>
      <w:r w:rsidR="00C5136A" w:rsidRPr="00523A83">
        <w:rPr>
          <w:rFonts w:ascii="Book Antiqua" w:hAnsi="Book Antiqua" w:cs="Arial"/>
          <w:b/>
          <w:u w:val="single"/>
        </w:rPr>
        <w:t xml:space="preserve">Entry Clearance Officer, Sierra Leone v </w:t>
      </w:r>
      <w:proofErr w:type="spellStart"/>
      <w:r w:rsidR="00C5136A" w:rsidRPr="00523A83">
        <w:rPr>
          <w:rFonts w:ascii="Book Antiqua" w:hAnsi="Book Antiqua" w:cs="Arial"/>
          <w:b/>
          <w:u w:val="single"/>
        </w:rPr>
        <w:t>Kopoi</w:t>
      </w:r>
      <w:proofErr w:type="spellEnd"/>
      <w:r w:rsidR="00C5136A" w:rsidRPr="00523A83">
        <w:rPr>
          <w:rFonts w:ascii="Book Antiqua" w:hAnsi="Book Antiqua" w:cs="Arial"/>
          <w:b/>
        </w:rPr>
        <w:t xml:space="preserve"> [2017] EWCA </w:t>
      </w:r>
      <w:proofErr w:type="spellStart"/>
      <w:r w:rsidR="00C5136A" w:rsidRPr="00523A83">
        <w:rPr>
          <w:rFonts w:ascii="Book Antiqua" w:hAnsi="Book Antiqua" w:cs="Arial"/>
          <w:b/>
        </w:rPr>
        <w:t>Civ</w:t>
      </w:r>
      <w:proofErr w:type="spellEnd"/>
      <w:r w:rsidR="00C5136A" w:rsidRPr="00523A83">
        <w:rPr>
          <w:rFonts w:ascii="Book Antiqua" w:hAnsi="Book Antiqua" w:cs="Arial"/>
          <w:b/>
        </w:rPr>
        <w:t xml:space="preserve"> 1511</w:t>
      </w:r>
      <w:r w:rsidR="00C5136A">
        <w:rPr>
          <w:rFonts w:ascii="Book Antiqua" w:hAnsi="Book Antiqua" w:cs="Arial"/>
        </w:rPr>
        <w:t xml:space="preserve"> and </w:t>
      </w:r>
      <w:r w:rsidR="00C5136A" w:rsidRPr="006A1C9B">
        <w:rPr>
          <w:rFonts w:ascii="Book Antiqua" w:hAnsi="Book Antiqua" w:cs="Arial"/>
          <w:b/>
          <w:u w:val="single"/>
        </w:rPr>
        <w:t xml:space="preserve">Secretary of State for the Home Department v </w:t>
      </w:r>
      <w:proofErr w:type="spellStart"/>
      <w:r w:rsidR="00C5136A" w:rsidRPr="006A1C9B">
        <w:rPr>
          <w:rFonts w:ascii="Book Antiqua" w:hAnsi="Book Antiqua" w:cs="Arial"/>
          <w:b/>
          <w:u w:val="single"/>
        </w:rPr>
        <w:t>Onuorah</w:t>
      </w:r>
      <w:proofErr w:type="spellEnd"/>
      <w:r w:rsidR="00C5136A" w:rsidRPr="006A1C9B">
        <w:rPr>
          <w:rFonts w:ascii="Book Antiqua" w:hAnsi="Book Antiqua" w:cs="Arial"/>
          <w:b/>
        </w:rPr>
        <w:t xml:space="preserve"> [2017] EWCA </w:t>
      </w:r>
      <w:proofErr w:type="spellStart"/>
      <w:r w:rsidR="00C5136A" w:rsidRPr="006A1C9B">
        <w:rPr>
          <w:rFonts w:ascii="Book Antiqua" w:hAnsi="Book Antiqua" w:cs="Arial"/>
          <w:b/>
        </w:rPr>
        <w:t>Civ</w:t>
      </w:r>
      <w:proofErr w:type="spellEnd"/>
      <w:r w:rsidR="00C5136A" w:rsidRPr="006A1C9B">
        <w:rPr>
          <w:rFonts w:ascii="Book Antiqua" w:hAnsi="Book Antiqua" w:cs="Arial"/>
          <w:b/>
        </w:rPr>
        <w:t xml:space="preserve"> 1757</w:t>
      </w:r>
      <w:r w:rsidR="00C5136A">
        <w:rPr>
          <w:rFonts w:ascii="Book Antiqua" w:hAnsi="Book Antiqua" w:cs="Arial"/>
        </w:rPr>
        <w:t xml:space="preserve"> </w:t>
      </w:r>
      <w:r w:rsidR="001A0312">
        <w:rPr>
          <w:rFonts w:ascii="Book Antiqua" w:hAnsi="Book Antiqua" w:cs="Arial"/>
        </w:rPr>
        <w:t xml:space="preserve">has </w:t>
      </w:r>
      <w:r w:rsidR="005E2697">
        <w:rPr>
          <w:rFonts w:ascii="Book Antiqua" w:hAnsi="Book Antiqua" w:cs="Arial"/>
        </w:rPr>
        <w:t>confirmed</w:t>
      </w:r>
      <w:r w:rsidR="00C642B7">
        <w:rPr>
          <w:rFonts w:ascii="Book Antiqua" w:hAnsi="Book Antiqua" w:cs="Arial"/>
        </w:rPr>
        <w:t xml:space="preserve"> that </w:t>
      </w:r>
      <w:proofErr w:type="spellStart"/>
      <w:r w:rsidR="00C642B7" w:rsidRPr="00544C38">
        <w:rPr>
          <w:rFonts w:ascii="Book Antiqua" w:hAnsi="Book Antiqua" w:cs="Arial"/>
          <w:b/>
          <w:u w:val="single"/>
        </w:rPr>
        <w:t>Kugathas</w:t>
      </w:r>
      <w:proofErr w:type="spellEnd"/>
      <w:r w:rsidR="00C642B7">
        <w:rPr>
          <w:rFonts w:ascii="Book Antiqua" w:hAnsi="Book Antiqua" w:cs="Arial"/>
        </w:rPr>
        <w:t xml:space="preserve"> remains good law.  Something more must exist, such as ties of dependency.</w:t>
      </w:r>
      <w:r w:rsidR="00CD5134">
        <w:rPr>
          <w:rFonts w:ascii="Book Antiqua" w:hAnsi="Book Antiqua" w:cs="Arial"/>
        </w:rPr>
        <w:t xml:space="preserve">  </w:t>
      </w:r>
    </w:p>
    <w:p w14:paraId="5AE74D5A" w14:textId="1272B85E" w:rsidR="00C642B7" w:rsidRDefault="00C642B7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First-tier Tribunal made no</w:t>
      </w:r>
      <w:r w:rsidR="00BB0E17">
        <w:rPr>
          <w:rFonts w:ascii="Book Antiqua" w:hAnsi="Book Antiqua" w:cs="Arial"/>
        </w:rPr>
        <w:t xml:space="preserve"> findings a</w:t>
      </w:r>
      <w:r w:rsidR="003118EE">
        <w:rPr>
          <w:rFonts w:ascii="Book Antiqua" w:hAnsi="Book Antiqua" w:cs="Arial"/>
        </w:rPr>
        <w:t>s</w:t>
      </w:r>
      <w:r w:rsidR="00BB0E17">
        <w:rPr>
          <w:rFonts w:ascii="Book Antiqua" w:hAnsi="Book Antiqua" w:cs="Arial"/>
        </w:rPr>
        <w:t xml:space="preserve"> t</w:t>
      </w:r>
      <w:r>
        <w:rPr>
          <w:rFonts w:ascii="Book Antiqua" w:hAnsi="Book Antiqua" w:cs="Arial"/>
        </w:rPr>
        <w:t xml:space="preserve">o </w:t>
      </w:r>
      <w:r w:rsidR="00BB0E17">
        <w:rPr>
          <w:rFonts w:ascii="Book Antiqua" w:hAnsi="Book Antiqua" w:cs="Arial"/>
        </w:rPr>
        <w:t>any dependent relationship between the appellants and the first app</w:t>
      </w:r>
      <w:r>
        <w:rPr>
          <w:rFonts w:ascii="Book Antiqua" w:hAnsi="Book Antiqua" w:cs="Arial"/>
        </w:rPr>
        <w:t xml:space="preserve">ellant’s adult family in the UK.  There was no adequate evidence before the First-tier Tribunal that might suggest </w:t>
      </w:r>
      <w:r w:rsidR="00EC43DB">
        <w:rPr>
          <w:rFonts w:ascii="Book Antiqua" w:hAnsi="Book Antiqua" w:cs="Arial"/>
        </w:rPr>
        <w:t>anything other than normal emotional ties</w:t>
      </w:r>
      <w:r>
        <w:rPr>
          <w:rFonts w:ascii="Book Antiqua" w:hAnsi="Book Antiqua" w:cs="Arial"/>
        </w:rPr>
        <w:t>,</w:t>
      </w:r>
      <w:r w:rsidR="00BB0E17">
        <w:rPr>
          <w:rFonts w:ascii="Book Antiqua" w:hAnsi="Book Antiqua" w:cs="Arial"/>
        </w:rPr>
        <w:t xml:space="preserve"> notwithstanding that the family had experienced a recent bereavement and the first appellant’s father was ill.  </w:t>
      </w:r>
    </w:p>
    <w:p w14:paraId="672FEB8F" w14:textId="2B39EF12" w:rsidR="00C642B7" w:rsidRDefault="00A86B40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fact that the first appellant had visited the UK before does not in itself support a finding that the app</w:t>
      </w:r>
      <w:r w:rsidR="00C642B7">
        <w:rPr>
          <w:rFonts w:ascii="Book Antiqua" w:hAnsi="Book Antiqua" w:cs="Arial"/>
        </w:rPr>
        <w:t>ellants enjoy family life with their relatives</w:t>
      </w:r>
      <w:r>
        <w:rPr>
          <w:rFonts w:ascii="Book Antiqua" w:hAnsi="Book Antiqua" w:cs="Arial"/>
        </w:rPr>
        <w:t xml:space="preserve"> in the UK.  </w:t>
      </w:r>
      <w:r w:rsidR="00F82F6B">
        <w:rPr>
          <w:rFonts w:ascii="Book Antiqua" w:hAnsi="Book Antiqua" w:cs="Arial"/>
        </w:rPr>
        <w:t>The appellant had produced evidence of strong links to Pakistan including</w:t>
      </w:r>
      <w:r w:rsidR="00C642B7">
        <w:rPr>
          <w:rFonts w:ascii="Book Antiqua" w:hAnsi="Book Antiqua" w:cs="Arial"/>
        </w:rPr>
        <w:t xml:space="preserve"> her husband’s</w:t>
      </w:r>
      <w:r w:rsidR="00F82F6B">
        <w:rPr>
          <w:rFonts w:ascii="Book Antiqua" w:hAnsi="Book Antiqua" w:cs="Arial"/>
        </w:rPr>
        <w:t xml:space="preserve"> succ</w:t>
      </w:r>
      <w:r w:rsidR="00C642B7">
        <w:rPr>
          <w:rFonts w:ascii="Book Antiqua" w:hAnsi="Book Antiqua" w:cs="Arial"/>
        </w:rPr>
        <w:t>essful employmen</w:t>
      </w:r>
      <w:r w:rsidR="00961DED">
        <w:rPr>
          <w:rFonts w:ascii="Book Antiqua" w:hAnsi="Book Antiqua" w:cs="Arial"/>
        </w:rPr>
        <w:t>t</w:t>
      </w:r>
      <w:r w:rsidR="00F82F6B">
        <w:rPr>
          <w:rFonts w:ascii="Book Antiqua" w:hAnsi="Book Antiqua" w:cs="Arial"/>
        </w:rPr>
        <w:t xml:space="preserve"> and assets in Pakistan t</w:t>
      </w:r>
      <w:r w:rsidR="0065193F">
        <w:rPr>
          <w:rFonts w:ascii="Book Antiqua" w:hAnsi="Book Antiqua" w:cs="Arial"/>
        </w:rPr>
        <w:t>o</w:t>
      </w:r>
      <w:r w:rsidR="00F82F6B">
        <w:rPr>
          <w:rFonts w:ascii="Book Antiqua" w:hAnsi="Book Antiqua" w:cs="Arial"/>
        </w:rPr>
        <w:t xml:space="preserve"> demonstrate her incentive to return</w:t>
      </w:r>
      <w:r w:rsidR="00C642B7">
        <w:rPr>
          <w:rFonts w:ascii="Book Antiqua" w:hAnsi="Book Antiqua" w:cs="Arial"/>
        </w:rPr>
        <w:t>.  T</w:t>
      </w:r>
      <w:r w:rsidR="00F82F6B">
        <w:rPr>
          <w:rFonts w:ascii="Book Antiqua" w:hAnsi="Book Antiqua" w:cs="Arial"/>
        </w:rPr>
        <w:t>he appellant in her grounds of appeal had confirmed that she was settled in Pakistan</w:t>
      </w:r>
      <w:r w:rsidR="00E20C6B">
        <w:rPr>
          <w:rFonts w:ascii="Book Antiqua" w:hAnsi="Book Antiqua" w:cs="Arial"/>
        </w:rPr>
        <w:t xml:space="preserve">.  </w:t>
      </w:r>
    </w:p>
    <w:p w14:paraId="38FC39FD" w14:textId="5288962D" w:rsidR="00C642B7" w:rsidRDefault="00E20C6B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further take into consideration </w:t>
      </w:r>
      <w:r w:rsidR="00375490">
        <w:rPr>
          <w:rFonts w:ascii="Book Antiqua" w:hAnsi="Book Antiqua" w:cs="Arial"/>
        </w:rPr>
        <w:t xml:space="preserve">that </w:t>
      </w:r>
      <w:r>
        <w:rPr>
          <w:rFonts w:ascii="Book Antiqua" w:hAnsi="Book Antiqua" w:cs="Arial"/>
        </w:rPr>
        <w:t xml:space="preserve">the fact that the appellant was only intending a </w:t>
      </w:r>
      <w:proofErr w:type="gramStart"/>
      <w:r>
        <w:rPr>
          <w:rFonts w:ascii="Book Antiqua" w:hAnsi="Book Antiqua" w:cs="Arial"/>
        </w:rPr>
        <w:t>two week</w:t>
      </w:r>
      <w:proofErr w:type="gramEnd"/>
      <w:r>
        <w:rPr>
          <w:rFonts w:ascii="Book Antiqua" w:hAnsi="Book Antiqua" w:cs="Arial"/>
        </w:rPr>
        <w:t xml:space="preserve"> visit supports the contention that </w:t>
      </w:r>
      <w:r w:rsidR="00C642B7">
        <w:rPr>
          <w:rFonts w:ascii="Book Antiqua" w:hAnsi="Book Antiqua" w:cs="Arial"/>
        </w:rPr>
        <w:t>the refusal of leave to enter did not involve any want of respect for any</w:t>
      </w:r>
      <w:r w:rsidR="001A0312">
        <w:rPr>
          <w:rFonts w:ascii="Book Antiqua" w:hAnsi="Book Antiqua" w:cs="Arial"/>
        </w:rPr>
        <w:t>one’s family life.  To paraphrase</w:t>
      </w:r>
      <w:r w:rsidR="00C642B7">
        <w:rPr>
          <w:rFonts w:ascii="Book Antiqua" w:hAnsi="Book Antiqua" w:cs="Arial"/>
        </w:rPr>
        <w:t xml:space="preserve"> Sales LJ in </w:t>
      </w:r>
      <w:proofErr w:type="spellStart"/>
      <w:r w:rsidR="00C642B7" w:rsidRPr="00C642B7">
        <w:rPr>
          <w:rFonts w:ascii="Book Antiqua" w:hAnsi="Book Antiqua" w:cs="Arial"/>
          <w:b/>
          <w:u w:val="single"/>
        </w:rPr>
        <w:t>Kopoi</w:t>
      </w:r>
      <w:proofErr w:type="spellEnd"/>
      <w:r w:rsidR="00C642B7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</w:t>
      </w:r>
      <w:r w:rsidR="00C642B7">
        <w:rPr>
          <w:rFonts w:ascii="Book Antiqua" w:hAnsi="Book Antiqua" w:cs="Arial"/>
        </w:rPr>
        <w:t xml:space="preserve">a </w:t>
      </w:r>
      <w:proofErr w:type="gramStart"/>
      <w:r w:rsidR="00C642B7">
        <w:rPr>
          <w:rFonts w:ascii="Book Antiqua" w:hAnsi="Book Antiqua" w:cs="Arial"/>
        </w:rPr>
        <w:t>two week</w:t>
      </w:r>
      <w:proofErr w:type="gramEnd"/>
      <w:r w:rsidR="00C642B7">
        <w:rPr>
          <w:rFonts w:ascii="Book Antiqua" w:hAnsi="Book Antiqua" w:cs="Arial"/>
        </w:rPr>
        <w:t xml:space="preserve"> visit would not involve a significant contribution to family life in Article 8 terms, </w:t>
      </w:r>
      <w:r>
        <w:rPr>
          <w:rFonts w:ascii="Book Antiqua" w:hAnsi="Book Antiqua" w:cs="Arial"/>
        </w:rPr>
        <w:t xml:space="preserve">notwithstanding </w:t>
      </w:r>
      <w:r w:rsidR="009E5D0F">
        <w:rPr>
          <w:rFonts w:ascii="Book Antiqua" w:hAnsi="Book Antiqua" w:cs="Arial"/>
        </w:rPr>
        <w:t>the legitimate reaso</w:t>
      </w:r>
      <w:r w:rsidR="00C642B7">
        <w:rPr>
          <w:rFonts w:ascii="Book Antiqua" w:hAnsi="Book Antiqua" w:cs="Arial"/>
        </w:rPr>
        <w:t>ns for wanting to visit</w:t>
      </w:r>
      <w:r w:rsidR="009E5D0F">
        <w:rPr>
          <w:rFonts w:ascii="Book Antiqua" w:hAnsi="Book Antiqua" w:cs="Arial"/>
        </w:rPr>
        <w:t xml:space="preserve">. </w:t>
      </w:r>
    </w:p>
    <w:p w14:paraId="115FC97B" w14:textId="5CF611FD" w:rsidR="00BB0E17" w:rsidRDefault="009E5D0F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fact that there are strong compassionate reasons behind the application for the visit cannot</w:t>
      </w:r>
      <w:r w:rsidR="00375490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when considered in light of all the fa</w:t>
      </w:r>
      <w:r w:rsidR="00C642B7">
        <w:rPr>
          <w:rFonts w:ascii="Book Antiqua" w:hAnsi="Book Antiqua" w:cs="Arial"/>
        </w:rPr>
        <w:t>ctors</w:t>
      </w:r>
      <w:r>
        <w:rPr>
          <w:rFonts w:ascii="Book Antiqua" w:hAnsi="Book Antiqua" w:cs="Arial"/>
        </w:rPr>
        <w:t xml:space="preserve">, establish family life where there is none.  The judge failed to </w:t>
      </w:r>
      <w:r w:rsidR="00C642B7">
        <w:rPr>
          <w:rFonts w:ascii="Book Antiqua" w:hAnsi="Book Antiqua" w:cs="Arial"/>
        </w:rPr>
        <w:t xml:space="preserve">adequately </w:t>
      </w:r>
      <w:r>
        <w:rPr>
          <w:rFonts w:ascii="Book Antiqua" w:hAnsi="Book Antiqua" w:cs="Arial"/>
        </w:rPr>
        <w:t>direct herself that the fact that an individual meets the requirements of paragraph 41 does not mean that the individual succeeds on that account</w:t>
      </w:r>
      <w:r w:rsidR="004D38D4">
        <w:rPr>
          <w:rFonts w:ascii="Book Antiqua" w:hAnsi="Book Antiqua" w:cs="Arial"/>
        </w:rPr>
        <w:t>.  Appellants must</w:t>
      </w:r>
      <w:r>
        <w:rPr>
          <w:rFonts w:ascii="Book Antiqua" w:hAnsi="Book Antiqua" w:cs="Arial"/>
        </w:rPr>
        <w:t xml:space="preserve"> demonstrate that the </w:t>
      </w:r>
      <w:r w:rsidR="00F870B8">
        <w:rPr>
          <w:rFonts w:ascii="Book Antiqua" w:hAnsi="Book Antiqua" w:cs="Arial"/>
        </w:rPr>
        <w:t>refusal</w:t>
      </w:r>
      <w:r w:rsidR="001046AB">
        <w:rPr>
          <w:rFonts w:ascii="Book Antiqua" w:hAnsi="Book Antiqua" w:cs="Arial"/>
        </w:rPr>
        <w:t xml:space="preserve"> represents an unlawful</w:t>
      </w:r>
      <w:r w:rsidR="00F870B8">
        <w:rPr>
          <w:rFonts w:ascii="Book Antiqua" w:hAnsi="Book Antiqua" w:cs="Arial"/>
        </w:rPr>
        <w:t xml:space="preserve"> infringement</w:t>
      </w:r>
      <w:r w:rsidR="001046AB">
        <w:rPr>
          <w:rFonts w:ascii="Book Antiqua" w:hAnsi="Book Antiqua" w:cs="Arial"/>
        </w:rPr>
        <w:t xml:space="preserve"> of the rights </w:t>
      </w:r>
      <w:r w:rsidR="00773FDE">
        <w:rPr>
          <w:rFonts w:ascii="Book Antiqua" w:hAnsi="Book Antiqua" w:cs="Arial"/>
        </w:rPr>
        <w:t>protected by Article 8 of ECHR (</w:t>
      </w:r>
      <w:r w:rsidR="00773FDE" w:rsidRPr="00F870B8">
        <w:rPr>
          <w:rFonts w:ascii="Book Antiqua" w:hAnsi="Book Antiqua" w:cs="Arial"/>
          <w:b/>
          <w:u w:val="single"/>
        </w:rPr>
        <w:t>Adjei</w:t>
      </w:r>
      <w:r w:rsidR="00773FDE" w:rsidRPr="00F870B8">
        <w:rPr>
          <w:rFonts w:ascii="Book Antiqua" w:hAnsi="Book Antiqua" w:cs="Arial"/>
          <w:b/>
        </w:rPr>
        <w:t xml:space="preserve"> </w:t>
      </w:r>
      <w:r w:rsidR="00F870B8" w:rsidRPr="00F870B8">
        <w:rPr>
          <w:rFonts w:ascii="Book Antiqua" w:hAnsi="Book Antiqua" w:cs="Arial"/>
          <w:b/>
        </w:rPr>
        <w:t>(V</w:t>
      </w:r>
      <w:r w:rsidR="00773FDE" w:rsidRPr="00F870B8">
        <w:rPr>
          <w:rFonts w:ascii="Book Antiqua" w:hAnsi="Book Antiqua" w:cs="Arial"/>
          <w:b/>
        </w:rPr>
        <w:t xml:space="preserve">isit visas – Article 8) [2015] UKUT </w:t>
      </w:r>
      <w:r w:rsidR="00F870B8" w:rsidRPr="00F870B8">
        <w:rPr>
          <w:rFonts w:ascii="Book Antiqua" w:hAnsi="Book Antiqua" w:cs="Arial"/>
          <w:b/>
        </w:rPr>
        <w:t xml:space="preserve">261 </w:t>
      </w:r>
      <w:r w:rsidR="00773FDE" w:rsidRPr="00F870B8">
        <w:rPr>
          <w:rFonts w:ascii="Book Antiqua" w:hAnsi="Book Antiqua" w:cs="Arial"/>
          <w:b/>
        </w:rPr>
        <w:t>(IAC</w:t>
      </w:r>
      <w:r w:rsidR="00F870B8" w:rsidRPr="00F870B8">
        <w:rPr>
          <w:rFonts w:ascii="Book Antiqua" w:hAnsi="Book Antiqua" w:cs="Arial"/>
          <w:b/>
        </w:rPr>
        <w:t>)</w:t>
      </w:r>
      <w:r w:rsidR="004D38D4">
        <w:rPr>
          <w:rFonts w:ascii="Book Antiqua" w:hAnsi="Book Antiqua" w:cs="Arial"/>
        </w:rPr>
        <w:t>).  The judge’s findings</w:t>
      </w:r>
      <w:r w:rsidR="00773FDE">
        <w:rPr>
          <w:rFonts w:ascii="Book Antiqua" w:hAnsi="Book Antiqua" w:cs="Arial"/>
        </w:rPr>
        <w:t xml:space="preserve"> at </w:t>
      </w:r>
      <w:r w:rsidR="00375490">
        <w:rPr>
          <w:rFonts w:ascii="Book Antiqua" w:hAnsi="Book Antiqua" w:cs="Arial"/>
        </w:rPr>
        <w:t>[</w:t>
      </w:r>
      <w:r w:rsidR="00773FDE">
        <w:rPr>
          <w:rFonts w:ascii="Book Antiqua" w:hAnsi="Book Antiqua" w:cs="Arial"/>
        </w:rPr>
        <w:t>20</w:t>
      </w:r>
      <w:r w:rsidR="00375490">
        <w:rPr>
          <w:rFonts w:ascii="Book Antiqua" w:hAnsi="Book Antiqua" w:cs="Arial"/>
        </w:rPr>
        <w:t>]</w:t>
      </w:r>
      <w:r w:rsidR="004D38D4">
        <w:rPr>
          <w:rFonts w:ascii="Book Antiqua" w:hAnsi="Book Antiqua" w:cs="Arial"/>
        </w:rPr>
        <w:t xml:space="preserve"> suffer from a lack of reasoning as to why</w:t>
      </w:r>
      <w:r w:rsidR="00773FDE">
        <w:rPr>
          <w:rFonts w:ascii="Book Antiqua" w:hAnsi="Book Antiqua" w:cs="Arial"/>
        </w:rPr>
        <w:t xml:space="preserve"> Article 8 was engaged.  </w:t>
      </w:r>
    </w:p>
    <w:p w14:paraId="22C124FD" w14:textId="2F64577E" w:rsidR="00773FDE" w:rsidRDefault="00773FDE" w:rsidP="000239E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was also unclear from the judge’s finding whether the judge was relying on family or private life in stating that </w:t>
      </w:r>
      <w:proofErr w:type="spellStart"/>
      <w:r w:rsidRPr="000D78F7">
        <w:rPr>
          <w:rFonts w:ascii="Book Antiqua" w:hAnsi="Book Antiqua" w:cs="Arial"/>
          <w:b/>
          <w:u w:val="single"/>
        </w:rPr>
        <w:t>Razgar</w:t>
      </w:r>
      <w:proofErr w:type="spellEnd"/>
      <w:r>
        <w:rPr>
          <w:rFonts w:ascii="Book Antiqua" w:hAnsi="Book Antiqua" w:cs="Arial"/>
        </w:rPr>
        <w:t xml:space="preserve"> was satisfied.  In relation to private life, the Court of Appeal in </w:t>
      </w:r>
      <w:r w:rsidRPr="00825644">
        <w:rPr>
          <w:rFonts w:ascii="Book Antiqua" w:hAnsi="Book Antiqua" w:cs="Arial"/>
          <w:b/>
          <w:u w:val="single"/>
        </w:rPr>
        <w:t>Secretary of State for the Home Department v Abbas</w:t>
      </w:r>
      <w:r w:rsidRPr="00825644">
        <w:rPr>
          <w:rFonts w:ascii="Book Antiqua" w:hAnsi="Book Antiqua" w:cs="Arial"/>
          <w:b/>
        </w:rPr>
        <w:t xml:space="preserve"> [2017] EWCA </w:t>
      </w:r>
      <w:proofErr w:type="spellStart"/>
      <w:r w:rsidRPr="00825644">
        <w:rPr>
          <w:rFonts w:ascii="Book Antiqua" w:hAnsi="Book Antiqua" w:cs="Arial"/>
          <w:b/>
        </w:rPr>
        <w:t>Civ</w:t>
      </w:r>
      <w:proofErr w:type="spellEnd"/>
      <w:r w:rsidRPr="00825644">
        <w:rPr>
          <w:rFonts w:ascii="Book Antiqua" w:hAnsi="Book Antiqua" w:cs="Arial"/>
          <w:b/>
        </w:rPr>
        <w:t xml:space="preserve"> 1393</w:t>
      </w:r>
      <w:r w:rsidR="004D38D4">
        <w:rPr>
          <w:rFonts w:ascii="Book Antiqua" w:hAnsi="Book Antiqua" w:cs="Arial"/>
        </w:rPr>
        <w:t xml:space="preserve"> at paragraph 18 said </w:t>
      </w:r>
      <w:r>
        <w:rPr>
          <w:rFonts w:ascii="Book Antiqua" w:hAnsi="Book Antiqua" w:cs="Arial"/>
        </w:rPr>
        <w:t>as follows:</w:t>
      </w:r>
    </w:p>
    <w:p w14:paraId="66B4C551" w14:textId="77777777" w:rsidR="00773FDE" w:rsidRPr="00544C38" w:rsidRDefault="00773FDE" w:rsidP="00544C38">
      <w:pPr>
        <w:spacing w:before="120"/>
        <w:ind w:left="1134" w:right="567"/>
        <w:jc w:val="both"/>
        <w:rPr>
          <w:rFonts w:ascii="Book Antiqua" w:hAnsi="Book Antiqua" w:cs="Arial"/>
          <w:sz w:val="22"/>
        </w:rPr>
      </w:pPr>
      <w:r w:rsidRPr="00544C38">
        <w:rPr>
          <w:rFonts w:ascii="Book Antiqua" w:hAnsi="Book Antiqua" w:cs="Arial"/>
          <w:sz w:val="22"/>
        </w:rPr>
        <w:t xml:space="preserve">“The Secretary of State has been unable to identify any case, still less </w:t>
      </w:r>
      <w:r w:rsidR="005600A2" w:rsidRPr="00544C38">
        <w:rPr>
          <w:rFonts w:ascii="Book Antiqua" w:hAnsi="Book Antiqua" w:cs="Arial"/>
          <w:sz w:val="22"/>
        </w:rPr>
        <w:t xml:space="preserve">a settled </w:t>
      </w:r>
      <w:r w:rsidRPr="00544C38">
        <w:rPr>
          <w:rFonts w:ascii="Book Antiqua" w:hAnsi="Book Antiqua" w:cs="Arial"/>
          <w:sz w:val="22"/>
        </w:rPr>
        <w:t xml:space="preserve">line of authority, in which the Strasbourg Court has held Article 8 in its private life aspect to be engaged in respect of a person outside the Contracting State </w:t>
      </w:r>
      <w:r w:rsidR="00D52D94" w:rsidRPr="00544C38">
        <w:rPr>
          <w:rFonts w:ascii="Book Antiqua" w:hAnsi="Book Antiqua" w:cs="Arial"/>
          <w:sz w:val="22"/>
        </w:rPr>
        <w:t>seeking</w:t>
      </w:r>
      <w:r w:rsidRPr="00544C38">
        <w:rPr>
          <w:rFonts w:ascii="Book Antiqua" w:hAnsi="Book Antiqua" w:cs="Arial"/>
          <w:sz w:val="22"/>
        </w:rPr>
        <w:t xml:space="preserve"> to enter to develop that private life.  Such a conclusion would have a striking effect and undermine the </w:t>
      </w:r>
      <w:proofErr w:type="gramStart"/>
      <w:r w:rsidRPr="00544C38">
        <w:rPr>
          <w:rFonts w:ascii="Book Antiqua" w:hAnsi="Book Antiqua" w:cs="Arial"/>
          <w:sz w:val="22"/>
        </w:rPr>
        <w:t>often repeated</w:t>
      </w:r>
      <w:proofErr w:type="gramEnd"/>
      <w:r w:rsidRPr="00544C38">
        <w:rPr>
          <w:rFonts w:ascii="Book Antiqua" w:hAnsi="Book Antiqua" w:cs="Arial"/>
          <w:sz w:val="22"/>
        </w:rPr>
        <w:t xml:space="preserve"> starting point of the Strasbourg Court that a state has the right as a matter</w:t>
      </w:r>
      <w:r w:rsidR="005600A2" w:rsidRPr="00544C38">
        <w:rPr>
          <w:rFonts w:ascii="Book Antiqua" w:hAnsi="Book Antiqua" w:cs="Arial"/>
          <w:sz w:val="22"/>
        </w:rPr>
        <w:t xml:space="preserve"> of</w:t>
      </w:r>
      <w:r w:rsidRPr="00544C38">
        <w:rPr>
          <w:rFonts w:ascii="Book Antiqua" w:hAnsi="Book Antiqua" w:cs="Arial"/>
          <w:sz w:val="22"/>
        </w:rPr>
        <w:t xml:space="preserve"> well-established international law and subject to their treaty obligations, including a Convention</w:t>
      </w:r>
      <w:r w:rsidR="005600A2" w:rsidRPr="00544C38">
        <w:rPr>
          <w:rFonts w:ascii="Book Antiqua" w:hAnsi="Book Antiqua" w:cs="Arial"/>
          <w:sz w:val="22"/>
        </w:rPr>
        <w:t>,</w:t>
      </w:r>
      <w:r w:rsidRPr="00544C38">
        <w:rPr>
          <w:rFonts w:ascii="Book Antiqua" w:hAnsi="Book Antiqua" w:cs="Arial"/>
          <w:sz w:val="22"/>
        </w:rPr>
        <w:t xml:space="preserve"> to control </w:t>
      </w:r>
      <w:r w:rsidR="00C65008" w:rsidRPr="00544C38">
        <w:rPr>
          <w:rFonts w:ascii="Book Antiqua" w:hAnsi="Book Antiqua" w:cs="Arial"/>
          <w:sz w:val="22"/>
        </w:rPr>
        <w:t xml:space="preserve">the entry, residence and expulsion of aliens.  Private life </w:t>
      </w:r>
      <w:r w:rsidR="005600A2" w:rsidRPr="00544C38">
        <w:rPr>
          <w:rFonts w:ascii="Book Antiqua" w:hAnsi="Book Antiqua" w:cs="Arial"/>
          <w:sz w:val="22"/>
        </w:rPr>
        <w:t xml:space="preserve">as a concept has a broad reach, by contrast with family life.  Even though Article 8 is a qualified right (unlike Article 3) the prospect of a very large number of individuals relying on private life in support of applications for short and long-term stays would be inevitable.  To accept that the private life aspect of Article 8 could require a Contracting State to allow an alien </w:t>
      </w:r>
      <w:r w:rsidR="005600A2" w:rsidRPr="00544C38">
        <w:rPr>
          <w:rFonts w:ascii="Book Antiqua" w:hAnsi="Book Antiqua" w:cs="Arial"/>
          <w:sz w:val="22"/>
        </w:rPr>
        <w:lastRenderedPageBreak/>
        <w:t xml:space="preserve">to enter its territory would mark a step change in the reach of Article 8 in the immigration context.  As a matter of </w:t>
      </w:r>
      <w:proofErr w:type="gramStart"/>
      <w:r w:rsidR="005600A2" w:rsidRPr="00544C38">
        <w:rPr>
          <w:rFonts w:ascii="Book Antiqua" w:hAnsi="Book Antiqua" w:cs="Arial"/>
          <w:sz w:val="22"/>
        </w:rPr>
        <w:t>principle</w:t>
      </w:r>
      <w:proofErr w:type="gramEnd"/>
      <w:r w:rsidR="005600A2" w:rsidRPr="00544C38">
        <w:rPr>
          <w:rFonts w:ascii="Book Antiqua" w:hAnsi="Book Antiqua" w:cs="Arial"/>
          <w:sz w:val="22"/>
        </w:rPr>
        <w:t xml:space="preserve"> it would be wrong to do so.  As a matter of binding authority on the approach to an expansion of the reach of the ECHR it would be impermissible to do so.”</w:t>
      </w:r>
    </w:p>
    <w:p w14:paraId="4002923C" w14:textId="5FD63EAF" w:rsidR="00CE0BA6" w:rsidRDefault="004D38D4" w:rsidP="00CE0BA6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Although reference was</w:t>
      </w:r>
      <w:r w:rsidR="00406DDA">
        <w:rPr>
          <w:rFonts w:ascii="Book Antiqua" w:hAnsi="Book Antiqua" w:cs="Arial"/>
        </w:rPr>
        <w:t xml:space="preserve"> made to the Upper Tribunal decision of </w:t>
      </w:r>
      <w:r w:rsidR="00406DDA" w:rsidRPr="00483A3F">
        <w:rPr>
          <w:rFonts w:ascii="Book Antiqua" w:hAnsi="Book Antiqua" w:cs="Arial"/>
          <w:b/>
          <w:u w:val="single"/>
        </w:rPr>
        <w:t>Abbas</w:t>
      </w:r>
      <w:r w:rsidR="00A34B27" w:rsidRPr="00483A3F">
        <w:rPr>
          <w:rFonts w:ascii="Book Antiqua" w:hAnsi="Book Antiqua" w:cs="Arial"/>
          <w:b/>
          <w:u w:val="single"/>
        </w:rPr>
        <w:t>i</w:t>
      </w:r>
      <w:r w:rsidR="00406DDA" w:rsidRPr="00483A3F">
        <w:rPr>
          <w:rFonts w:ascii="Book Antiqua" w:hAnsi="Book Antiqua" w:cs="Arial"/>
          <w:b/>
          <w:u w:val="single"/>
        </w:rPr>
        <w:t xml:space="preserve"> v Entry Clearance Officer</w:t>
      </w:r>
      <w:r w:rsidR="00483A3F" w:rsidRPr="00483A3F">
        <w:rPr>
          <w:rFonts w:ascii="Book Antiqua" w:hAnsi="Book Antiqua" w:cs="Arial"/>
          <w:b/>
          <w:u w:val="single"/>
        </w:rPr>
        <w:t>,</w:t>
      </w:r>
      <w:r w:rsidR="00406DDA" w:rsidRPr="00483A3F">
        <w:rPr>
          <w:rFonts w:ascii="Book Antiqua" w:hAnsi="Book Antiqua" w:cs="Arial"/>
          <w:b/>
          <w:u w:val="single"/>
        </w:rPr>
        <w:t xml:space="preserve"> Karachi</w:t>
      </w:r>
      <w:r w:rsidR="00406DDA" w:rsidRPr="00A34B27">
        <w:rPr>
          <w:rFonts w:ascii="Book Antiqua" w:hAnsi="Book Antiqua" w:cs="Arial"/>
          <w:b/>
        </w:rPr>
        <w:t xml:space="preserve"> [2015] UKUT 463 (IAC)</w:t>
      </w:r>
      <w:r>
        <w:rPr>
          <w:rFonts w:ascii="Book Antiqua" w:hAnsi="Book Antiqua" w:cs="Arial"/>
        </w:rPr>
        <w:t xml:space="preserve"> where the then Upper Tribunal P</w:t>
      </w:r>
      <w:r w:rsidR="00406DDA">
        <w:rPr>
          <w:rFonts w:ascii="Book Antiqua" w:hAnsi="Book Antiqua" w:cs="Arial"/>
        </w:rPr>
        <w:t xml:space="preserve">resident </w:t>
      </w:r>
      <w:r w:rsidR="00601A45">
        <w:rPr>
          <w:rFonts w:ascii="Book Antiqua" w:hAnsi="Book Antiqua" w:cs="Arial"/>
        </w:rPr>
        <w:t>applied</w:t>
      </w:r>
      <w:r w:rsidR="00406DDA">
        <w:rPr>
          <w:rFonts w:ascii="Book Antiqua" w:hAnsi="Book Antiqua" w:cs="Arial"/>
        </w:rPr>
        <w:t xml:space="preserve"> </w:t>
      </w:r>
      <w:proofErr w:type="spellStart"/>
      <w:r w:rsidR="00406DDA" w:rsidRPr="003E627A">
        <w:rPr>
          <w:rFonts w:ascii="Book Antiqua" w:hAnsi="Book Antiqua" w:cs="Arial"/>
          <w:b/>
          <w:u w:val="single"/>
        </w:rPr>
        <w:t>Sabanchiyeva</w:t>
      </w:r>
      <w:proofErr w:type="spellEnd"/>
      <w:r w:rsidR="00601A45">
        <w:rPr>
          <w:rFonts w:ascii="Book Antiqua" w:hAnsi="Book Antiqua" w:cs="Arial"/>
          <w:b/>
          <w:u w:val="single"/>
        </w:rPr>
        <w:t xml:space="preserve"> v Russia </w:t>
      </w:r>
      <w:r w:rsidR="00601A45" w:rsidRPr="00601A45">
        <w:rPr>
          <w:rFonts w:ascii="Book Antiqua" w:hAnsi="Book Antiqua" w:cs="Arial"/>
          <w:b/>
        </w:rPr>
        <w:t>(2014) 58 EHRR 14</w:t>
      </w:r>
      <w:r w:rsidR="00601A45">
        <w:rPr>
          <w:rFonts w:ascii="Book Antiqua" w:hAnsi="Book Antiqua" w:cs="Arial"/>
        </w:rPr>
        <w:t xml:space="preserve"> and found</w:t>
      </w:r>
      <w:r w:rsidR="00406DDA">
        <w:rPr>
          <w:rFonts w:ascii="Book Antiqua" w:hAnsi="Book Antiqua" w:cs="Arial"/>
        </w:rPr>
        <w:t xml:space="preserve"> there had been a violation of Article 8</w:t>
      </w:r>
      <w:r w:rsidR="00E73606">
        <w:rPr>
          <w:rFonts w:ascii="Book Antiqua" w:hAnsi="Book Antiqua" w:cs="Arial"/>
        </w:rPr>
        <w:t>,</w:t>
      </w:r>
      <w:r w:rsidR="00601A45">
        <w:rPr>
          <w:rFonts w:ascii="Book Antiqua" w:hAnsi="Book Antiqua" w:cs="Arial"/>
        </w:rPr>
        <w:t xml:space="preserve"> I am</w:t>
      </w:r>
      <w:r w:rsidR="00CE0BA6">
        <w:rPr>
          <w:rFonts w:ascii="Book Antiqua" w:hAnsi="Book Antiqua" w:cs="Arial"/>
        </w:rPr>
        <w:t xml:space="preserve"> satisfied that</w:t>
      </w:r>
      <w:r w:rsidR="00601A45">
        <w:rPr>
          <w:rFonts w:ascii="Book Antiqua" w:hAnsi="Book Antiqua" w:cs="Arial"/>
        </w:rPr>
        <w:t xml:space="preserve"> although the appellants are seeking to visit in part because of a death, the con</w:t>
      </w:r>
      <w:r w:rsidR="001A0312">
        <w:rPr>
          <w:rFonts w:ascii="Book Antiqua" w:hAnsi="Book Antiqua" w:cs="Arial"/>
        </w:rPr>
        <w:t>text is very</w:t>
      </w:r>
      <w:r w:rsidR="00961DED">
        <w:rPr>
          <w:rFonts w:ascii="Book Antiqua" w:hAnsi="Book Antiqua" w:cs="Arial"/>
        </w:rPr>
        <w:t xml:space="preserve"> </w:t>
      </w:r>
      <w:r w:rsidR="00601A45">
        <w:rPr>
          <w:rFonts w:ascii="Book Antiqua" w:hAnsi="Book Antiqua" w:cs="Arial"/>
        </w:rPr>
        <w:t>different</w:t>
      </w:r>
      <w:r w:rsidR="00961DED">
        <w:rPr>
          <w:rFonts w:ascii="Book Antiqua" w:hAnsi="Book Antiqua" w:cs="Arial"/>
        </w:rPr>
        <w:t>.</w:t>
      </w:r>
      <w:r w:rsidR="00CE0BA6">
        <w:rPr>
          <w:rFonts w:ascii="Book Antiqua" w:hAnsi="Book Antiqua" w:cs="Arial"/>
        </w:rPr>
        <w:t xml:space="preserve"> </w:t>
      </w:r>
    </w:p>
    <w:p w14:paraId="3E1EFA21" w14:textId="1DA9DFE1" w:rsidR="00961DED" w:rsidRPr="001A0312" w:rsidRDefault="00CE0BA6" w:rsidP="00D05375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  <w:b/>
          <w:u w:val="single"/>
        </w:rPr>
      </w:pPr>
      <w:r w:rsidRPr="00961DED">
        <w:rPr>
          <w:rFonts w:ascii="Book Antiqua" w:hAnsi="Book Antiqua" w:cs="Arial"/>
        </w:rPr>
        <w:t xml:space="preserve">I </w:t>
      </w:r>
      <w:r w:rsidR="00961DED" w:rsidRPr="00961DED">
        <w:rPr>
          <w:rFonts w:ascii="Book Antiqua" w:hAnsi="Book Antiqua" w:cs="Arial"/>
        </w:rPr>
        <w:t xml:space="preserve">further </w:t>
      </w:r>
      <w:r w:rsidRPr="00961DED">
        <w:rPr>
          <w:rFonts w:ascii="Book Antiqua" w:hAnsi="Book Antiqua" w:cs="Arial"/>
        </w:rPr>
        <w:t xml:space="preserve">take into consideration what </w:t>
      </w:r>
      <w:r w:rsidR="001A0312">
        <w:rPr>
          <w:rFonts w:ascii="Book Antiqua" w:hAnsi="Book Antiqua" w:cs="Arial"/>
        </w:rPr>
        <w:t>was said</w:t>
      </w:r>
      <w:r w:rsidRPr="00961DED">
        <w:rPr>
          <w:rFonts w:ascii="Book Antiqua" w:hAnsi="Book Antiqua" w:cs="Arial"/>
        </w:rPr>
        <w:t xml:space="preserve"> at paragraphs 29 and 30 of </w:t>
      </w:r>
      <w:proofErr w:type="spellStart"/>
      <w:r w:rsidR="00325EED" w:rsidRPr="00961DED">
        <w:rPr>
          <w:rFonts w:ascii="Book Antiqua" w:hAnsi="Book Antiqua" w:cs="Arial"/>
          <w:b/>
          <w:u w:val="single"/>
        </w:rPr>
        <w:t>Onuorah</w:t>
      </w:r>
      <w:proofErr w:type="spellEnd"/>
      <w:r w:rsidR="00325EED" w:rsidRPr="00961DED">
        <w:rPr>
          <w:rFonts w:ascii="Book Antiqua" w:hAnsi="Book Antiqua" w:cs="Arial"/>
          <w:b/>
        </w:rPr>
        <w:t xml:space="preserve"> </w:t>
      </w:r>
      <w:r w:rsidRPr="00961DED">
        <w:rPr>
          <w:rFonts w:ascii="Book Antiqua" w:hAnsi="Book Antiqua" w:cs="Arial"/>
        </w:rPr>
        <w:t>i</w:t>
      </w:r>
      <w:r w:rsidR="001A0312">
        <w:rPr>
          <w:rFonts w:ascii="Book Antiqua" w:hAnsi="Book Antiqua" w:cs="Arial"/>
        </w:rPr>
        <w:t>ncluding</w:t>
      </w:r>
      <w:r w:rsidRPr="00961DED">
        <w:rPr>
          <w:rFonts w:ascii="Book Antiqua" w:hAnsi="Book Antiqua" w:cs="Arial"/>
        </w:rPr>
        <w:t xml:space="preserve"> that</w:t>
      </w:r>
      <w:r w:rsidR="00CB289E" w:rsidRPr="00961DED">
        <w:rPr>
          <w:rFonts w:ascii="Book Antiqua" w:hAnsi="Book Antiqua" w:cs="Arial"/>
        </w:rPr>
        <w:t xml:space="preserve"> the ambit of </w:t>
      </w:r>
      <w:r w:rsidR="009B75CD" w:rsidRPr="00961DED">
        <w:rPr>
          <w:rFonts w:ascii="Book Antiqua" w:hAnsi="Book Antiqua" w:cs="Arial"/>
        </w:rPr>
        <w:t xml:space="preserve">family life does not embrace </w:t>
      </w:r>
      <w:r w:rsidR="00CB289E" w:rsidRPr="00961DED">
        <w:rPr>
          <w:rFonts w:ascii="Book Antiqua" w:hAnsi="Book Antiqua" w:cs="Arial"/>
        </w:rPr>
        <w:t xml:space="preserve">a </w:t>
      </w:r>
      <w:r w:rsidR="009B75CD" w:rsidRPr="00961DED">
        <w:rPr>
          <w:rFonts w:ascii="Book Antiqua" w:hAnsi="Book Antiqua" w:cs="Arial"/>
        </w:rPr>
        <w:t>situation such as this</w:t>
      </w:r>
      <w:r w:rsidR="00961DED" w:rsidRPr="00961DED">
        <w:rPr>
          <w:rFonts w:ascii="Book Antiqua" w:hAnsi="Book Antiqua" w:cs="Arial"/>
        </w:rPr>
        <w:t>.</w:t>
      </w:r>
      <w:r w:rsidR="009B75CD" w:rsidRPr="00961DED">
        <w:rPr>
          <w:rFonts w:ascii="Book Antiqua" w:hAnsi="Book Antiqua" w:cs="Arial"/>
        </w:rPr>
        <w:t xml:space="preserve"> </w:t>
      </w:r>
    </w:p>
    <w:p w14:paraId="18FE7915" w14:textId="18B31B24" w:rsidR="001A0312" w:rsidRPr="00961DED" w:rsidRDefault="001A0312" w:rsidP="00D05375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>As there is no family or private life in terms of Article 8, the appellants before the First-tier Tribunal cannot succeed.</w:t>
      </w:r>
    </w:p>
    <w:p w14:paraId="482E6078" w14:textId="456E9BF4" w:rsidR="00D05375" w:rsidRPr="00961DED" w:rsidRDefault="00D05375" w:rsidP="00961DED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61DED">
        <w:rPr>
          <w:rFonts w:ascii="Book Antiqua" w:hAnsi="Book Antiqua" w:cs="Arial"/>
          <w:b/>
          <w:u w:val="single"/>
        </w:rPr>
        <w:t>Notice of Decision</w:t>
      </w:r>
    </w:p>
    <w:p w14:paraId="3637BDAD" w14:textId="77777777" w:rsidR="00D05375" w:rsidRPr="00887EB4" w:rsidRDefault="00D05375" w:rsidP="00D05375">
      <w:pPr>
        <w:jc w:val="both"/>
        <w:rPr>
          <w:rFonts w:ascii="Book Antiqua" w:hAnsi="Book Antiqua" w:cs="Arial"/>
        </w:rPr>
      </w:pPr>
    </w:p>
    <w:p w14:paraId="137466C6" w14:textId="77777777" w:rsidR="000239E1" w:rsidRDefault="00963E06" w:rsidP="000239E1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</w:t>
      </w:r>
      <w:r w:rsidR="002F3F9D">
        <w:rPr>
          <w:rFonts w:ascii="Book Antiqua" w:hAnsi="Book Antiqua" w:cs="Arial"/>
        </w:rPr>
        <w:t>discloses</w:t>
      </w:r>
      <w:r>
        <w:rPr>
          <w:rFonts w:ascii="Book Antiqua" w:hAnsi="Book Antiqua" w:cs="Arial"/>
        </w:rPr>
        <w:t xml:space="preserve"> an error of law and is set aside.  I remake the decision dismissing the appeal of the appellants on all grounds.  </w:t>
      </w:r>
    </w:p>
    <w:p w14:paraId="739773FF" w14:textId="77777777" w:rsidR="000239E1" w:rsidRDefault="000239E1" w:rsidP="000239E1">
      <w:pPr>
        <w:jc w:val="both"/>
        <w:rPr>
          <w:rFonts w:ascii="Book Antiqua" w:hAnsi="Book Antiqua" w:cs="Arial"/>
        </w:rPr>
      </w:pPr>
    </w:p>
    <w:p w14:paraId="1449F513" w14:textId="606C0648" w:rsidR="00A94230" w:rsidRDefault="00961DED" w:rsidP="000239E1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As there is a minor </w:t>
      </w:r>
      <w:r w:rsidR="00A94230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I make an anonymity direction:</w:t>
      </w:r>
      <w:r w:rsidR="00A94230">
        <w:rPr>
          <w:rFonts w:ascii="Book Antiqua" w:hAnsi="Book Antiqua" w:cs="Arial"/>
        </w:rPr>
        <w:t xml:space="preserve">  </w:t>
      </w:r>
    </w:p>
    <w:p w14:paraId="744BA20E" w14:textId="77777777" w:rsidR="000239E1" w:rsidRDefault="000239E1" w:rsidP="000239E1">
      <w:pPr>
        <w:jc w:val="both"/>
        <w:rPr>
          <w:rFonts w:ascii="Book Antiqua" w:hAnsi="Book Antiqua" w:cs="Arial"/>
        </w:rPr>
      </w:pPr>
    </w:p>
    <w:p w14:paraId="1494F038" w14:textId="77777777" w:rsidR="000239E1" w:rsidRPr="004B29B7" w:rsidRDefault="000239E1" w:rsidP="000239E1">
      <w:pPr>
        <w:jc w:val="both"/>
        <w:rPr>
          <w:rFonts w:ascii="Book Antiqua" w:hAnsi="Book Antiqua" w:cs="Arial"/>
          <w:u w:val="single"/>
        </w:rPr>
      </w:pPr>
      <w:r w:rsidRPr="004B29B7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30D05502" w14:textId="77777777" w:rsidR="000239E1" w:rsidRDefault="000239E1" w:rsidP="000239E1">
      <w:pPr>
        <w:jc w:val="both"/>
        <w:rPr>
          <w:rFonts w:ascii="Book Antiqua" w:hAnsi="Book Antiqua" w:cs="Arial"/>
        </w:rPr>
      </w:pPr>
    </w:p>
    <w:p w14:paraId="4359FE33" w14:textId="77777777" w:rsidR="000239E1" w:rsidRPr="00F5664C" w:rsidRDefault="000239E1" w:rsidP="000239E1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Unless and </w:t>
      </w:r>
      <w:r>
        <w:rPr>
          <w:rFonts w:ascii="Book Antiqua" w:hAnsi="Book Antiqua"/>
        </w:rPr>
        <w:t xml:space="preserve">until a Tribunal or court directs otherwise, the </w:t>
      </w:r>
      <w:r w:rsidR="004B29B7">
        <w:rPr>
          <w:rFonts w:ascii="Book Antiqua" w:hAnsi="Book Antiqua"/>
        </w:rPr>
        <w:t>a</w:t>
      </w:r>
      <w:r>
        <w:rPr>
          <w:rFonts w:ascii="Book Antiqua" w:hAnsi="Book Antiqua"/>
        </w:rPr>
        <w:t>ppellant is granted anonymity.  No report of these proceedings shall directly or indirectly identify him or any member of their family.  This direction applies both to the</w:t>
      </w:r>
      <w:r w:rsidR="004B29B7">
        <w:rPr>
          <w:rFonts w:ascii="Book Antiqua" w:hAnsi="Book Antiqua"/>
        </w:rPr>
        <w:t xml:space="preserve"> appellant and to the r</w:t>
      </w:r>
      <w:r>
        <w:rPr>
          <w:rFonts w:ascii="Book Antiqua" w:hAnsi="Book Antiqua"/>
        </w:rPr>
        <w:t>espondent.  Failure to comply with this direction could lead to contempt of court proceedings.</w:t>
      </w:r>
    </w:p>
    <w:p w14:paraId="70E2C6EF" w14:textId="77777777" w:rsidR="00D949B7" w:rsidRDefault="00D949B7" w:rsidP="000A0743">
      <w:pPr>
        <w:jc w:val="both"/>
        <w:rPr>
          <w:rFonts w:ascii="Book Antiqua" w:hAnsi="Book Antiqua" w:cs="Arial"/>
        </w:rPr>
      </w:pPr>
    </w:p>
    <w:p w14:paraId="0383FBDD" w14:textId="68954321" w:rsidR="001F2716" w:rsidRPr="009B7433" w:rsidRDefault="00780F86" w:rsidP="000A0743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="001F2716" w:rsidRPr="009B7433">
        <w:rPr>
          <w:rFonts w:ascii="Book Antiqua" w:hAnsi="Book Antiqua" w:cs="Arial"/>
        </w:rPr>
        <w:t>Date</w:t>
      </w:r>
      <w:r w:rsidR="00961DED">
        <w:rPr>
          <w:rFonts w:ascii="Book Antiqua" w:hAnsi="Book Antiqua" w:cs="Arial"/>
        </w:rPr>
        <w:t>:  25 June 2018</w:t>
      </w:r>
    </w:p>
    <w:p w14:paraId="7961F3A5" w14:textId="77777777" w:rsidR="001F2716" w:rsidRPr="009B7433" w:rsidRDefault="001F2716" w:rsidP="000A0743">
      <w:pPr>
        <w:jc w:val="both"/>
        <w:rPr>
          <w:rFonts w:ascii="Book Antiqua" w:hAnsi="Book Antiqua" w:cs="Arial"/>
        </w:rPr>
      </w:pPr>
    </w:p>
    <w:p w14:paraId="7CB1BA2F" w14:textId="77777777" w:rsidR="00C23DFC" w:rsidRDefault="00C23DFC" w:rsidP="00C23DFC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</w:t>
      </w:r>
      <w:r w:rsidR="00C50137">
        <w:rPr>
          <w:rFonts w:ascii="Book Antiqua" w:hAnsi="Book Antiqua" w:cs="Arial"/>
          <w:color w:val="000000"/>
        </w:rPr>
        <w:t>puty Upper Tribunal Judge Hutchinson</w:t>
      </w:r>
    </w:p>
    <w:p w14:paraId="4940A3CC" w14:textId="5C9A8D84" w:rsidR="004B29B7" w:rsidRDefault="004B29B7" w:rsidP="00D05375">
      <w:pPr>
        <w:jc w:val="both"/>
        <w:rPr>
          <w:rFonts w:ascii="Book Antiqua" w:hAnsi="Book Antiqua" w:cs="Arial"/>
          <w:b/>
          <w:u w:val="single"/>
        </w:rPr>
      </w:pPr>
    </w:p>
    <w:p w14:paraId="3033F52B" w14:textId="545141E5" w:rsidR="00544C38" w:rsidRDefault="00544C38" w:rsidP="00D05375">
      <w:pPr>
        <w:jc w:val="both"/>
        <w:rPr>
          <w:rFonts w:ascii="Book Antiqua" w:hAnsi="Book Antiqua" w:cs="Arial"/>
          <w:b/>
          <w:u w:val="single"/>
        </w:rPr>
      </w:pPr>
    </w:p>
    <w:p w14:paraId="24919EEE" w14:textId="77777777" w:rsidR="00544C38" w:rsidRDefault="00544C38" w:rsidP="00D05375">
      <w:pPr>
        <w:jc w:val="both"/>
        <w:rPr>
          <w:rFonts w:ascii="Book Antiqua" w:hAnsi="Book Antiqua" w:cs="Arial"/>
          <w:b/>
          <w:u w:val="single"/>
        </w:rPr>
      </w:pPr>
    </w:p>
    <w:p w14:paraId="429A30D9" w14:textId="6CC389FD" w:rsidR="00D05375" w:rsidRPr="00887EB4" w:rsidRDefault="00D05375" w:rsidP="00D05375">
      <w:pPr>
        <w:jc w:val="both"/>
        <w:rPr>
          <w:rFonts w:ascii="Book Antiqua" w:hAnsi="Book Antiqua" w:cs="Arial"/>
          <w:b/>
          <w:u w:val="single"/>
        </w:rPr>
      </w:pPr>
      <w:r w:rsidRPr="00887EB4">
        <w:rPr>
          <w:rFonts w:ascii="Book Antiqua" w:hAnsi="Book Antiqua" w:cs="Arial"/>
          <w:b/>
          <w:u w:val="single"/>
        </w:rPr>
        <w:t>TO THE RESPONDENT</w:t>
      </w:r>
    </w:p>
    <w:p w14:paraId="3050DB69" w14:textId="77777777" w:rsidR="00D05375" w:rsidRPr="00887EB4" w:rsidRDefault="00D05375" w:rsidP="00D05375">
      <w:pPr>
        <w:ind w:left="567" w:hanging="567"/>
        <w:jc w:val="both"/>
        <w:rPr>
          <w:rFonts w:ascii="Book Antiqua" w:hAnsi="Book Antiqua" w:cs="Arial"/>
        </w:rPr>
      </w:pPr>
      <w:r w:rsidRPr="00887EB4">
        <w:rPr>
          <w:rFonts w:ascii="Book Antiqua" w:hAnsi="Book Antiqua" w:cs="Arial"/>
          <w:b/>
          <w:u w:val="single"/>
        </w:rPr>
        <w:t>FEE AWARD</w:t>
      </w:r>
    </w:p>
    <w:p w14:paraId="28FE182C" w14:textId="77777777" w:rsidR="00D05375" w:rsidRPr="00887EB4" w:rsidRDefault="00D05375" w:rsidP="00D05375">
      <w:pPr>
        <w:ind w:left="567" w:hanging="567"/>
        <w:jc w:val="both"/>
        <w:rPr>
          <w:rFonts w:ascii="Book Antiqua" w:hAnsi="Book Antiqua" w:cs="Arial"/>
        </w:rPr>
      </w:pPr>
    </w:p>
    <w:p w14:paraId="36F21F56" w14:textId="67E6E48B" w:rsidR="00D05375" w:rsidRDefault="001A0312" w:rsidP="00D0537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dismissed; </w:t>
      </w:r>
      <w:proofErr w:type="gramStart"/>
      <w:r>
        <w:rPr>
          <w:rFonts w:ascii="Book Antiqua" w:hAnsi="Book Antiqua" w:cs="Arial"/>
        </w:rPr>
        <w:t>therefore</w:t>
      </w:r>
      <w:proofErr w:type="gramEnd"/>
      <w:r>
        <w:rPr>
          <w:rFonts w:ascii="Book Antiqua" w:hAnsi="Book Antiqua" w:cs="Arial"/>
        </w:rPr>
        <w:t xml:space="preserve"> there can be no fee award</w:t>
      </w:r>
      <w:r w:rsidR="00D05375">
        <w:rPr>
          <w:rFonts w:ascii="Book Antiqua" w:hAnsi="Book Antiqua" w:cs="Arial"/>
        </w:rPr>
        <w:t>.</w:t>
      </w:r>
    </w:p>
    <w:p w14:paraId="42CFC180" w14:textId="77777777" w:rsidR="00D949B7" w:rsidRDefault="00D949B7" w:rsidP="00D949B7">
      <w:pPr>
        <w:jc w:val="both"/>
        <w:rPr>
          <w:rFonts w:ascii="Book Antiqua" w:hAnsi="Book Antiqua" w:cs="Arial"/>
        </w:rPr>
      </w:pPr>
    </w:p>
    <w:p w14:paraId="373F16A7" w14:textId="63341C41" w:rsidR="00D949B7" w:rsidRPr="009B7433" w:rsidRDefault="00D949B7" w:rsidP="000A0743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  <w:t>Date</w:t>
      </w:r>
      <w:r w:rsidR="00961DED">
        <w:rPr>
          <w:rFonts w:ascii="Book Antiqua" w:hAnsi="Book Antiqua" w:cs="Arial"/>
        </w:rPr>
        <w:t>:  25 June 2018</w:t>
      </w:r>
    </w:p>
    <w:p w14:paraId="413D2EAB" w14:textId="77777777" w:rsidR="00961DED" w:rsidRDefault="00961DED" w:rsidP="00C23DFC">
      <w:pPr>
        <w:jc w:val="both"/>
        <w:rPr>
          <w:rFonts w:ascii="Book Antiqua" w:hAnsi="Book Antiqua" w:cs="Arial"/>
          <w:color w:val="000000"/>
        </w:rPr>
      </w:pPr>
    </w:p>
    <w:p w14:paraId="13DC868F" w14:textId="77777777" w:rsidR="00C23DFC" w:rsidRPr="001C5703" w:rsidRDefault="00C23DFC" w:rsidP="00C23DFC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</w:t>
      </w:r>
      <w:r w:rsidR="00C50137">
        <w:rPr>
          <w:rFonts w:ascii="Book Antiqua" w:hAnsi="Book Antiqua" w:cs="Arial"/>
          <w:color w:val="000000"/>
        </w:rPr>
        <w:t>puty Upper Tribunal Judge Hutchinson</w:t>
      </w:r>
    </w:p>
    <w:sectPr w:rsidR="00C23DFC" w:rsidRPr="001C5703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F2850" w14:textId="77777777" w:rsidR="00643D50" w:rsidRDefault="00643D50">
      <w:r>
        <w:separator/>
      </w:r>
    </w:p>
  </w:endnote>
  <w:endnote w:type="continuationSeparator" w:id="0">
    <w:p w14:paraId="13722278" w14:textId="77777777" w:rsidR="00643D50" w:rsidRDefault="0064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BDB70" w14:textId="1FFE253B" w:rsidR="00406DDA" w:rsidRPr="009B7433" w:rsidRDefault="00406DDA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C6AE2">
      <w:rPr>
        <w:rStyle w:val="PageNumber"/>
        <w:rFonts w:ascii="Book Antiqua" w:hAnsi="Book Antiqua" w:cs="Arial"/>
        <w:noProof/>
        <w:sz w:val="16"/>
        <w:szCs w:val="16"/>
      </w:rPr>
      <w:t>4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D6FF" w14:textId="77777777" w:rsidR="00406DDA" w:rsidRPr="009B7433" w:rsidRDefault="00406DDA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9566D" w14:textId="77777777" w:rsidR="00643D50" w:rsidRDefault="00643D50">
      <w:r>
        <w:separator/>
      </w:r>
    </w:p>
  </w:footnote>
  <w:footnote w:type="continuationSeparator" w:id="0">
    <w:p w14:paraId="58A49F42" w14:textId="77777777" w:rsidR="00643D50" w:rsidRDefault="00643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0F0D" w14:textId="6603FFA9" w:rsidR="00406DDA" w:rsidRDefault="00406DDA" w:rsidP="000239E1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</w:t>
    </w:r>
    <w:r>
      <w:rPr>
        <w:rFonts w:ascii="Book Antiqua" w:hAnsi="Book Antiqua" w:cs="Arial"/>
        <w:sz w:val="16"/>
        <w:szCs w:val="16"/>
      </w:rPr>
      <w:t>s</w:t>
    </w:r>
    <w:r w:rsidRPr="00F5664C">
      <w:rPr>
        <w:rFonts w:ascii="Book Antiqua" w:hAnsi="Book Antiqua" w:cs="Arial"/>
        <w:sz w:val="16"/>
        <w:szCs w:val="16"/>
      </w:rPr>
      <w:t>:</w:t>
    </w:r>
    <w:r>
      <w:rPr>
        <w:rFonts w:ascii="Book Antiqua" w:hAnsi="Book Antiqua" w:cs="Arial"/>
        <w:sz w:val="16"/>
        <w:szCs w:val="16"/>
      </w:rPr>
      <w:t xml:space="preserve"> HU/06893/2017</w:t>
    </w:r>
  </w:p>
  <w:p w14:paraId="44B842BF" w14:textId="77777777" w:rsidR="00406DDA" w:rsidRDefault="00406DDA" w:rsidP="000239E1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HU/06895/2017</w:t>
    </w:r>
  </w:p>
  <w:p w14:paraId="5E459570" w14:textId="77777777" w:rsidR="00406DDA" w:rsidRPr="000239E1" w:rsidRDefault="00406DDA" w:rsidP="000239E1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59237" w14:textId="2B2706F0" w:rsidR="00406DDA" w:rsidRPr="009B7433" w:rsidRDefault="00406DDA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21C4C59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1134"/>
          </w:tabs>
          <w:ind w:left="1134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2835"/>
          </w:tabs>
          <w:ind w:left="2835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E0"/>
    <w:rsid w:val="00000621"/>
    <w:rsid w:val="000036C2"/>
    <w:rsid w:val="00016C1A"/>
    <w:rsid w:val="000226C2"/>
    <w:rsid w:val="0002293F"/>
    <w:rsid w:val="000239E1"/>
    <w:rsid w:val="00033588"/>
    <w:rsid w:val="00033D3D"/>
    <w:rsid w:val="000363C4"/>
    <w:rsid w:val="0004776F"/>
    <w:rsid w:val="00052895"/>
    <w:rsid w:val="00062F02"/>
    <w:rsid w:val="00071A7E"/>
    <w:rsid w:val="000746C0"/>
    <w:rsid w:val="00074D1D"/>
    <w:rsid w:val="00092580"/>
    <w:rsid w:val="00093D4D"/>
    <w:rsid w:val="000A0743"/>
    <w:rsid w:val="000D5D94"/>
    <w:rsid w:val="000D78F7"/>
    <w:rsid w:val="000F1A0E"/>
    <w:rsid w:val="001046AB"/>
    <w:rsid w:val="001165A7"/>
    <w:rsid w:val="0016508E"/>
    <w:rsid w:val="00167D3A"/>
    <w:rsid w:val="00173F50"/>
    <w:rsid w:val="00177BBA"/>
    <w:rsid w:val="00185986"/>
    <w:rsid w:val="001A0312"/>
    <w:rsid w:val="001A3082"/>
    <w:rsid w:val="001A53AD"/>
    <w:rsid w:val="001B186A"/>
    <w:rsid w:val="001B2F75"/>
    <w:rsid w:val="001C6F5F"/>
    <w:rsid w:val="001D6167"/>
    <w:rsid w:val="001F2716"/>
    <w:rsid w:val="001F3AC0"/>
    <w:rsid w:val="0020302E"/>
    <w:rsid w:val="00207617"/>
    <w:rsid w:val="00224ED1"/>
    <w:rsid w:val="0023134B"/>
    <w:rsid w:val="002618DD"/>
    <w:rsid w:val="00283659"/>
    <w:rsid w:val="002A1DA8"/>
    <w:rsid w:val="002A2FB3"/>
    <w:rsid w:val="002C6BD4"/>
    <w:rsid w:val="002D68BF"/>
    <w:rsid w:val="002E4541"/>
    <w:rsid w:val="002F3F9D"/>
    <w:rsid w:val="002F4DBC"/>
    <w:rsid w:val="002F6B98"/>
    <w:rsid w:val="003118EE"/>
    <w:rsid w:val="00321803"/>
    <w:rsid w:val="00325EED"/>
    <w:rsid w:val="00336CBF"/>
    <w:rsid w:val="00343FE3"/>
    <w:rsid w:val="003546C8"/>
    <w:rsid w:val="00363499"/>
    <w:rsid w:val="00366757"/>
    <w:rsid w:val="00367DFE"/>
    <w:rsid w:val="00375490"/>
    <w:rsid w:val="003825D4"/>
    <w:rsid w:val="003A7CF2"/>
    <w:rsid w:val="003C5CE5"/>
    <w:rsid w:val="003D6F50"/>
    <w:rsid w:val="003D6FAD"/>
    <w:rsid w:val="003E267B"/>
    <w:rsid w:val="003E627A"/>
    <w:rsid w:val="003E7CD1"/>
    <w:rsid w:val="003F7C53"/>
    <w:rsid w:val="00402B9E"/>
    <w:rsid w:val="00406DDA"/>
    <w:rsid w:val="00420968"/>
    <w:rsid w:val="004249CB"/>
    <w:rsid w:val="0044127D"/>
    <w:rsid w:val="004448DB"/>
    <w:rsid w:val="00446C9A"/>
    <w:rsid w:val="00452F2B"/>
    <w:rsid w:val="00477193"/>
    <w:rsid w:val="00483A3F"/>
    <w:rsid w:val="00492E0F"/>
    <w:rsid w:val="00494FDB"/>
    <w:rsid w:val="004A1848"/>
    <w:rsid w:val="004A2D15"/>
    <w:rsid w:val="004A308C"/>
    <w:rsid w:val="004A534C"/>
    <w:rsid w:val="004A6BE7"/>
    <w:rsid w:val="004A6F4A"/>
    <w:rsid w:val="004B29B7"/>
    <w:rsid w:val="004B70D7"/>
    <w:rsid w:val="004D38D4"/>
    <w:rsid w:val="004D6B45"/>
    <w:rsid w:val="004E4717"/>
    <w:rsid w:val="004E5A1B"/>
    <w:rsid w:val="0050058E"/>
    <w:rsid w:val="00507FEC"/>
    <w:rsid w:val="00510F0E"/>
    <w:rsid w:val="00523A83"/>
    <w:rsid w:val="0052605C"/>
    <w:rsid w:val="00544C38"/>
    <w:rsid w:val="005479E1"/>
    <w:rsid w:val="00553028"/>
    <w:rsid w:val="00553E0A"/>
    <w:rsid w:val="005570FD"/>
    <w:rsid w:val="005575EA"/>
    <w:rsid w:val="005600A2"/>
    <w:rsid w:val="0057790C"/>
    <w:rsid w:val="00593795"/>
    <w:rsid w:val="0059710F"/>
    <w:rsid w:val="005A6FBE"/>
    <w:rsid w:val="005A75FF"/>
    <w:rsid w:val="005C3D99"/>
    <w:rsid w:val="005D10AB"/>
    <w:rsid w:val="005E2697"/>
    <w:rsid w:val="005E30EB"/>
    <w:rsid w:val="00601A45"/>
    <w:rsid w:val="00601D8F"/>
    <w:rsid w:val="00605582"/>
    <w:rsid w:val="00606A60"/>
    <w:rsid w:val="00606C47"/>
    <w:rsid w:val="00611F34"/>
    <w:rsid w:val="00621FE8"/>
    <w:rsid w:val="00627F6C"/>
    <w:rsid w:val="00633647"/>
    <w:rsid w:val="00636E7C"/>
    <w:rsid w:val="006434B6"/>
    <w:rsid w:val="00643D50"/>
    <w:rsid w:val="0065193F"/>
    <w:rsid w:val="00653E97"/>
    <w:rsid w:val="006661FA"/>
    <w:rsid w:val="006667DB"/>
    <w:rsid w:val="00670E10"/>
    <w:rsid w:val="00672285"/>
    <w:rsid w:val="00684A74"/>
    <w:rsid w:val="0068620A"/>
    <w:rsid w:val="00690B8A"/>
    <w:rsid w:val="006A1282"/>
    <w:rsid w:val="006A1C9B"/>
    <w:rsid w:val="006B1462"/>
    <w:rsid w:val="006C5945"/>
    <w:rsid w:val="006C69E0"/>
    <w:rsid w:val="006D68CF"/>
    <w:rsid w:val="006F2CF1"/>
    <w:rsid w:val="007038ED"/>
    <w:rsid w:val="00703BC3"/>
    <w:rsid w:val="00704A55"/>
    <w:rsid w:val="00704B61"/>
    <w:rsid w:val="007151A4"/>
    <w:rsid w:val="00715A64"/>
    <w:rsid w:val="0072153B"/>
    <w:rsid w:val="0072693A"/>
    <w:rsid w:val="00727095"/>
    <w:rsid w:val="00740C1F"/>
    <w:rsid w:val="00745AC0"/>
    <w:rsid w:val="007552A9"/>
    <w:rsid w:val="0075658A"/>
    <w:rsid w:val="00761858"/>
    <w:rsid w:val="00767D59"/>
    <w:rsid w:val="00773FDE"/>
    <w:rsid w:val="00776E97"/>
    <w:rsid w:val="00780F86"/>
    <w:rsid w:val="007912AD"/>
    <w:rsid w:val="00797F19"/>
    <w:rsid w:val="007B0824"/>
    <w:rsid w:val="007B5D3C"/>
    <w:rsid w:val="007C1D15"/>
    <w:rsid w:val="007F4C4E"/>
    <w:rsid w:val="00815011"/>
    <w:rsid w:val="00821B72"/>
    <w:rsid w:val="00823EF2"/>
    <w:rsid w:val="00825644"/>
    <w:rsid w:val="008303B8"/>
    <w:rsid w:val="00833B4C"/>
    <w:rsid w:val="00833DCE"/>
    <w:rsid w:val="00833E86"/>
    <w:rsid w:val="008475C7"/>
    <w:rsid w:val="0086255F"/>
    <w:rsid w:val="00871D34"/>
    <w:rsid w:val="0087387C"/>
    <w:rsid w:val="008811AB"/>
    <w:rsid w:val="008A25EC"/>
    <w:rsid w:val="008A4307"/>
    <w:rsid w:val="008A5BA3"/>
    <w:rsid w:val="008A6059"/>
    <w:rsid w:val="008B270C"/>
    <w:rsid w:val="008B4D7B"/>
    <w:rsid w:val="008B5078"/>
    <w:rsid w:val="008C3D3D"/>
    <w:rsid w:val="008D4131"/>
    <w:rsid w:val="008E734D"/>
    <w:rsid w:val="008F1932"/>
    <w:rsid w:val="008F1D2E"/>
    <w:rsid w:val="0090151B"/>
    <w:rsid w:val="009042A9"/>
    <w:rsid w:val="00921062"/>
    <w:rsid w:val="009243E1"/>
    <w:rsid w:val="0093075D"/>
    <w:rsid w:val="00961DED"/>
    <w:rsid w:val="00963E06"/>
    <w:rsid w:val="00967800"/>
    <w:rsid w:val="009722BC"/>
    <w:rsid w:val="009727A3"/>
    <w:rsid w:val="00984462"/>
    <w:rsid w:val="00987774"/>
    <w:rsid w:val="009A11E8"/>
    <w:rsid w:val="009B1F1B"/>
    <w:rsid w:val="009B7433"/>
    <w:rsid w:val="009B75CD"/>
    <w:rsid w:val="009C57C8"/>
    <w:rsid w:val="009E5D0F"/>
    <w:rsid w:val="009F5220"/>
    <w:rsid w:val="00A07617"/>
    <w:rsid w:val="00A07919"/>
    <w:rsid w:val="00A15234"/>
    <w:rsid w:val="00A172F5"/>
    <w:rsid w:val="00A201AB"/>
    <w:rsid w:val="00A31C8B"/>
    <w:rsid w:val="00A34B27"/>
    <w:rsid w:val="00A509FA"/>
    <w:rsid w:val="00A65042"/>
    <w:rsid w:val="00A672D8"/>
    <w:rsid w:val="00A70621"/>
    <w:rsid w:val="00A8148D"/>
    <w:rsid w:val="00A845DC"/>
    <w:rsid w:val="00A86B40"/>
    <w:rsid w:val="00A941E5"/>
    <w:rsid w:val="00A94230"/>
    <w:rsid w:val="00AD31A7"/>
    <w:rsid w:val="00AF0DDF"/>
    <w:rsid w:val="00AF33CF"/>
    <w:rsid w:val="00B22943"/>
    <w:rsid w:val="00B26AA2"/>
    <w:rsid w:val="00B34E48"/>
    <w:rsid w:val="00B3524D"/>
    <w:rsid w:val="00B40F69"/>
    <w:rsid w:val="00B46616"/>
    <w:rsid w:val="00B47B0C"/>
    <w:rsid w:val="00B528BB"/>
    <w:rsid w:val="00B7040A"/>
    <w:rsid w:val="00B81F43"/>
    <w:rsid w:val="00B83391"/>
    <w:rsid w:val="00B95326"/>
    <w:rsid w:val="00BA05CA"/>
    <w:rsid w:val="00BB0E17"/>
    <w:rsid w:val="00BD4196"/>
    <w:rsid w:val="00BD6CC4"/>
    <w:rsid w:val="00BF22CA"/>
    <w:rsid w:val="00BF23BB"/>
    <w:rsid w:val="00C05C3B"/>
    <w:rsid w:val="00C20569"/>
    <w:rsid w:val="00C23DFC"/>
    <w:rsid w:val="00C24D89"/>
    <w:rsid w:val="00C26032"/>
    <w:rsid w:val="00C325DF"/>
    <w:rsid w:val="00C33A3E"/>
    <w:rsid w:val="00C345E1"/>
    <w:rsid w:val="00C40D6C"/>
    <w:rsid w:val="00C43BFD"/>
    <w:rsid w:val="00C50137"/>
    <w:rsid w:val="00C5136A"/>
    <w:rsid w:val="00C54B19"/>
    <w:rsid w:val="00C6048A"/>
    <w:rsid w:val="00C63947"/>
    <w:rsid w:val="00C642B7"/>
    <w:rsid w:val="00C65008"/>
    <w:rsid w:val="00C67553"/>
    <w:rsid w:val="00C7400E"/>
    <w:rsid w:val="00C92FBF"/>
    <w:rsid w:val="00CB289E"/>
    <w:rsid w:val="00CB6E35"/>
    <w:rsid w:val="00CC6AE2"/>
    <w:rsid w:val="00CD49F2"/>
    <w:rsid w:val="00CD5134"/>
    <w:rsid w:val="00CE09B1"/>
    <w:rsid w:val="00CE0BA6"/>
    <w:rsid w:val="00CE105F"/>
    <w:rsid w:val="00CE1A46"/>
    <w:rsid w:val="00CE775C"/>
    <w:rsid w:val="00CF1672"/>
    <w:rsid w:val="00D05375"/>
    <w:rsid w:val="00D05A50"/>
    <w:rsid w:val="00D05EA6"/>
    <w:rsid w:val="00D20757"/>
    <w:rsid w:val="00D22636"/>
    <w:rsid w:val="00D40FD9"/>
    <w:rsid w:val="00D52D94"/>
    <w:rsid w:val="00D53769"/>
    <w:rsid w:val="00D54C6C"/>
    <w:rsid w:val="00D606FA"/>
    <w:rsid w:val="00D6602D"/>
    <w:rsid w:val="00D85C13"/>
    <w:rsid w:val="00D8718E"/>
    <w:rsid w:val="00D9111A"/>
    <w:rsid w:val="00D91BE3"/>
    <w:rsid w:val="00D949B7"/>
    <w:rsid w:val="00D94AFC"/>
    <w:rsid w:val="00DB70AE"/>
    <w:rsid w:val="00DD5071"/>
    <w:rsid w:val="00DD5C39"/>
    <w:rsid w:val="00DE5CD4"/>
    <w:rsid w:val="00DE7DB7"/>
    <w:rsid w:val="00E00A0A"/>
    <w:rsid w:val="00E066DE"/>
    <w:rsid w:val="00E07F57"/>
    <w:rsid w:val="00E139B7"/>
    <w:rsid w:val="00E17E85"/>
    <w:rsid w:val="00E20C6B"/>
    <w:rsid w:val="00E30683"/>
    <w:rsid w:val="00E403E4"/>
    <w:rsid w:val="00E410D1"/>
    <w:rsid w:val="00E42107"/>
    <w:rsid w:val="00E453D8"/>
    <w:rsid w:val="00E4627B"/>
    <w:rsid w:val="00E50BCE"/>
    <w:rsid w:val="00E52490"/>
    <w:rsid w:val="00E574BF"/>
    <w:rsid w:val="00E61292"/>
    <w:rsid w:val="00E700B4"/>
    <w:rsid w:val="00E73606"/>
    <w:rsid w:val="00E770C3"/>
    <w:rsid w:val="00E77C4D"/>
    <w:rsid w:val="00E81D01"/>
    <w:rsid w:val="00E84CFB"/>
    <w:rsid w:val="00EA79AF"/>
    <w:rsid w:val="00EB485A"/>
    <w:rsid w:val="00EC43DB"/>
    <w:rsid w:val="00ED0770"/>
    <w:rsid w:val="00EE1E17"/>
    <w:rsid w:val="00EE45D8"/>
    <w:rsid w:val="00EE7739"/>
    <w:rsid w:val="00EF1B2F"/>
    <w:rsid w:val="00EF33A0"/>
    <w:rsid w:val="00EF7BC9"/>
    <w:rsid w:val="00F04306"/>
    <w:rsid w:val="00F22EDA"/>
    <w:rsid w:val="00F23A19"/>
    <w:rsid w:val="00F468CE"/>
    <w:rsid w:val="00F470D6"/>
    <w:rsid w:val="00F5589A"/>
    <w:rsid w:val="00F82F6B"/>
    <w:rsid w:val="00F870B8"/>
    <w:rsid w:val="00FB0BBE"/>
    <w:rsid w:val="00FB205F"/>
    <w:rsid w:val="00FC40FA"/>
    <w:rsid w:val="00FC58F9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FBE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2018-07-17T14:44:00Z</dcterms:created>
  <dcterms:modified xsi:type="dcterms:W3CDTF">2018-07-17T14:44:00Z</dcterms:modified>
</cp:coreProperties>
</file>