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F5D5D" w14:textId="77777777" w:rsidR="00E500B2" w:rsidRPr="00B57D66" w:rsidRDefault="001244DE" w:rsidP="00E500B2">
      <w:pPr>
        <w:jc w:val="center"/>
        <w:rPr>
          <w:rFonts w:ascii="Book Antiqua" w:hAnsi="Book Antiqua" w:cs="Arial"/>
          <w:caps/>
          <w:color w:val="000000"/>
          <w:sz w:val="16"/>
          <w:szCs w:val="16"/>
        </w:rPr>
      </w:pPr>
      <w:bookmarkStart w:id="0" w:name="_GoBack"/>
      <w:bookmarkEnd w:id="0"/>
      <w:r>
        <w:rPr>
          <w:noProof/>
        </w:rPr>
        <w:drawing>
          <wp:inline distT="0" distB="0" distL="0" distR="0" wp14:anchorId="68892593" wp14:editId="7073651F">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5B95929F" w14:textId="77777777" w:rsidR="00D94AFC" w:rsidRPr="00B57D66" w:rsidRDefault="00D94AFC">
      <w:pPr>
        <w:rPr>
          <w:rFonts w:ascii="Book Antiqua" w:hAnsi="Book Antiqua" w:cs="Arial"/>
          <w:color w:val="000000"/>
        </w:rPr>
      </w:pPr>
    </w:p>
    <w:p w14:paraId="1426C384"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2E276C0E" w14:textId="77777777" w:rsidR="007B0824"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1244DE">
        <w:rPr>
          <w:rFonts w:ascii="Book Antiqua" w:hAnsi="Book Antiqua" w:cs="Arial"/>
          <w:color w:val="000000"/>
        </w:rPr>
        <w:t>s</w:t>
      </w:r>
      <w:r w:rsidR="00D53769" w:rsidRPr="00B57D66">
        <w:rPr>
          <w:rFonts w:ascii="Book Antiqua" w:hAnsi="Book Antiqua" w:cs="Arial"/>
          <w:color w:val="000000"/>
        </w:rPr>
        <w:t>:</w:t>
      </w:r>
      <w:r w:rsidR="00B3524D" w:rsidRPr="00B57D66">
        <w:rPr>
          <w:rFonts w:ascii="Book Antiqua" w:hAnsi="Book Antiqua" w:cs="Arial"/>
          <w:color w:val="000000"/>
        </w:rPr>
        <w:t xml:space="preserve"> </w:t>
      </w:r>
      <w:r w:rsidR="001244DE" w:rsidRPr="001244DE">
        <w:rPr>
          <w:rFonts w:ascii="Book Antiqua" w:hAnsi="Book Antiqua" w:cs="Arial"/>
          <w:caps/>
          <w:color w:val="000000"/>
        </w:rPr>
        <w:t>HU/06992/2016</w:t>
      </w:r>
    </w:p>
    <w:p w14:paraId="39692B67" w14:textId="77777777" w:rsidR="001244DE" w:rsidRPr="00B57D66" w:rsidRDefault="001244DE" w:rsidP="00780F86">
      <w:pPr>
        <w:tabs>
          <w:tab w:val="right" w:pos="9720"/>
        </w:tabs>
        <w:ind w:right="-82"/>
        <w:rPr>
          <w:rFonts w:ascii="Book Antiqua" w:hAnsi="Book Antiqua" w:cs="Arial"/>
          <w:color w:val="000000"/>
        </w:rPr>
      </w:pPr>
      <w:r>
        <w:rPr>
          <w:rFonts w:ascii="Book Antiqua" w:hAnsi="Book Antiqua" w:cs="Arial"/>
          <w:color w:val="000000"/>
        </w:rPr>
        <w:tab/>
      </w:r>
      <w:r w:rsidRPr="001244DE">
        <w:rPr>
          <w:rFonts w:ascii="Book Antiqua" w:hAnsi="Book Antiqua" w:cs="Arial"/>
          <w:color w:val="000000"/>
        </w:rPr>
        <w:t>HU/06998/2016</w:t>
      </w:r>
    </w:p>
    <w:p w14:paraId="12B2F1DA" w14:textId="77777777" w:rsidR="00C345E1" w:rsidRPr="00B57D66" w:rsidRDefault="00C345E1" w:rsidP="00C345E1">
      <w:pPr>
        <w:jc w:val="center"/>
        <w:rPr>
          <w:rFonts w:ascii="Book Antiqua" w:hAnsi="Book Antiqua" w:cs="Arial"/>
          <w:color w:val="000000"/>
        </w:rPr>
      </w:pPr>
    </w:p>
    <w:p w14:paraId="75F4ED17"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503894B3" w14:textId="77777777" w:rsidR="00C345E1" w:rsidRPr="00B57D66" w:rsidRDefault="00C345E1" w:rsidP="00C345E1">
      <w:pPr>
        <w:jc w:val="center"/>
        <w:rPr>
          <w:rFonts w:ascii="Book Antiqua" w:hAnsi="Book Antiqua" w:cs="Arial"/>
          <w:b/>
          <w:u w:val="single"/>
        </w:rPr>
      </w:pPr>
    </w:p>
    <w:p w14:paraId="25AD6EEC"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5"/>
        <w:gridCol w:w="1233"/>
        <w:gridCol w:w="3960"/>
      </w:tblGrid>
      <w:tr w:rsidR="00D22636" w:rsidRPr="00B57D66" w14:paraId="2BF7BAAA" w14:textId="77777777" w:rsidTr="002922A2">
        <w:tc>
          <w:tcPr>
            <w:tcW w:w="4815" w:type="dxa"/>
          </w:tcPr>
          <w:p w14:paraId="098509B0"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1244DE">
              <w:rPr>
                <w:rFonts w:ascii="Book Antiqua" w:hAnsi="Book Antiqua" w:cs="Arial"/>
                <w:b/>
              </w:rPr>
              <w:t xml:space="preserve">Field House </w:t>
            </w:r>
          </w:p>
        </w:tc>
        <w:tc>
          <w:tcPr>
            <w:tcW w:w="5193" w:type="dxa"/>
            <w:gridSpan w:val="2"/>
          </w:tcPr>
          <w:p w14:paraId="4FD15005"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50B1E9E9" w14:textId="77777777" w:rsidTr="002922A2">
        <w:tc>
          <w:tcPr>
            <w:tcW w:w="4815" w:type="dxa"/>
          </w:tcPr>
          <w:p w14:paraId="59C0E658"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1244DE">
              <w:rPr>
                <w:rFonts w:ascii="Book Antiqua" w:hAnsi="Book Antiqua" w:cs="Arial"/>
                <w:b/>
              </w:rPr>
              <w:t>8 June 2018</w:t>
            </w:r>
          </w:p>
        </w:tc>
        <w:tc>
          <w:tcPr>
            <w:tcW w:w="5193" w:type="dxa"/>
            <w:gridSpan w:val="2"/>
          </w:tcPr>
          <w:p w14:paraId="5851AEF6" w14:textId="15D2C9B8" w:rsidR="00D22636" w:rsidRPr="00B57D66" w:rsidRDefault="002922A2" w:rsidP="004A1848">
            <w:pPr>
              <w:jc w:val="both"/>
              <w:rPr>
                <w:rFonts w:ascii="Book Antiqua" w:hAnsi="Book Antiqua" w:cs="Arial"/>
                <w:b/>
              </w:rPr>
            </w:pPr>
            <w:r>
              <w:rPr>
                <w:rFonts w:ascii="Book Antiqua" w:hAnsi="Book Antiqua" w:cs="Arial"/>
                <w:b/>
              </w:rPr>
              <w:t xml:space="preserve">On 18 June 2016 </w:t>
            </w:r>
          </w:p>
        </w:tc>
      </w:tr>
      <w:tr w:rsidR="00D22636" w:rsidRPr="00B57D66" w14:paraId="58897CB6" w14:textId="77777777" w:rsidTr="002922A2">
        <w:tc>
          <w:tcPr>
            <w:tcW w:w="6048" w:type="dxa"/>
            <w:gridSpan w:val="2"/>
          </w:tcPr>
          <w:p w14:paraId="5467619D" w14:textId="77777777" w:rsidR="00D22636" w:rsidRPr="00B57D66" w:rsidRDefault="00D22636" w:rsidP="004A1848">
            <w:pPr>
              <w:jc w:val="both"/>
              <w:rPr>
                <w:rFonts w:ascii="Book Antiqua" w:hAnsi="Book Antiqua" w:cs="Arial"/>
                <w:b/>
              </w:rPr>
            </w:pPr>
          </w:p>
        </w:tc>
        <w:tc>
          <w:tcPr>
            <w:tcW w:w="3960" w:type="dxa"/>
          </w:tcPr>
          <w:p w14:paraId="1D18B94D" w14:textId="0A198E9F" w:rsidR="00D22636" w:rsidRPr="00B57D66" w:rsidRDefault="00D22636" w:rsidP="004A1848">
            <w:pPr>
              <w:jc w:val="both"/>
              <w:rPr>
                <w:rFonts w:ascii="Book Antiqua" w:hAnsi="Book Antiqua" w:cs="Arial"/>
                <w:b/>
              </w:rPr>
            </w:pPr>
          </w:p>
        </w:tc>
      </w:tr>
    </w:tbl>
    <w:p w14:paraId="2D8245BC" w14:textId="77777777" w:rsidR="00A15234" w:rsidRPr="00B57D66" w:rsidRDefault="00A15234" w:rsidP="00A15234">
      <w:pPr>
        <w:jc w:val="center"/>
        <w:rPr>
          <w:rFonts w:ascii="Book Antiqua" w:hAnsi="Book Antiqua" w:cs="Arial"/>
        </w:rPr>
      </w:pPr>
    </w:p>
    <w:p w14:paraId="79B9FB2F" w14:textId="77777777" w:rsidR="00A15234" w:rsidRPr="00B57D66" w:rsidRDefault="00A15234" w:rsidP="00A15234">
      <w:pPr>
        <w:jc w:val="center"/>
        <w:rPr>
          <w:rFonts w:ascii="Book Antiqua" w:hAnsi="Book Antiqua" w:cs="Arial"/>
        </w:rPr>
      </w:pPr>
    </w:p>
    <w:p w14:paraId="6EE63B9F"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118A4537" w14:textId="77777777" w:rsidR="00A15234" w:rsidRPr="00B57D66" w:rsidRDefault="00A15234" w:rsidP="00A15234">
      <w:pPr>
        <w:jc w:val="center"/>
        <w:rPr>
          <w:rFonts w:ascii="Book Antiqua" w:hAnsi="Book Antiqua" w:cs="Arial"/>
          <w:b/>
        </w:rPr>
      </w:pPr>
    </w:p>
    <w:p w14:paraId="008E0B9A"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645FC465"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48FE5266" w14:textId="77777777" w:rsidR="00D20757" w:rsidRPr="00B57D66" w:rsidRDefault="00D20757" w:rsidP="00A15234">
      <w:pPr>
        <w:jc w:val="center"/>
        <w:rPr>
          <w:rFonts w:ascii="Book Antiqua" w:hAnsi="Book Antiqua" w:cs="Arial"/>
          <w:b/>
        </w:rPr>
      </w:pPr>
    </w:p>
    <w:p w14:paraId="5FABF416"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62BFD272" w14:textId="77777777" w:rsidR="00A845DC" w:rsidRPr="00B57D66" w:rsidRDefault="00A845DC" w:rsidP="00A15234">
      <w:pPr>
        <w:jc w:val="center"/>
        <w:rPr>
          <w:rFonts w:ascii="Book Antiqua" w:hAnsi="Book Antiqua" w:cs="Arial"/>
          <w:b/>
        </w:rPr>
      </w:pPr>
    </w:p>
    <w:p w14:paraId="73F9532D" w14:textId="77777777" w:rsidR="00A845DC" w:rsidRDefault="001244DE" w:rsidP="00A15234">
      <w:pPr>
        <w:jc w:val="center"/>
        <w:rPr>
          <w:rFonts w:ascii="Book Antiqua" w:hAnsi="Book Antiqua" w:cs="Arial"/>
          <w:b/>
          <w:caps/>
        </w:rPr>
      </w:pPr>
      <w:r>
        <w:rPr>
          <w:rFonts w:ascii="Book Antiqua" w:hAnsi="Book Antiqua" w:cs="Arial"/>
          <w:b/>
          <w:caps/>
        </w:rPr>
        <w:t xml:space="preserve">mr </w:t>
      </w:r>
      <w:r w:rsidRPr="001244DE">
        <w:rPr>
          <w:rFonts w:ascii="Book Antiqua" w:hAnsi="Book Antiqua" w:cs="Arial"/>
          <w:b/>
          <w:caps/>
        </w:rPr>
        <w:t>Nouman Khurshid</w:t>
      </w:r>
      <w:r>
        <w:rPr>
          <w:rFonts w:ascii="Book Antiqua" w:hAnsi="Book Antiqua" w:cs="Arial"/>
          <w:b/>
          <w:caps/>
        </w:rPr>
        <w:t xml:space="preserve"> </w:t>
      </w:r>
      <w:r w:rsidRPr="001244DE">
        <w:rPr>
          <w:rFonts w:ascii="Book Antiqua" w:hAnsi="Book Antiqua" w:cs="Arial"/>
          <w:b/>
          <w:caps/>
        </w:rPr>
        <w:t>Qureshi</w:t>
      </w:r>
    </w:p>
    <w:p w14:paraId="3EF8D78A" w14:textId="77777777" w:rsidR="001244DE" w:rsidRDefault="001244DE" w:rsidP="00A15234">
      <w:pPr>
        <w:jc w:val="center"/>
        <w:rPr>
          <w:rFonts w:ascii="Book Antiqua" w:hAnsi="Book Antiqua" w:cs="Arial"/>
          <w:b/>
          <w:caps/>
        </w:rPr>
      </w:pPr>
      <w:r>
        <w:rPr>
          <w:rFonts w:ascii="Book Antiqua" w:hAnsi="Book Antiqua" w:cs="Arial"/>
          <w:b/>
          <w:caps/>
        </w:rPr>
        <w:t xml:space="preserve">mr </w:t>
      </w:r>
      <w:r w:rsidRPr="001244DE">
        <w:rPr>
          <w:rFonts w:ascii="Book Antiqua" w:hAnsi="Book Antiqua" w:cs="Arial"/>
          <w:b/>
          <w:caps/>
        </w:rPr>
        <w:t>Farhan Khurshid</w:t>
      </w:r>
      <w:r>
        <w:rPr>
          <w:rFonts w:ascii="Book Antiqua" w:hAnsi="Book Antiqua" w:cs="Arial"/>
          <w:b/>
          <w:caps/>
        </w:rPr>
        <w:t xml:space="preserve"> </w:t>
      </w:r>
      <w:r w:rsidRPr="001244DE">
        <w:rPr>
          <w:rFonts w:ascii="Book Antiqua" w:hAnsi="Book Antiqua" w:cs="Arial"/>
          <w:b/>
          <w:caps/>
        </w:rPr>
        <w:t>Qureshi</w:t>
      </w:r>
    </w:p>
    <w:p w14:paraId="6B719C13" w14:textId="77777777" w:rsidR="00704B61" w:rsidRPr="00B57D66" w:rsidRDefault="00173CC6" w:rsidP="00A15234">
      <w:pPr>
        <w:jc w:val="center"/>
        <w:rPr>
          <w:rFonts w:ascii="Book Antiqua" w:hAnsi="Book Antiqua" w:cs="Arial"/>
          <w:b/>
        </w:rPr>
      </w:pPr>
      <w:r w:rsidRPr="00173CC6">
        <w:rPr>
          <w:rFonts w:ascii="Book Antiqua" w:hAnsi="Book Antiqua" w:cs="Arial"/>
          <w:b/>
          <w:caps/>
        </w:rPr>
        <w:t xml:space="preserve">(ANONYMITY DIRECTION </w:t>
      </w:r>
      <w:r w:rsidR="0063065C">
        <w:rPr>
          <w:rFonts w:ascii="Book Antiqua" w:hAnsi="Book Antiqua" w:cs="Arial"/>
          <w:b/>
          <w:caps/>
        </w:rPr>
        <w:t>not made</w:t>
      </w:r>
      <w:r w:rsidRPr="00173CC6">
        <w:rPr>
          <w:rFonts w:ascii="Book Antiqua" w:hAnsi="Book Antiqua" w:cs="Arial"/>
          <w:b/>
          <w:caps/>
        </w:rPr>
        <w:t>)</w:t>
      </w:r>
    </w:p>
    <w:p w14:paraId="007D8808"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r w:rsidR="001244DE">
        <w:rPr>
          <w:rFonts w:ascii="Book Antiqua" w:hAnsi="Book Antiqua" w:cs="Arial"/>
          <w:u w:val="single"/>
        </w:rPr>
        <w:t>s</w:t>
      </w:r>
    </w:p>
    <w:p w14:paraId="6AD84996"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068BDF8E" w14:textId="77777777" w:rsidR="00DD5071" w:rsidRPr="00B57D66" w:rsidRDefault="00DD5071" w:rsidP="00704B61">
      <w:pPr>
        <w:jc w:val="center"/>
        <w:rPr>
          <w:rFonts w:ascii="Book Antiqua" w:hAnsi="Book Antiqua" w:cs="Arial"/>
          <w:b/>
        </w:rPr>
      </w:pPr>
    </w:p>
    <w:p w14:paraId="3F0C045B"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4B0FF29F" w14:textId="77777777" w:rsidR="00DD5071" w:rsidRPr="00B57D66" w:rsidRDefault="00DD5071" w:rsidP="00704B61">
      <w:pPr>
        <w:jc w:val="center"/>
        <w:rPr>
          <w:rFonts w:ascii="Book Antiqua" w:hAnsi="Book Antiqua" w:cs="Arial"/>
          <w:b/>
        </w:rPr>
      </w:pPr>
    </w:p>
    <w:p w14:paraId="3DDB9641"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2C2002F2" w14:textId="77777777" w:rsidR="00DD5071" w:rsidRPr="00B57D66" w:rsidRDefault="00DD5071" w:rsidP="00DD5071">
      <w:pPr>
        <w:rPr>
          <w:rFonts w:ascii="Book Antiqua" w:hAnsi="Book Antiqua" w:cs="Arial"/>
          <w:u w:val="single"/>
        </w:rPr>
      </w:pPr>
    </w:p>
    <w:p w14:paraId="631DD4C1"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0A77DDF6" w14:textId="77777777" w:rsidR="00DE7DB7" w:rsidRPr="00B57D66" w:rsidRDefault="00DE7DB7" w:rsidP="00DD5071">
      <w:pPr>
        <w:rPr>
          <w:rFonts w:ascii="Book Antiqua" w:hAnsi="Book Antiqua" w:cs="Arial"/>
        </w:rPr>
      </w:pPr>
    </w:p>
    <w:p w14:paraId="338AE4C9" w14:textId="77777777" w:rsidR="00DE7DB7" w:rsidRPr="00B57D66" w:rsidRDefault="00DE7DB7" w:rsidP="001244DE">
      <w:pPr>
        <w:ind w:left="2552" w:hanging="2552"/>
        <w:rPr>
          <w:rFonts w:ascii="Book Antiqua" w:hAnsi="Book Antiqua" w:cs="Arial"/>
        </w:rPr>
      </w:pPr>
      <w:r w:rsidRPr="00B57D66">
        <w:rPr>
          <w:rFonts w:ascii="Book Antiqua" w:hAnsi="Book Antiqua" w:cs="Arial"/>
        </w:rPr>
        <w:t>For the Appellant</w:t>
      </w:r>
      <w:r w:rsidR="001244DE">
        <w:rPr>
          <w:rFonts w:ascii="Book Antiqua" w:hAnsi="Book Antiqua" w:cs="Arial"/>
        </w:rPr>
        <w:t>s</w:t>
      </w:r>
      <w:r w:rsidRPr="00B57D66">
        <w:rPr>
          <w:rFonts w:ascii="Book Antiqua" w:hAnsi="Book Antiqua" w:cs="Arial"/>
        </w:rPr>
        <w:t>:</w:t>
      </w:r>
      <w:r w:rsidRPr="00B57D66">
        <w:rPr>
          <w:rFonts w:ascii="Book Antiqua" w:hAnsi="Book Antiqua" w:cs="Arial"/>
        </w:rPr>
        <w:tab/>
      </w:r>
      <w:r w:rsidR="001244DE">
        <w:rPr>
          <w:rFonts w:ascii="Book Antiqua" w:hAnsi="Book Antiqua" w:cs="Arial"/>
        </w:rPr>
        <w:t xml:space="preserve">Mr L Youssefim, Counsel, instructed by Richmond Chambers Immigration </w:t>
      </w:r>
    </w:p>
    <w:p w14:paraId="7277B242"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1244DE">
        <w:rPr>
          <w:rFonts w:ascii="Book Antiqua" w:hAnsi="Book Antiqua" w:cs="Arial"/>
        </w:rPr>
        <w:t xml:space="preserve">Mr S Walker, Home Office Presenting Officer </w:t>
      </w:r>
    </w:p>
    <w:p w14:paraId="74FE7380" w14:textId="77777777" w:rsidR="00DE7DB7" w:rsidRPr="00B57D66" w:rsidRDefault="00DE7DB7" w:rsidP="00402B9E">
      <w:pPr>
        <w:tabs>
          <w:tab w:val="left" w:pos="2520"/>
        </w:tabs>
        <w:jc w:val="center"/>
        <w:rPr>
          <w:rFonts w:ascii="Book Antiqua" w:hAnsi="Book Antiqua" w:cs="Arial"/>
        </w:rPr>
      </w:pPr>
    </w:p>
    <w:p w14:paraId="60A1FA7F" w14:textId="77777777" w:rsidR="00DE7DB7" w:rsidRPr="00B57D66" w:rsidRDefault="00DE7DB7" w:rsidP="00402B9E">
      <w:pPr>
        <w:tabs>
          <w:tab w:val="left" w:pos="2520"/>
        </w:tabs>
        <w:jc w:val="center"/>
        <w:rPr>
          <w:rFonts w:ascii="Book Antiqua" w:hAnsi="Book Antiqua" w:cs="Arial"/>
        </w:rPr>
      </w:pPr>
    </w:p>
    <w:p w14:paraId="4113C3DC" w14:textId="5173323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D77494">
        <w:rPr>
          <w:rFonts w:ascii="Book Antiqua" w:hAnsi="Book Antiqua" w:cs="Arial"/>
          <w:b/>
          <w:u w:val="single"/>
        </w:rPr>
        <w:t>DIRECTIONS</w:t>
      </w:r>
    </w:p>
    <w:p w14:paraId="2E4DB414" w14:textId="77777777" w:rsidR="00402B9E" w:rsidRPr="00B57D66" w:rsidRDefault="00402B9E" w:rsidP="00402B9E">
      <w:pPr>
        <w:tabs>
          <w:tab w:val="left" w:pos="2520"/>
        </w:tabs>
        <w:jc w:val="both"/>
        <w:rPr>
          <w:rFonts w:ascii="Book Antiqua" w:hAnsi="Book Antiqua" w:cs="Arial"/>
        </w:rPr>
      </w:pPr>
    </w:p>
    <w:p w14:paraId="76021EFB" w14:textId="77777777" w:rsidR="004B5AEF" w:rsidRDefault="004B5AEF" w:rsidP="00BF23BB">
      <w:pPr>
        <w:tabs>
          <w:tab w:val="left" w:pos="567"/>
        </w:tabs>
        <w:ind w:left="567" w:hanging="567"/>
        <w:jc w:val="both"/>
        <w:rPr>
          <w:rFonts w:ascii="Book Antiqua" w:hAnsi="Book Antiqua" w:cs="Arial"/>
        </w:rPr>
      </w:pPr>
    </w:p>
    <w:p w14:paraId="4A6B7A78" w14:textId="646003DD"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63065C">
        <w:rPr>
          <w:rFonts w:ascii="Book Antiqua" w:hAnsi="Book Antiqua" w:cs="Arial"/>
        </w:rPr>
        <w:t>The appellant</w:t>
      </w:r>
      <w:r w:rsidR="00CA67EE">
        <w:rPr>
          <w:rFonts w:ascii="Book Antiqua" w:hAnsi="Book Antiqua" w:cs="Arial"/>
        </w:rPr>
        <w:t>s</w:t>
      </w:r>
      <w:r w:rsidR="0063065C">
        <w:rPr>
          <w:rFonts w:ascii="Book Antiqua" w:hAnsi="Book Antiqua" w:cs="Arial"/>
        </w:rPr>
        <w:t xml:space="preserve">, citizens of Pakistan, who are twins, have permission to challenge the decision of Judge Walker of the First-tier Tribunal (FtT) sent on 19 July 2017 dismissing </w:t>
      </w:r>
      <w:r w:rsidR="0063065C">
        <w:rPr>
          <w:rFonts w:ascii="Book Antiqua" w:hAnsi="Book Antiqua" w:cs="Arial"/>
        </w:rPr>
        <w:lastRenderedPageBreak/>
        <w:t xml:space="preserve">their appeals against the decisions of </w:t>
      </w:r>
      <w:r w:rsidR="00C3505B">
        <w:rPr>
          <w:rFonts w:ascii="Book Antiqua" w:hAnsi="Book Antiqua" w:cs="Arial"/>
        </w:rPr>
        <w:t xml:space="preserve">the respondent made on 22 February 2016 to refuse their applications for ILR on the basis of long residence.  The appellants have very similar immigration histories.  Both arrived in the UK as students on 30 January 2006.  Both received extensions in the same capacity until 31 May 2010.  After </w:t>
      </w:r>
      <w:r w:rsidR="00866011">
        <w:rPr>
          <w:rFonts w:ascii="Book Antiqua" w:hAnsi="Book Antiqua" w:cs="Arial"/>
        </w:rPr>
        <w:t xml:space="preserve">making </w:t>
      </w:r>
      <w:r w:rsidR="00C3505B">
        <w:rPr>
          <w:rFonts w:ascii="Book Antiqua" w:hAnsi="Book Antiqua" w:cs="Arial"/>
        </w:rPr>
        <w:t xml:space="preserve">in time applications both were granted further </w:t>
      </w:r>
      <w:r w:rsidR="00935143">
        <w:rPr>
          <w:rFonts w:ascii="Book Antiqua" w:hAnsi="Book Antiqua" w:cs="Arial"/>
        </w:rPr>
        <w:t xml:space="preserve">leave </w:t>
      </w:r>
      <w:r w:rsidR="00C3505B">
        <w:rPr>
          <w:rFonts w:ascii="Book Antiqua" w:hAnsi="Book Antiqua" w:cs="Arial"/>
        </w:rPr>
        <w:t xml:space="preserve">under the Tier 1 (General) </w:t>
      </w:r>
      <w:r w:rsidR="00054D79">
        <w:rPr>
          <w:rFonts w:ascii="Book Antiqua" w:hAnsi="Book Antiqua" w:cs="Arial"/>
        </w:rPr>
        <w:t xml:space="preserve">scheme </w:t>
      </w:r>
      <w:r w:rsidR="00C3505B">
        <w:rPr>
          <w:rFonts w:ascii="Book Antiqua" w:hAnsi="Book Antiqua" w:cs="Arial"/>
        </w:rPr>
        <w:t xml:space="preserve">valid until 29 April and 20 May 2016 respectively.  On 7 January </w:t>
      </w:r>
      <w:r w:rsidR="008361DD">
        <w:rPr>
          <w:rFonts w:ascii="Book Antiqua" w:hAnsi="Book Antiqua" w:cs="Arial"/>
        </w:rPr>
        <w:t xml:space="preserve">2016 they made their applications for ILR the refusals of which </w:t>
      </w:r>
      <w:r w:rsidR="00CA67EE">
        <w:rPr>
          <w:rFonts w:ascii="Book Antiqua" w:hAnsi="Book Antiqua" w:cs="Arial"/>
        </w:rPr>
        <w:t>were</w:t>
      </w:r>
      <w:r w:rsidR="008361DD">
        <w:rPr>
          <w:rFonts w:ascii="Book Antiqua" w:hAnsi="Book Antiqua" w:cs="Arial"/>
        </w:rPr>
        <w:t xml:space="preserve"> the subject of their appeal to the FtT.  </w:t>
      </w:r>
    </w:p>
    <w:p w14:paraId="18462E07" w14:textId="77777777" w:rsidR="008361DD" w:rsidRDefault="008361DD" w:rsidP="00BF23BB">
      <w:pPr>
        <w:tabs>
          <w:tab w:val="left" w:pos="567"/>
        </w:tabs>
        <w:ind w:left="567" w:hanging="567"/>
        <w:jc w:val="both"/>
        <w:rPr>
          <w:rFonts w:ascii="Book Antiqua" w:hAnsi="Book Antiqua" w:cs="Arial"/>
        </w:rPr>
      </w:pPr>
    </w:p>
    <w:p w14:paraId="5760939D" w14:textId="5F080C23" w:rsidR="008361DD" w:rsidRDefault="008361DD"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refusal decisions of the respondent stated that the respondent considered paragraph 322(5) of the Immigration Rules (which concerns grounds on which leave to remain and variation of leave to enter or remain in the UK should normally be refused) applied to them because there were considerable discrepancies in the amount of earnings they had declared/paid tax on to HMRC for tax years 2011/2012 and 2012/2013 and the earnings they declared to UKVI </w:t>
      </w:r>
      <w:r w:rsidR="006E286E">
        <w:rPr>
          <w:rFonts w:ascii="Book Antiqua" w:hAnsi="Book Antiqua" w:cs="Arial"/>
        </w:rPr>
        <w:t>relating to</w:t>
      </w:r>
      <w:r>
        <w:rPr>
          <w:rFonts w:ascii="Book Antiqua" w:hAnsi="Book Antiqua" w:cs="Arial"/>
        </w:rPr>
        <w:t xml:space="preserve"> the </w:t>
      </w:r>
      <w:r w:rsidR="00CA67EE">
        <w:rPr>
          <w:rFonts w:ascii="Book Antiqua" w:hAnsi="Book Antiqua" w:cs="Arial"/>
        </w:rPr>
        <w:t xml:space="preserve">same periods.  </w:t>
      </w:r>
      <w:r>
        <w:rPr>
          <w:rFonts w:ascii="Book Antiqua" w:hAnsi="Book Antiqua" w:cs="Arial"/>
        </w:rPr>
        <w:t>The refusal letters in respect of each appellant stated:</w:t>
      </w:r>
    </w:p>
    <w:p w14:paraId="2F0BDC68" w14:textId="77777777" w:rsidR="008361DD" w:rsidRDefault="008361DD" w:rsidP="00BF23BB">
      <w:pPr>
        <w:tabs>
          <w:tab w:val="left" w:pos="567"/>
        </w:tabs>
        <w:ind w:left="567" w:hanging="567"/>
        <w:jc w:val="both"/>
        <w:rPr>
          <w:rFonts w:ascii="Book Antiqua" w:hAnsi="Book Antiqua" w:cs="Arial"/>
        </w:rPr>
      </w:pPr>
    </w:p>
    <w:p w14:paraId="75134A9C" w14:textId="77777777" w:rsidR="008361DD" w:rsidRDefault="008361DD" w:rsidP="00CA67EE">
      <w:pPr>
        <w:tabs>
          <w:tab w:val="left" w:pos="567"/>
        </w:tabs>
        <w:ind w:left="1134"/>
        <w:jc w:val="both"/>
        <w:rPr>
          <w:rFonts w:ascii="Book Antiqua" w:hAnsi="Book Antiqua" w:cs="Arial"/>
        </w:rPr>
      </w:pPr>
      <w:r>
        <w:rPr>
          <w:rFonts w:ascii="Book Antiqua" w:hAnsi="Book Antiqua" w:cs="Arial"/>
        </w:rPr>
        <w:t xml:space="preserve">“Therefore, on this basis, your application for indefinite leave to remain has been refused under paragraphs 276D and paragraph 322 with reference to paragraph 276B(iii) and paragraph 322(5) … as your character and conduct in misleading another government department would </w:t>
      </w:r>
      <w:r w:rsidR="00CA67EE">
        <w:rPr>
          <w:rFonts w:ascii="Book Antiqua" w:hAnsi="Book Antiqua" w:cs="Arial"/>
        </w:rPr>
        <w:t>lead</w:t>
      </w:r>
      <w:r>
        <w:rPr>
          <w:rFonts w:ascii="Book Antiqua" w:hAnsi="Book Antiqua" w:cs="Arial"/>
        </w:rPr>
        <w:t xml:space="preserve"> to the undesirability of permitting you to remain in the UK.”</w:t>
      </w:r>
    </w:p>
    <w:p w14:paraId="002231CB" w14:textId="77777777" w:rsidR="008361DD" w:rsidRDefault="008361DD" w:rsidP="00BF23BB">
      <w:pPr>
        <w:tabs>
          <w:tab w:val="left" w:pos="567"/>
        </w:tabs>
        <w:ind w:left="567" w:hanging="567"/>
        <w:jc w:val="both"/>
        <w:rPr>
          <w:rFonts w:ascii="Book Antiqua" w:hAnsi="Book Antiqua" w:cs="Arial"/>
        </w:rPr>
      </w:pPr>
    </w:p>
    <w:p w14:paraId="3ADCFA9C" w14:textId="614FDD8F" w:rsidR="008361DD" w:rsidRDefault="00335DA7"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grounds of appeal are discursive</w:t>
      </w:r>
      <w:r w:rsidR="008361DD">
        <w:rPr>
          <w:rFonts w:ascii="Book Antiqua" w:hAnsi="Book Antiqua" w:cs="Arial"/>
        </w:rPr>
        <w:t xml:space="preserve"> (and were supplemented by a lengthy </w:t>
      </w:r>
      <w:r w:rsidR="006F50CF">
        <w:rPr>
          <w:rFonts w:ascii="Book Antiqua" w:hAnsi="Book Antiqua" w:cs="Arial"/>
        </w:rPr>
        <w:t xml:space="preserve">and no less discursive </w:t>
      </w:r>
      <w:r w:rsidR="008361DD">
        <w:rPr>
          <w:rFonts w:ascii="Book Antiqua" w:hAnsi="Book Antiqua" w:cs="Arial"/>
        </w:rPr>
        <w:t>skeleton argument), but in essence contended that the judge was wrong to apply paragraph 322(5) against the appellants because</w:t>
      </w:r>
      <w:r w:rsidR="00A55FAA">
        <w:rPr>
          <w:rFonts w:ascii="Book Antiqua" w:hAnsi="Book Antiqua" w:cs="Arial"/>
        </w:rPr>
        <w:t xml:space="preserve"> properly analysed</w:t>
      </w:r>
      <w:r w:rsidR="008361DD">
        <w:rPr>
          <w:rFonts w:ascii="Book Antiqua" w:hAnsi="Book Antiqua" w:cs="Arial"/>
        </w:rPr>
        <w:t xml:space="preserve"> the differences between the earnings declared to the HMRC and UKVI were small and the surrounding circumstances did not indicate that their earnings were not genuine or that they had intended to inflate/deflate their earnings to the UKVI for immigration advantage.  The judge was also </w:t>
      </w:r>
      <w:r w:rsidR="00CA67EE">
        <w:rPr>
          <w:rFonts w:ascii="Book Antiqua" w:hAnsi="Book Antiqua" w:cs="Arial"/>
        </w:rPr>
        <w:t>said</w:t>
      </w:r>
      <w:r w:rsidR="008361DD">
        <w:rPr>
          <w:rFonts w:ascii="Book Antiqua" w:hAnsi="Book Antiqua" w:cs="Arial"/>
        </w:rPr>
        <w:t xml:space="preserve"> to have ignored that paragraph 322(5) is a </w:t>
      </w:r>
      <w:r w:rsidR="005F5796">
        <w:rPr>
          <w:rFonts w:ascii="Book Antiqua" w:hAnsi="Book Antiqua" w:cs="Arial"/>
        </w:rPr>
        <w:t>discretionary p</w:t>
      </w:r>
      <w:r w:rsidR="008361DD">
        <w:rPr>
          <w:rFonts w:ascii="Book Antiqua" w:hAnsi="Book Antiqua" w:cs="Arial"/>
        </w:rPr>
        <w:t xml:space="preserve">rovision.  </w:t>
      </w:r>
    </w:p>
    <w:p w14:paraId="4A86FF8D" w14:textId="77777777" w:rsidR="008361DD" w:rsidRDefault="008361DD" w:rsidP="00BF23BB">
      <w:pPr>
        <w:tabs>
          <w:tab w:val="left" w:pos="567"/>
        </w:tabs>
        <w:ind w:left="567" w:hanging="567"/>
        <w:jc w:val="both"/>
        <w:rPr>
          <w:rFonts w:ascii="Book Antiqua" w:hAnsi="Book Antiqua" w:cs="Arial"/>
        </w:rPr>
      </w:pPr>
    </w:p>
    <w:p w14:paraId="38069406" w14:textId="1ECC5421" w:rsidR="008361DD" w:rsidRDefault="008361DD"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r>
      <w:r w:rsidR="00017F9F">
        <w:rPr>
          <w:rFonts w:ascii="Book Antiqua" w:hAnsi="Book Antiqua" w:cs="Arial"/>
        </w:rPr>
        <w:t>I have no hesitation in finding that the judge’s treatment of the paragraph 322(5</w:t>
      </w:r>
      <w:r w:rsidR="00CA67EE">
        <w:rPr>
          <w:rFonts w:ascii="Book Antiqua" w:hAnsi="Book Antiqua" w:cs="Arial"/>
        </w:rPr>
        <w:t>)</w:t>
      </w:r>
      <w:r w:rsidR="00017F9F">
        <w:rPr>
          <w:rFonts w:ascii="Book Antiqua" w:hAnsi="Book Antiqua" w:cs="Arial"/>
        </w:rPr>
        <w:t xml:space="preserve"> issue was legally flawed.  As the respondent noted in her refusal decision</w:t>
      </w:r>
      <w:r w:rsidR="006E4F70">
        <w:rPr>
          <w:rFonts w:ascii="Book Antiqua" w:hAnsi="Book Antiqua" w:cs="Arial"/>
        </w:rPr>
        <w:t xml:space="preserve">, </w:t>
      </w:r>
      <w:r w:rsidR="00017F9F">
        <w:rPr>
          <w:rFonts w:ascii="Book Antiqua" w:hAnsi="Book Antiqua" w:cs="Arial"/>
        </w:rPr>
        <w:t xml:space="preserve"> paragraph </w:t>
      </w:r>
      <w:r w:rsidR="005F5796">
        <w:rPr>
          <w:rFonts w:ascii="Book Antiqua" w:hAnsi="Book Antiqua" w:cs="Arial"/>
        </w:rPr>
        <w:t xml:space="preserve">322(5) is a discretionary provision.  What the judge was required to do was decide whether the respondent was right to exercise her discretion </w:t>
      </w:r>
      <w:r w:rsidR="000F7646">
        <w:rPr>
          <w:rFonts w:ascii="Book Antiqua" w:hAnsi="Book Antiqua" w:cs="Arial"/>
        </w:rPr>
        <w:t xml:space="preserve">under this provision </w:t>
      </w:r>
      <w:r w:rsidR="005F5796">
        <w:rPr>
          <w:rFonts w:ascii="Book Antiqua" w:hAnsi="Book Antiqua" w:cs="Arial"/>
        </w:rPr>
        <w:t xml:space="preserve">adversely to the appellants.  Secondly, when considering the character and conduct provision set out in paragraph 322(5) </w:t>
      </w:r>
      <w:r w:rsidR="005F5796" w:rsidRPr="00A55FAA">
        <w:rPr>
          <w:rFonts w:ascii="Book Antiqua" w:hAnsi="Book Antiqua" w:cs="Arial"/>
        </w:rPr>
        <w:t>the decision-maker (on</w:t>
      </w:r>
      <w:r w:rsidR="005F5796">
        <w:rPr>
          <w:rFonts w:ascii="Book Antiqua" w:hAnsi="Book Antiqua" w:cs="Arial"/>
        </w:rPr>
        <w:t xml:space="preserve"> appeal the judge) is required to conduct a balancing exercise looking at the positive and negative aspects: see </w:t>
      </w:r>
      <w:r w:rsidR="005F5796" w:rsidRPr="00661E6A">
        <w:rPr>
          <w:rFonts w:ascii="Book Antiqua" w:hAnsi="Book Antiqua" w:cs="Arial"/>
          <w:b/>
          <w:u w:val="single"/>
        </w:rPr>
        <w:t>Ngouh, R (On the application of) v SSHD</w:t>
      </w:r>
      <w:r w:rsidR="005F5796" w:rsidRPr="00661E6A">
        <w:rPr>
          <w:rFonts w:ascii="Book Antiqua" w:hAnsi="Book Antiqua" w:cs="Arial"/>
          <w:b/>
        </w:rPr>
        <w:t xml:space="preserve"> </w:t>
      </w:r>
      <w:r w:rsidR="005F5796" w:rsidRPr="00156038">
        <w:rPr>
          <w:rFonts w:ascii="Book Antiqua" w:hAnsi="Book Antiqua" w:cs="Arial"/>
        </w:rPr>
        <w:t>[201</w:t>
      </w:r>
      <w:r w:rsidR="00661E6A" w:rsidRPr="00156038">
        <w:rPr>
          <w:rFonts w:ascii="Book Antiqua" w:hAnsi="Book Antiqua" w:cs="Arial"/>
        </w:rPr>
        <w:t>0] EWHC 22</w:t>
      </w:r>
      <w:r w:rsidR="005F5796" w:rsidRPr="00156038">
        <w:rPr>
          <w:rFonts w:ascii="Book Antiqua" w:hAnsi="Book Antiqua" w:cs="Arial"/>
        </w:rPr>
        <w:t>18 (Admin).</w:t>
      </w:r>
      <w:r w:rsidR="005F5796">
        <w:rPr>
          <w:rFonts w:ascii="Book Antiqua" w:hAnsi="Book Antiqua" w:cs="Arial"/>
        </w:rPr>
        <w:t xml:space="preserve">  All the judge did, however, was to state at paragraph 37 that “the respondent has satisfied the burden and standard of proof to show initially that different earnings have been submitted to UKVI and HMRC and so paragraph 322(5) has been properly invoked</w:t>
      </w:r>
      <w:r w:rsidR="00661E6A">
        <w:rPr>
          <w:rFonts w:ascii="Book Antiqua" w:hAnsi="Book Antiqua" w:cs="Arial"/>
        </w:rPr>
        <w:t>”</w:t>
      </w:r>
      <w:r w:rsidR="005F5796">
        <w:rPr>
          <w:rFonts w:ascii="Book Antiqua" w:hAnsi="Book Antiqua" w:cs="Arial"/>
        </w:rPr>
        <w:t xml:space="preserve"> </w:t>
      </w:r>
      <w:r w:rsidR="00A04624">
        <w:rPr>
          <w:rFonts w:ascii="Book Antiqua" w:hAnsi="Book Antiqua" w:cs="Arial"/>
        </w:rPr>
        <w:t>. L</w:t>
      </w:r>
      <w:r w:rsidR="005F5796">
        <w:rPr>
          <w:rFonts w:ascii="Book Antiqua" w:hAnsi="Book Antiqua" w:cs="Arial"/>
        </w:rPr>
        <w:t xml:space="preserve">eaving aside (i) that by referring to the burden of proof </w:t>
      </w:r>
      <w:r w:rsidR="00843A7A">
        <w:rPr>
          <w:rFonts w:ascii="Book Antiqua" w:hAnsi="Book Antiqua" w:cs="Arial"/>
        </w:rPr>
        <w:t xml:space="preserve">having </w:t>
      </w:r>
      <w:r w:rsidR="005F5796">
        <w:rPr>
          <w:rFonts w:ascii="Book Antiqua" w:hAnsi="Book Antiqua" w:cs="Arial"/>
        </w:rPr>
        <w:t xml:space="preserve">been discharged by the respondent “initially” the judge appears here to be only dealing with whether the respondent had discharged the initial evidential burden, without stating why the appellants were found not to be able to discharge the evidential burden that then shifted to them; and </w:t>
      </w:r>
      <w:r w:rsidR="005F5796">
        <w:rPr>
          <w:rFonts w:ascii="Book Antiqua" w:hAnsi="Book Antiqua" w:cs="Arial"/>
        </w:rPr>
        <w:lastRenderedPageBreak/>
        <w:t xml:space="preserve">(ii) the mere fact that different earnings had been submitted was not in itself sufficient to engage </w:t>
      </w:r>
      <w:r w:rsidR="008741CB">
        <w:rPr>
          <w:rFonts w:ascii="Book Antiqua" w:hAnsi="Book Antiqua" w:cs="Arial"/>
        </w:rPr>
        <w:t xml:space="preserve">character and conduct considerations, the judge’s reasoning </w:t>
      </w:r>
      <w:r w:rsidR="0044238F">
        <w:rPr>
          <w:rFonts w:ascii="Book Antiqua" w:hAnsi="Book Antiqua" w:cs="Arial"/>
        </w:rPr>
        <w:t>at this juncture</w:t>
      </w:r>
      <w:r w:rsidR="008741CB">
        <w:rPr>
          <w:rFonts w:ascii="Book Antiqua" w:hAnsi="Book Antiqua" w:cs="Arial"/>
        </w:rPr>
        <w:t xml:space="preserve"> appears to assume that all that he was required to do was </w:t>
      </w:r>
      <w:r w:rsidR="00275C3C">
        <w:rPr>
          <w:rFonts w:ascii="Book Antiqua" w:hAnsi="Book Antiqua" w:cs="Arial"/>
        </w:rPr>
        <w:t xml:space="preserve">review </w:t>
      </w:r>
      <w:r w:rsidR="008741CB">
        <w:rPr>
          <w:rFonts w:ascii="Book Antiqua" w:hAnsi="Book Antiqua" w:cs="Arial"/>
        </w:rPr>
        <w:t xml:space="preserve">whether the respondent could lawfully or </w:t>
      </w:r>
      <w:r w:rsidR="00843A7A">
        <w:rPr>
          <w:rFonts w:ascii="Book Antiqua" w:hAnsi="Book Antiqua" w:cs="Arial"/>
        </w:rPr>
        <w:t>reasonably</w:t>
      </w:r>
      <w:r w:rsidR="008741CB">
        <w:rPr>
          <w:rFonts w:ascii="Book Antiqua" w:hAnsi="Book Antiqua" w:cs="Arial"/>
        </w:rPr>
        <w:t xml:space="preserve"> invoke paragraph 322(5) </w:t>
      </w:r>
      <w:r w:rsidR="009154BC">
        <w:rPr>
          <w:rFonts w:ascii="Book Antiqua" w:hAnsi="Book Antiqua" w:cs="Arial"/>
        </w:rPr>
        <w:t xml:space="preserve">rather than </w:t>
      </w:r>
      <w:r w:rsidR="0050061C">
        <w:rPr>
          <w:rFonts w:ascii="Book Antiqua" w:hAnsi="Book Antiqua" w:cs="Arial"/>
        </w:rPr>
        <w:t xml:space="preserve"> </w:t>
      </w:r>
      <w:r w:rsidR="00E7704C">
        <w:rPr>
          <w:rFonts w:ascii="Book Antiqua" w:hAnsi="Book Antiqua" w:cs="Arial"/>
        </w:rPr>
        <w:t xml:space="preserve">examine whether </w:t>
      </w:r>
      <w:r w:rsidR="008741CB">
        <w:rPr>
          <w:rFonts w:ascii="Book Antiqua" w:hAnsi="Book Antiqua" w:cs="Arial"/>
        </w:rPr>
        <w:t xml:space="preserve"> its exercise </w:t>
      </w:r>
      <w:r w:rsidR="009428D5">
        <w:rPr>
          <w:rFonts w:ascii="Book Antiqua" w:hAnsi="Book Antiqua" w:cs="Arial"/>
        </w:rPr>
        <w:t xml:space="preserve">was </w:t>
      </w:r>
      <w:r w:rsidR="008741CB">
        <w:rPr>
          <w:rFonts w:ascii="Book Antiqua" w:hAnsi="Book Antiqua" w:cs="Arial"/>
        </w:rPr>
        <w:t xml:space="preserve">justified on the merits.  </w:t>
      </w:r>
    </w:p>
    <w:p w14:paraId="6F696ED0" w14:textId="77777777" w:rsidR="008741CB" w:rsidRDefault="008741CB" w:rsidP="00BF23BB">
      <w:pPr>
        <w:tabs>
          <w:tab w:val="left" w:pos="567"/>
        </w:tabs>
        <w:ind w:left="567" w:hanging="567"/>
        <w:jc w:val="both"/>
        <w:rPr>
          <w:rFonts w:ascii="Book Antiqua" w:hAnsi="Book Antiqua" w:cs="Arial"/>
        </w:rPr>
      </w:pPr>
    </w:p>
    <w:p w14:paraId="3ACD0A17" w14:textId="3CC4F658" w:rsidR="008741CB" w:rsidRDefault="008741CB"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Clearly this error </w:t>
      </w:r>
      <w:r w:rsidR="00843A7A">
        <w:rPr>
          <w:rFonts w:ascii="Book Antiqua" w:hAnsi="Book Antiqua" w:cs="Arial"/>
        </w:rPr>
        <w:t>had</w:t>
      </w:r>
      <w:r>
        <w:rPr>
          <w:rFonts w:ascii="Book Antiqua" w:hAnsi="Book Antiqua" w:cs="Arial"/>
        </w:rPr>
        <w:t xml:space="preserve"> a material effect on the outcome of the appeal since if paragraph 322(5) did not apply the appellants stood to succeed under paragraph 276B on the grounds of long residence.  (Mr Walker accepted that if the paragraph 322(5) ground fell away </w:t>
      </w:r>
      <w:r w:rsidR="001C6A07">
        <w:rPr>
          <w:rFonts w:ascii="Book Antiqua" w:hAnsi="Book Antiqua" w:cs="Arial"/>
        </w:rPr>
        <w:t xml:space="preserve">- </w:t>
      </w:r>
      <w:r>
        <w:rPr>
          <w:rFonts w:ascii="Book Antiqua" w:hAnsi="Book Antiqua" w:cs="Arial"/>
        </w:rPr>
        <w:t xml:space="preserve">and with it paragraph 276B(iii) which excludes those who “fall for refusal under </w:t>
      </w:r>
      <w:r w:rsidR="006458E1">
        <w:rPr>
          <w:rFonts w:ascii="Book Antiqua" w:hAnsi="Book Antiqua" w:cs="Arial"/>
        </w:rPr>
        <w:t>the general grounds of refusal” -</w:t>
      </w:r>
      <w:r>
        <w:rPr>
          <w:rFonts w:ascii="Book Antiqua" w:hAnsi="Book Antiqua" w:cs="Arial"/>
        </w:rPr>
        <w:t xml:space="preserve"> the appellants met the requirements of paragraph 276B in full, on the strength of their long residence.  He did </w:t>
      </w:r>
      <w:r w:rsidR="00843A7A">
        <w:rPr>
          <w:rFonts w:ascii="Book Antiqua" w:hAnsi="Book Antiqua" w:cs="Arial"/>
        </w:rPr>
        <w:t>not</w:t>
      </w:r>
      <w:r>
        <w:rPr>
          <w:rFonts w:ascii="Book Antiqua" w:hAnsi="Book Antiqua" w:cs="Arial"/>
        </w:rPr>
        <w:t xml:space="preserve"> seek to argue that there were any other public interest factors to be taken against the appellants).  Accordingly I set aside the decision of the judge for material error of law.  </w:t>
      </w:r>
    </w:p>
    <w:p w14:paraId="6708D6D1" w14:textId="77777777" w:rsidR="008741CB" w:rsidRDefault="008741CB" w:rsidP="00BF23BB">
      <w:pPr>
        <w:tabs>
          <w:tab w:val="left" w:pos="567"/>
        </w:tabs>
        <w:ind w:left="567" w:hanging="567"/>
        <w:jc w:val="both"/>
        <w:rPr>
          <w:rFonts w:ascii="Book Antiqua" w:hAnsi="Book Antiqua" w:cs="Arial"/>
        </w:rPr>
      </w:pPr>
    </w:p>
    <w:p w14:paraId="5925EE2F" w14:textId="643BE9F5" w:rsidR="00173CC6" w:rsidRDefault="008741CB"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r>
      <w:r w:rsidR="00A4281A">
        <w:rPr>
          <w:rFonts w:ascii="Book Antiqua" w:hAnsi="Book Antiqua" w:cs="Arial"/>
        </w:rPr>
        <w:t xml:space="preserve">Mr </w:t>
      </w:r>
      <w:r w:rsidR="00771277">
        <w:rPr>
          <w:rFonts w:ascii="Book Antiqua" w:hAnsi="Book Antiqua" w:cs="Arial"/>
        </w:rPr>
        <w:t xml:space="preserve">Youssefim </w:t>
      </w:r>
      <w:r w:rsidR="00A4281A">
        <w:rPr>
          <w:rFonts w:ascii="Book Antiqua" w:hAnsi="Book Antiqua" w:cs="Arial"/>
        </w:rPr>
        <w:t xml:space="preserve">sought to argue that if I set aside the decision of the judge I was in a position to re-make it without further ado by allowing the appeals under paragraph 276B.  The difficulty with that submission is that I have only found the judge’s treatment of paragraph 322(5) </w:t>
      </w:r>
      <w:r w:rsidR="00B5638F">
        <w:rPr>
          <w:rFonts w:ascii="Book Antiqua" w:hAnsi="Book Antiqua" w:cs="Arial"/>
        </w:rPr>
        <w:t xml:space="preserve">to be </w:t>
      </w:r>
      <w:r w:rsidR="00A4281A">
        <w:rPr>
          <w:rFonts w:ascii="Book Antiqua" w:hAnsi="Book Antiqua" w:cs="Arial"/>
        </w:rPr>
        <w:t>legally flawed.  It still remains to be considered</w:t>
      </w:r>
      <w:r w:rsidR="001759C9">
        <w:rPr>
          <w:rFonts w:ascii="Book Antiqua" w:hAnsi="Book Antiqua" w:cs="Arial"/>
        </w:rPr>
        <w:t>,</w:t>
      </w:r>
      <w:r w:rsidR="00A4281A">
        <w:rPr>
          <w:rFonts w:ascii="Book Antiqua" w:hAnsi="Book Antiqua" w:cs="Arial"/>
        </w:rPr>
        <w:t xml:space="preserve"> when the decision is re-made</w:t>
      </w:r>
      <w:r w:rsidR="008C057A">
        <w:rPr>
          <w:rFonts w:ascii="Book Antiqua" w:hAnsi="Book Antiqua" w:cs="Arial"/>
        </w:rPr>
        <w:t>,</w:t>
      </w:r>
      <w:r w:rsidR="00A4281A">
        <w:rPr>
          <w:rFonts w:ascii="Book Antiqua" w:hAnsi="Book Antiqua" w:cs="Arial"/>
        </w:rPr>
        <w:t xml:space="preserve"> whether paragraph 322(5) </w:t>
      </w:r>
      <w:r w:rsidR="00C2576A">
        <w:rPr>
          <w:rFonts w:ascii="Book Antiqua" w:hAnsi="Book Antiqua" w:cs="Arial"/>
        </w:rPr>
        <w:t>properly</w:t>
      </w:r>
      <w:r w:rsidR="00B52234">
        <w:rPr>
          <w:rFonts w:ascii="Book Antiqua" w:hAnsi="Book Antiqua" w:cs="Arial"/>
        </w:rPr>
        <w:t xml:space="preserve"> </w:t>
      </w:r>
      <w:r w:rsidR="00A4281A">
        <w:rPr>
          <w:rFonts w:ascii="Book Antiqua" w:hAnsi="Book Antiqua" w:cs="Arial"/>
        </w:rPr>
        <w:t xml:space="preserve">applies.  In this regard there is no agreement on the facts concerning the appellants’ declared earnings for the tax years 2011/2012 and 2012/2013.  Effectively the judge’s </w:t>
      </w:r>
      <w:r w:rsidR="00664B69">
        <w:rPr>
          <w:rFonts w:ascii="Book Antiqua" w:hAnsi="Book Antiqua" w:cs="Arial"/>
        </w:rPr>
        <w:t xml:space="preserve">mishandling of the burden of proof and his </w:t>
      </w:r>
      <w:r w:rsidR="00A4281A">
        <w:rPr>
          <w:rFonts w:ascii="Book Antiqua" w:hAnsi="Book Antiqua" w:cs="Arial"/>
        </w:rPr>
        <w:t xml:space="preserve">failure to make a lawful decision as regards paragraph 322(5) </w:t>
      </w:r>
      <w:r w:rsidR="00A55FAA">
        <w:rPr>
          <w:rFonts w:ascii="Book Antiqua" w:hAnsi="Book Antiqua" w:cs="Arial"/>
        </w:rPr>
        <w:t xml:space="preserve">means there are </w:t>
      </w:r>
      <w:r w:rsidR="00771277">
        <w:rPr>
          <w:rFonts w:ascii="Book Antiqua" w:hAnsi="Book Antiqua" w:cs="Arial"/>
        </w:rPr>
        <w:t>no</w:t>
      </w:r>
      <w:r w:rsidR="00A4281A">
        <w:rPr>
          <w:rFonts w:ascii="Book Antiqua" w:hAnsi="Book Antiqua" w:cs="Arial"/>
        </w:rPr>
        <w:t xml:space="preserve"> finding of fact that can be </w:t>
      </w:r>
      <w:r w:rsidR="00771277">
        <w:rPr>
          <w:rFonts w:ascii="Book Antiqua" w:hAnsi="Book Antiqua" w:cs="Arial"/>
        </w:rPr>
        <w:t>preserved.  I</w:t>
      </w:r>
      <w:r w:rsidR="00A4281A">
        <w:rPr>
          <w:rFonts w:ascii="Book Antiqua" w:hAnsi="Book Antiqua" w:cs="Arial"/>
        </w:rPr>
        <w:t>n such circumstances I consider the case should be remitted to the FtT to be heard afresh.  Given Mr Walker’s concessions, the only issue to be decided is paragraph 322(5).  If the next judge decides that this provision should not be applied then the appellants are entitled to succeed in their appeals under paragraph 276B.  Conversely, if the next judge decides paragraph 322(5) should be applied, then the appellants’ appeals must fail, as they cannot succeed</w:t>
      </w:r>
      <w:r w:rsidR="00664B69">
        <w:rPr>
          <w:rFonts w:ascii="Book Antiqua" w:hAnsi="Book Antiqua" w:cs="Arial"/>
        </w:rPr>
        <w:t xml:space="preserve"> under paragraph 276B and as Mr</w:t>
      </w:r>
      <w:r w:rsidR="00664B69" w:rsidRPr="00664B69">
        <w:rPr>
          <w:rFonts w:ascii="Book Antiqua" w:hAnsi="Book Antiqua" w:cs="Arial"/>
        </w:rPr>
        <w:t xml:space="preserve"> </w:t>
      </w:r>
      <w:r w:rsidR="00664B69">
        <w:rPr>
          <w:rFonts w:ascii="Book Antiqua" w:hAnsi="Book Antiqua" w:cs="Arial"/>
        </w:rPr>
        <w:t>Youssefim</w:t>
      </w:r>
      <w:r w:rsidR="00A4281A">
        <w:rPr>
          <w:rFonts w:ascii="Book Antiqua" w:hAnsi="Book Antiqua" w:cs="Arial"/>
        </w:rPr>
        <w:t xml:space="preserve"> acknowledged, on this scenario they had no realistic prospect of success under either paragraph 276ADE or Article 8 outside the Rules.  </w:t>
      </w:r>
    </w:p>
    <w:p w14:paraId="1F2F6E3F" w14:textId="77777777" w:rsidR="00A4281A" w:rsidRDefault="00A4281A" w:rsidP="00BF23BB">
      <w:pPr>
        <w:tabs>
          <w:tab w:val="left" w:pos="567"/>
        </w:tabs>
        <w:ind w:left="567" w:hanging="567"/>
        <w:jc w:val="both"/>
        <w:rPr>
          <w:rFonts w:ascii="Book Antiqua" w:hAnsi="Book Antiqua" w:cs="Arial"/>
        </w:rPr>
      </w:pPr>
    </w:p>
    <w:p w14:paraId="79A5334F" w14:textId="77777777" w:rsidR="00B20944" w:rsidRPr="00B20944" w:rsidRDefault="00B20944" w:rsidP="00BF23BB">
      <w:pPr>
        <w:tabs>
          <w:tab w:val="left" w:pos="567"/>
        </w:tabs>
        <w:ind w:left="567" w:hanging="567"/>
        <w:jc w:val="both"/>
        <w:rPr>
          <w:rFonts w:ascii="Book Antiqua" w:hAnsi="Book Antiqua" w:cs="Arial"/>
          <w:b/>
          <w:u w:val="single"/>
        </w:rPr>
      </w:pPr>
      <w:r>
        <w:rPr>
          <w:rFonts w:ascii="Book Antiqua" w:hAnsi="Book Antiqua" w:cs="Arial"/>
          <w:b/>
          <w:u w:val="single"/>
        </w:rPr>
        <w:t>Directions</w:t>
      </w:r>
    </w:p>
    <w:p w14:paraId="51AE6864" w14:textId="77777777" w:rsidR="00B20944" w:rsidRDefault="00B20944" w:rsidP="00BF23BB">
      <w:pPr>
        <w:tabs>
          <w:tab w:val="left" w:pos="567"/>
        </w:tabs>
        <w:ind w:left="567" w:hanging="567"/>
        <w:jc w:val="both"/>
        <w:rPr>
          <w:rFonts w:ascii="Book Antiqua" w:hAnsi="Book Antiqua" w:cs="Arial"/>
        </w:rPr>
      </w:pPr>
    </w:p>
    <w:p w14:paraId="2AE7A690" w14:textId="77777777" w:rsidR="00A4281A" w:rsidRDefault="00A4281A"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r w:rsidR="00B20944">
        <w:rPr>
          <w:rFonts w:ascii="Book Antiqua" w:hAnsi="Book Antiqua" w:cs="Arial"/>
        </w:rPr>
        <w:t xml:space="preserve">The existing grounds of appeal and skeleton argument are difficult to untangle.  In order to spare the next judge from having to clarify basic particulars, </w:t>
      </w:r>
    </w:p>
    <w:p w14:paraId="13ED9AD0" w14:textId="77777777" w:rsidR="00B20944" w:rsidRDefault="00B20944" w:rsidP="00BF23BB">
      <w:pPr>
        <w:tabs>
          <w:tab w:val="left" w:pos="567"/>
        </w:tabs>
        <w:ind w:left="567" w:hanging="567"/>
        <w:jc w:val="both"/>
        <w:rPr>
          <w:rFonts w:ascii="Book Antiqua" w:hAnsi="Book Antiqua" w:cs="Arial"/>
        </w:rPr>
      </w:pPr>
    </w:p>
    <w:p w14:paraId="1D58CF64" w14:textId="03F98814" w:rsidR="00B20944" w:rsidRDefault="00B20944" w:rsidP="00F95428">
      <w:pPr>
        <w:ind w:left="1134" w:hanging="567"/>
        <w:jc w:val="both"/>
        <w:rPr>
          <w:rFonts w:ascii="Book Antiqua" w:hAnsi="Book Antiqua" w:cs="Arial"/>
        </w:rPr>
      </w:pPr>
      <w:r>
        <w:rPr>
          <w:rFonts w:ascii="Book Antiqua" w:hAnsi="Book Antiqua" w:cs="Arial"/>
        </w:rPr>
        <w:t>(1)</w:t>
      </w:r>
      <w:r>
        <w:rPr>
          <w:rFonts w:ascii="Book Antiqua" w:hAnsi="Book Antiqua" w:cs="Arial"/>
        </w:rPr>
        <w:tab/>
        <w:t xml:space="preserve">The appellants’ </w:t>
      </w:r>
      <w:r w:rsidR="00F95428">
        <w:rPr>
          <w:rFonts w:ascii="Book Antiqua" w:hAnsi="Book Antiqua" w:cs="Arial"/>
        </w:rPr>
        <w:t>representatives</w:t>
      </w:r>
      <w:r>
        <w:rPr>
          <w:rFonts w:ascii="Book Antiqua" w:hAnsi="Book Antiqua" w:cs="Arial"/>
        </w:rPr>
        <w:t xml:space="preserve"> are to </w:t>
      </w:r>
      <w:r w:rsidR="00F95428">
        <w:rPr>
          <w:rFonts w:ascii="Book Antiqua" w:hAnsi="Book Antiqua" w:cs="Arial"/>
        </w:rPr>
        <w:t>produce</w:t>
      </w:r>
      <w:r>
        <w:rPr>
          <w:rFonts w:ascii="Book Antiqua" w:hAnsi="Book Antiqua" w:cs="Arial"/>
        </w:rPr>
        <w:t xml:space="preserve"> to the FtT with a copy to the respondent within 28 days from the date this decision </w:t>
      </w:r>
      <w:r w:rsidR="00664B69">
        <w:rPr>
          <w:rFonts w:ascii="Book Antiqua" w:hAnsi="Book Antiqua" w:cs="Arial"/>
        </w:rPr>
        <w:t xml:space="preserve">being sent </w:t>
      </w:r>
      <w:r>
        <w:rPr>
          <w:rFonts w:ascii="Book Antiqua" w:hAnsi="Book Antiqua" w:cs="Arial"/>
        </w:rPr>
        <w:t xml:space="preserve"> a diagram having two columns in respect of each appellant, the first column being headed </w:t>
      </w:r>
      <w:r w:rsidR="00F95428">
        <w:rPr>
          <w:rFonts w:ascii="Book Antiqua" w:hAnsi="Book Antiqua" w:cs="Arial"/>
        </w:rPr>
        <w:t>“</w:t>
      </w:r>
      <w:r>
        <w:rPr>
          <w:rFonts w:ascii="Book Antiqua" w:hAnsi="Book Antiqua" w:cs="Arial"/>
        </w:rPr>
        <w:t>Earnings declared to HMRC</w:t>
      </w:r>
      <w:r w:rsidR="00F95428">
        <w:rPr>
          <w:rFonts w:ascii="Book Antiqua" w:hAnsi="Book Antiqua" w:cs="Arial"/>
        </w:rPr>
        <w:t>”</w:t>
      </w:r>
      <w:r w:rsidR="00664B69">
        <w:rPr>
          <w:rFonts w:ascii="Book Antiqua" w:hAnsi="Book Antiqua" w:cs="Arial"/>
        </w:rPr>
        <w:t>;</w:t>
      </w:r>
      <w:r>
        <w:rPr>
          <w:rFonts w:ascii="Book Antiqua" w:hAnsi="Book Antiqua" w:cs="Arial"/>
        </w:rPr>
        <w:t xml:space="preserve"> the second headed “Earnings declared to UKVI”.  The entries in these columns should cover the 2011/2012 and the 2012/2013 tax years respectively.  </w:t>
      </w:r>
    </w:p>
    <w:p w14:paraId="73190126" w14:textId="77777777" w:rsidR="00B20944" w:rsidRDefault="00B20944" w:rsidP="00F95428">
      <w:pPr>
        <w:ind w:left="1134" w:hanging="567"/>
        <w:jc w:val="both"/>
        <w:rPr>
          <w:rFonts w:ascii="Book Antiqua" w:hAnsi="Book Antiqua" w:cs="Arial"/>
        </w:rPr>
      </w:pPr>
    </w:p>
    <w:p w14:paraId="214DF622" w14:textId="77777777" w:rsidR="00B20944" w:rsidRDefault="00B20944" w:rsidP="00F95428">
      <w:pPr>
        <w:ind w:left="1134"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Upon receipt of this diagram the respondent is to confirm to the FtT with a copy to the appellants’ representatives within a further 14 days whether she agrees these figures and if not why not.  </w:t>
      </w:r>
    </w:p>
    <w:p w14:paraId="46E83C69" w14:textId="77777777" w:rsidR="00B20944" w:rsidRDefault="00B20944" w:rsidP="00BF23BB">
      <w:pPr>
        <w:tabs>
          <w:tab w:val="left" w:pos="567"/>
        </w:tabs>
        <w:ind w:left="567" w:hanging="567"/>
        <w:jc w:val="both"/>
        <w:rPr>
          <w:rFonts w:ascii="Book Antiqua" w:hAnsi="Book Antiqua" w:cs="Arial"/>
        </w:rPr>
      </w:pPr>
    </w:p>
    <w:p w14:paraId="56625B9D" w14:textId="32D6F535" w:rsidR="00B20944" w:rsidRDefault="00B20944" w:rsidP="00F95428">
      <w:pPr>
        <w:tabs>
          <w:tab w:val="left" w:pos="567"/>
        </w:tabs>
        <w:ind w:left="567"/>
        <w:jc w:val="both"/>
        <w:rPr>
          <w:rFonts w:ascii="Book Antiqua" w:hAnsi="Book Antiqua" w:cs="Arial"/>
        </w:rPr>
      </w:pPr>
      <w:r>
        <w:rPr>
          <w:rFonts w:ascii="Book Antiqua" w:hAnsi="Book Antiqua" w:cs="Arial"/>
        </w:rPr>
        <w:t xml:space="preserve">I do not suggest that the above direction will remove the </w:t>
      </w:r>
      <w:r w:rsidR="002E1077">
        <w:rPr>
          <w:rFonts w:ascii="Book Antiqua" w:hAnsi="Book Antiqua" w:cs="Arial"/>
        </w:rPr>
        <w:t xml:space="preserve">disagreement between the parties as regards paragraph 322(5) since that is largely concerned with whether the appellants’ explanations for the discrepancies are satisfactory (and on whether </w:t>
      </w:r>
      <w:r w:rsidR="007F45C8">
        <w:rPr>
          <w:rFonts w:ascii="Book Antiqua" w:hAnsi="Book Antiqua" w:cs="Arial"/>
        </w:rPr>
        <w:t xml:space="preserve">looking at facts in favour of the appellants’ character and </w:t>
      </w:r>
      <w:r w:rsidR="00F95428">
        <w:rPr>
          <w:rFonts w:ascii="Book Antiqua" w:hAnsi="Book Antiqua" w:cs="Arial"/>
        </w:rPr>
        <w:t>conduct</w:t>
      </w:r>
      <w:r w:rsidR="007F45C8">
        <w:rPr>
          <w:rFonts w:ascii="Book Antiqua" w:hAnsi="Book Antiqua" w:cs="Arial"/>
        </w:rPr>
        <w:t xml:space="preserve"> and those against</w:t>
      </w:r>
      <w:r w:rsidR="00664B69">
        <w:rPr>
          <w:rFonts w:ascii="Book Antiqua" w:hAnsi="Book Antiqua" w:cs="Arial"/>
        </w:rPr>
        <w:t>,</w:t>
      </w:r>
      <w:r w:rsidR="007F45C8">
        <w:rPr>
          <w:rFonts w:ascii="Book Antiqua" w:hAnsi="Book Antiqua" w:cs="Arial"/>
        </w:rPr>
        <w:t xml:space="preserve"> the exercise of the discretion incorporated into paragraph 322(5) was justified</w:t>
      </w:r>
      <w:r w:rsidR="00664B69">
        <w:rPr>
          <w:rFonts w:ascii="Book Antiqua" w:hAnsi="Book Antiqua" w:cs="Arial"/>
        </w:rPr>
        <w:t>)</w:t>
      </w:r>
      <w:r w:rsidR="007F45C8">
        <w:rPr>
          <w:rFonts w:ascii="Book Antiqua" w:hAnsi="Book Antiqua" w:cs="Arial"/>
        </w:rPr>
        <w:t>.  One poin</w:t>
      </w:r>
      <w:r w:rsidR="00664B69">
        <w:rPr>
          <w:rFonts w:ascii="Book Antiqua" w:hAnsi="Book Antiqua" w:cs="Arial"/>
        </w:rPr>
        <w:t xml:space="preserve">t of remaining importance is </w:t>
      </w:r>
      <w:r w:rsidR="000E3189">
        <w:rPr>
          <w:rFonts w:ascii="Book Antiqua" w:hAnsi="Book Antiqua" w:cs="Arial"/>
        </w:rPr>
        <w:t>whether</w:t>
      </w:r>
      <w:r w:rsidR="007F45C8">
        <w:rPr>
          <w:rFonts w:ascii="Book Antiqua" w:hAnsi="Book Antiqua" w:cs="Arial"/>
        </w:rPr>
        <w:t xml:space="preserve"> the appellants </w:t>
      </w:r>
      <w:r w:rsidR="00664B69">
        <w:rPr>
          <w:rFonts w:ascii="Book Antiqua" w:hAnsi="Book Antiqua" w:cs="Arial"/>
        </w:rPr>
        <w:t xml:space="preserve">have given a </w:t>
      </w:r>
      <w:r w:rsidR="000E3189">
        <w:rPr>
          <w:rFonts w:ascii="Book Antiqua" w:hAnsi="Book Antiqua" w:cs="Arial"/>
        </w:rPr>
        <w:t>satisfactory</w:t>
      </w:r>
      <w:r w:rsidR="00664B69">
        <w:rPr>
          <w:rFonts w:ascii="Book Antiqua" w:hAnsi="Book Antiqua" w:cs="Arial"/>
        </w:rPr>
        <w:t xml:space="preserve"> explanation </w:t>
      </w:r>
      <w:r w:rsidR="000E3189">
        <w:rPr>
          <w:rFonts w:ascii="Book Antiqua" w:hAnsi="Book Antiqua" w:cs="Arial"/>
        </w:rPr>
        <w:t>for not</w:t>
      </w:r>
      <w:r w:rsidR="00664B69">
        <w:rPr>
          <w:rFonts w:ascii="Book Antiqua" w:hAnsi="Book Antiqua" w:cs="Arial"/>
        </w:rPr>
        <w:t xml:space="preserve"> declaring</w:t>
      </w:r>
      <w:r w:rsidR="007F45C8">
        <w:rPr>
          <w:rFonts w:ascii="Book Antiqua" w:hAnsi="Book Antiqua" w:cs="Arial"/>
        </w:rPr>
        <w:t xml:space="preserve"> their earnings to the HMRC for 2012/2013 until January 2016.  But </w:t>
      </w:r>
      <w:r w:rsidR="00664B69">
        <w:rPr>
          <w:rFonts w:ascii="Book Antiqua" w:hAnsi="Book Antiqua" w:cs="Arial"/>
        </w:rPr>
        <w:t xml:space="preserve">compliance with the above </w:t>
      </w:r>
      <w:r w:rsidR="000E3189">
        <w:rPr>
          <w:rFonts w:ascii="Book Antiqua" w:hAnsi="Book Antiqua" w:cs="Arial"/>
        </w:rPr>
        <w:t>directions it</w:t>
      </w:r>
      <w:r w:rsidR="007F45C8">
        <w:rPr>
          <w:rFonts w:ascii="Book Antiqua" w:hAnsi="Book Antiqua" w:cs="Arial"/>
        </w:rPr>
        <w:t xml:space="preserve"> will at least enable the judge not to wrestle with reference to different figures even within the appellants’ own grounds.  </w:t>
      </w:r>
    </w:p>
    <w:p w14:paraId="16617D37" w14:textId="77777777" w:rsidR="007F45C8" w:rsidRDefault="007F45C8" w:rsidP="00BF23BB">
      <w:pPr>
        <w:tabs>
          <w:tab w:val="left" w:pos="567"/>
        </w:tabs>
        <w:ind w:left="567" w:hanging="567"/>
        <w:jc w:val="both"/>
        <w:rPr>
          <w:rFonts w:ascii="Book Antiqua" w:hAnsi="Book Antiqua" w:cs="Arial"/>
        </w:rPr>
      </w:pPr>
    </w:p>
    <w:p w14:paraId="350D5F07" w14:textId="77777777" w:rsidR="007F45C8" w:rsidRDefault="007F45C8"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For the above reasons:</w:t>
      </w:r>
    </w:p>
    <w:p w14:paraId="5D036449" w14:textId="77777777" w:rsidR="007F45C8" w:rsidRDefault="007F45C8" w:rsidP="00BF23BB">
      <w:pPr>
        <w:tabs>
          <w:tab w:val="left" w:pos="567"/>
        </w:tabs>
        <w:ind w:left="567" w:hanging="567"/>
        <w:jc w:val="both"/>
        <w:rPr>
          <w:rFonts w:ascii="Book Antiqua" w:hAnsi="Book Antiqua" w:cs="Arial"/>
        </w:rPr>
      </w:pPr>
    </w:p>
    <w:p w14:paraId="662B2F11" w14:textId="77777777" w:rsidR="007F45C8" w:rsidRDefault="007F45C8" w:rsidP="00F95428">
      <w:pPr>
        <w:tabs>
          <w:tab w:val="left" w:pos="567"/>
        </w:tabs>
        <w:ind w:left="567"/>
        <w:jc w:val="both"/>
        <w:rPr>
          <w:rFonts w:ascii="Book Antiqua" w:hAnsi="Book Antiqua" w:cs="Arial"/>
        </w:rPr>
      </w:pPr>
      <w:r>
        <w:rPr>
          <w:rFonts w:ascii="Book Antiqua" w:hAnsi="Book Antiqua" w:cs="Arial"/>
        </w:rPr>
        <w:t>The decision of the FtT Judge is set aside for material error of law;</w:t>
      </w:r>
    </w:p>
    <w:p w14:paraId="21B98442" w14:textId="77777777" w:rsidR="007F45C8" w:rsidRDefault="007F45C8" w:rsidP="00BF23BB">
      <w:pPr>
        <w:tabs>
          <w:tab w:val="left" w:pos="567"/>
        </w:tabs>
        <w:ind w:left="567" w:hanging="567"/>
        <w:jc w:val="both"/>
        <w:rPr>
          <w:rFonts w:ascii="Book Antiqua" w:hAnsi="Book Antiqua" w:cs="Arial"/>
        </w:rPr>
      </w:pPr>
    </w:p>
    <w:p w14:paraId="65138CB9" w14:textId="77777777" w:rsidR="007F45C8" w:rsidRDefault="007F45C8" w:rsidP="00F95428">
      <w:pPr>
        <w:tabs>
          <w:tab w:val="left" w:pos="567"/>
        </w:tabs>
        <w:ind w:left="567"/>
        <w:jc w:val="both"/>
        <w:rPr>
          <w:rFonts w:ascii="Book Antiqua" w:hAnsi="Book Antiqua" w:cs="Arial"/>
        </w:rPr>
      </w:pPr>
      <w:r>
        <w:rPr>
          <w:rFonts w:ascii="Book Antiqua" w:hAnsi="Book Antiqua" w:cs="Arial"/>
        </w:rPr>
        <w:t>The case is remitted to the FtT (not before Judge Walker);</w:t>
      </w:r>
    </w:p>
    <w:p w14:paraId="3A0A909D" w14:textId="77777777" w:rsidR="007F45C8" w:rsidRDefault="007F45C8" w:rsidP="00BF23BB">
      <w:pPr>
        <w:tabs>
          <w:tab w:val="left" w:pos="567"/>
        </w:tabs>
        <w:ind w:left="567" w:hanging="567"/>
        <w:jc w:val="both"/>
        <w:rPr>
          <w:rFonts w:ascii="Book Antiqua" w:hAnsi="Book Antiqua" w:cs="Arial"/>
        </w:rPr>
      </w:pPr>
    </w:p>
    <w:p w14:paraId="425AB718" w14:textId="77777777" w:rsidR="007F45C8" w:rsidRDefault="007F45C8" w:rsidP="00F95428">
      <w:pPr>
        <w:tabs>
          <w:tab w:val="left" w:pos="567"/>
        </w:tabs>
        <w:ind w:left="567"/>
        <w:jc w:val="both"/>
        <w:rPr>
          <w:rFonts w:ascii="Book Antiqua" w:hAnsi="Book Antiqua" w:cs="Arial"/>
        </w:rPr>
      </w:pPr>
      <w:r>
        <w:rPr>
          <w:rFonts w:ascii="Book Antiqua" w:hAnsi="Book Antiqua" w:cs="Arial"/>
        </w:rPr>
        <w:t xml:space="preserve">The parties have been given a direction which must be </w:t>
      </w:r>
      <w:r w:rsidR="00F95428">
        <w:rPr>
          <w:rFonts w:ascii="Book Antiqua" w:hAnsi="Book Antiqua" w:cs="Arial"/>
        </w:rPr>
        <w:t>complied</w:t>
      </w:r>
      <w:r>
        <w:rPr>
          <w:rFonts w:ascii="Book Antiqua" w:hAnsi="Book Antiqua" w:cs="Arial"/>
        </w:rPr>
        <w:t xml:space="preserve"> </w:t>
      </w:r>
      <w:r w:rsidR="00F95428">
        <w:rPr>
          <w:rFonts w:ascii="Book Antiqua" w:hAnsi="Book Antiqua" w:cs="Arial"/>
        </w:rPr>
        <w:t xml:space="preserve">with </w:t>
      </w:r>
      <w:r>
        <w:rPr>
          <w:rFonts w:ascii="Book Antiqua" w:hAnsi="Book Antiqua" w:cs="Arial"/>
        </w:rPr>
        <w:t xml:space="preserve">within the </w:t>
      </w:r>
      <w:r w:rsidR="00F95428">
        <w:rPr>
          <w:rFonts w:ascii="Book Antiqua" w:hAnsi="Book Antiqua" w:cs="Arial"/>
        </w:rPr>
        <w:t>specified</w:t>
      </w:r>
      <w:r>
        <w:rPr>
          <w:rFonts w:ascii="Book Antiqua" w:hAnsi="Book Antiqua" w:cs="Arial"/>
        </w:rPr>
        <w:t xml:space="preserve"> time limits (28 days for the appellants; and a further 14 days for the respondent).  </w:t>
      </w:r>
    </w:p>
    <w:p w14:paraId="2D2EE850" w14:textId="77777777" w:rsidR="00A4281A" w:rsidRDefault="00A4281A" w:rsidP="00BF23BB">
      <w:pPr>
        <w:tabs>
          <w:tab w:val="left" w:pos="567"/>
        </w:tabs>
        <w:ind w:left="567" w:hanging="567"/>
        <w:jc w:val="both"/>
        <w:rPr>
          <w:rFonts w:ascii="Book Antiqua" w:hAnsi="Book Antiqua" w:cs="Arial"/>
        </w:rPr>
      </w:pPr>
    </w:p>
    <w:p w14:paraId="7B9321AC" w14:textId="77777777" w:rsidR="00173CC6" w:rsidRPr="00173CC6" w:rsidRDefault="00173CC6" w:rsidP="00F95428">
      <w:pPr>
        <w:ind w:left="567"/>
        <w:jc w:val="both"/>
        <w:rPr>
          <w:rFonts w:ascii="Book Antiqua" w:hAnsi="Book Antiqua" w:cs="Arial"/>
        </w:rPr>
      </w:pPr>
      <w:r w:rsidRPr="00173CC6">
        <w:rPr>
          <w:rFonts w:ascii="Book Antiqua" w:hAnsi="Book Antiqua" w:cs="Arial"/>
        </w:rPr>
        <w:t>No anonymity direction is made.</w:t>
      </w:r>
    </w:p>
    <w:p w14:paraId="567FB0CE" w14:textId="77777777" w:rsidR="00173CC6" w:rsidRPr="00173CC6" w:rsidRDefault="00173CC6" w:rsidP="00173CC6">
      <w:pPr>
        <w:jc w:val="both"/>
        <w:rPr>
          <w:rFonts w:ascii="Book Antiqua" w:hAnsi="Book Antiqua" w:cs="Arial"/>
        </w:rPr>
      </w:pPr>
    </w:p>
    <w:p w14:paraId="7BAEA945" w14:textId="77777777" w:rsidR="001F2716" w:rsidRPr="00B57D66" w:rsidRDefault="001F2716" w:rsidP="00780F86">
      <w:pPr>
        <w:ind w:left="540" w:hanging="540"/>
        <w:jc w:val="both"/>
        <w:rPr>
          <w:rFonts w:ascii="Book Antiqua" w:hAnsi="Book Antiqua" w:cs="Arial"/>
        </w:rPr>
      </w:pPr>
    </w:p>
    <w:p w14:paraId="76A0C57B" w14:textId="77777777" w:rsidR="009F5220" w:rsidRPr="00B57D66" w:rsidRDefault="009F5220" w:rsidP="00780F86">
      <w:pPr>
        <w:ind w:left="540" w:hanging="540"/>
        <w:jc w:val="both"/>
        <w:rPr>
          <w:rFonts w:ascii="Book Antiqua" w:hAnsi="Book Antiqua" w:cs="Arial"/>
        </w:rPr>
      </w:pPr>
    </w:p>
    <w:p w14:paraId="10C504FC" w14:textId="77777777" w:rsidR="009F5220" w:rsidRPr="00B57D66" w:rsidRDefault="009F5220" w:rsidP="00780F86">
      <w:pPr>
        <w:ind w:left="540" w:hanging="540"/>
        <w:jc w:val="both"/>
        <w:rPr>
          <w:rFonts w:ascii="Book Antiqua" w:hAnsi="Book Antiqua" w:cs="Arial"/>
        </w:rPr>
      </w:pPr>
    </w:p>
    <w:p w14:paraId="715CF06A" w14:textId="77777777" w:rsidR="009F5220" w:rsidRPr="00B57D66" w:rsidRDefault="009F5220" w:rsidP="00780F86">
      <w:pPr>
        <w:ind w:left="540" w:hanging="540"/>
        <w:jc w:val="both"/>
        <w:rPr>
          <w:rFonts w:ascii="Book Antiqua" w:hAnsi="Book Antiqua" w:cs="Arial"/>
        </w:rPr>
      </w:pPr>
    </w:p>
    <w:p w14:paraId="15800D8B" w14:textId="77777777" w:rsidR="00A509FA" w:rsidRPr="00B57D66" w:rsidRDefault="00A509FA" w:rsidP="00780F86">
      <w:pPr>
        <w:ind w:left="540" w:hanging="540"/>
        <w:jc w:val="both"/>
        <w:rPr>
          <w:rFonts w:ascii="Book Antiqua" w:hAnsi="Book Antiqua" w:cs="Arial"/>
        </w:rPr>
      </w:pPr>
    </w:p>
    <w:p w14:paraId="6C944ADC" w14:textId="43F8D3C4"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0E3189">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664B69">
        <w:rPr>
          <w:rFonts w:ascii="Book Antiqua" w:hAnsi="Book Antiqua" w:cs="Arial"/>
        </w:rPr>
        <w:t>: 15 June 2018</w:t>
      </w:r>
    </w:p>
    <w:p w14:paraId="1008D110" w14:textId="033283D9" w:rsidR="001F2716" w:rsidRPr="00B57D66" w:rsidRDefault="000E3189" w:rsidP="00402B9E">
      <w:pPr>
        <w:tabs>
          <w:tab w:val="left" w:pos="2520"/>
        </w:tabs>
        <w:ind w:left="540" w:hanging="540"/>
        <w:jc w:val="both"/>
        <w:rPr>
          <w:rFonts w:ascii="Book Antiqua" w:hAnsi="Book Antiqua" w:cs="Arial"/>
        </w:rPr>
      </w:pPr>
      <w:r w:rsidRPr="00B35E85">
        <w:rPr>
          <w:noProof/>
        </w:rPr>
        <w:drawing>
          <wp:inline distT="0" distB="0" distL="0" distR="0" wp14:anchorId="5A4919A2" wp14:editId="12CAA542">
            <wp:extent cx="171196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960" cy="510540"/>
                    </a:xfrm>
                    <a:prstGeom prst="rect">
                      <a:avLst/>
                    </a:prstGeom>
                    <a:noFill/>
                    <a:ln>
                      <a:noFill/>
                    </a:ln>
                  </pic:spPr>
                </pic:pic>
              </a:graphicData>
            </a:graphic>
          </wp:inline>
        </w:drawing>
      </w:r>
    </w:p>
    <w:p w14:paraId="3D48FF18" w14:textId="6DD9DEE6" w:rsidR="001F2716" w:rsidRPr="00B57D66" w:rsidRDefault="000E3189" w:rsidP="00402B9E">
      <w:pPr>
        <w:tabs>
          <w:tab w:val="left" w:pos="2520"/>
        </w:tabs>
        <w:ind w:left="540" w:hanging="540"/>
        <w:jc w:val="both"/>
        <w:rPr>
          <w:rFonts w:ascii="Book Antiqua" w:hAnsi="Book Antiqua" w:cs="Arial"/>
        </w:rPr>
      </w:pPr>
      <w:r>
        <w:rPr>
          <w:rFonts w:ascii="Book Antiqua" w:hAnsi="Book Antiqua" w:cs="Arial"/>
        </w:rPr>
        <w:t xml:space="preserve">             </w:t>
      </w:r>
    </w:p>
    <w:p w14:paraId="346F22F9"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269D6979"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7FE41794" w14:textId="77777777" w:rsidR="00173CC6" w:rsidRDefault="00173CC6" w:rsidP="007702DD">
      <w:pPr>
        <w:tabs>
          <w:tab w:val="left" w:pos="2520"/>
        </w:tabs>
        <w:ind w:left="540" w:hanging="540"/>
        <w:jc w:val="both"/>
        <w:rPr>
          <w:rFonts w:ascii="Book Antiqua" w:hAnsi="Book Antiqua" w:cs="Arial"/>
          <w:color w:val="000000"/>
        </w:rPr>
      </w:pPr>
    </w:p>
    <w:p w14:paraId="6C6973B0" w14:textId="77777777" w:rsidR="00173CC6" w:rsidRDefault="00173CC6" w:rsidP="007702DD">
      <w:pPr>
        <w:tabs>
          <w:tab w:val="left" w:pos="2520"/>
        </w:tabs>
        <w:ind w:left="540" w:hanging="540"/>
        <w:jc w:val="both"/>
        <w:rPr>
          <w:rFonts w:ascii="Book Antiqua" w:hAnsi="Book Antiqua" w:cs="Arial"/>
          <w:color w:val="000000"/>
        </w:rPr>
      </w:pPr>
    </w:p>
    <w:p w14:paraId="4F23530B" w14:textId="77777777" w:rsidR="003506C5" w:rsidRDefault="003506C5" w:rsidP="00B95326">
      <w:pPr>
        <w:jc w:val="center"/>
        <w:rPr>
          <w:rFonts w:ascii="Book Antiqua" w:hAnsi="Book Antiqua" w:cs="Arial"/>
        </w:rPr>
      </w:pPr>
    </w:p>
    <w:p w14:paraId="2AE1503D" w14:textId="77777777" w:rsidR="003506C5" w:rsidRDefault="003506C5" w:rsidP="00B95326">
      <w:pPr>
        <w:jc w:val="center"/>
        <w:rPr>
          <w:rFonts w:ascii="Book Antiqua" w:hAnsi="Book Antiqua" w:cs="Arial"/>
        </w:rPr>
      </w:pPr>
    </w:p>
    <w:p w14:paraId="65CC1665" w14:textId="77777777" w:rsidR="003506C5" w:rsidRDefault="003506C5" w:rsidP="00B95326">
      <w:pPr>
        <w:jc w:val="center"/>
        <w:rPr>
          <w:rFonts w:ascii="Book Antiqua" w:hAnsi="Book Antiqua" w:cs="Arial"/>
        </w:rPr>
      </w:pPr>
    </w:p>
    <w:p w14:paraId="079A7E21" w14:textId="77777777" w:rsidR="003506C5" w:rsidRDefault="003506C5" w:rsidP="00B95326">
      <w:pPr>
        <w:jc w:val="center"/>
        <w:rPr>
          <w:rFonts w:ascii="Book Antiqua" w:hAnsi="Book Antiqua" w:cs="Arial"/>
        </w:rPr>
      </w:pPr>
    </w:p>
    <w:p w14:paraId="15C3BBB8" w14:textId="77777777" w:rsidR="003506C5" w:rsidRDefault="003506C5" w:rsidP="00B95326">
      <w:pPr>
        <w:jc w:val="center"/>
        <w:rPr>
          <w:rFonts w:ascii="Book Antiqua" w:hAnsi="Book Antiqua" w:cs="Arial"/>
        </w:rPr>
      </w:pPr>
    </w:p>
    <w:p w14:paraId="023272CB" w14:textId="77777777" w:rsidR="00B95326" w:rsidRPr="00B57D66" w:rsidRDefault="00B95326" w:rsidP="00B95326">
      <w:pPr>
        <w:rPr>
          <w:rFonts w:ascii="Book Antiqua" w:hAnsi="Book Antiqua" w:cs="Arial"/>
        </w:rPr>
      </w:pPr>
    </w:p>
    <w:p w14:paraId="646A9954" w14:textId="77777777" w:rsidR="00B95326" w:rsidRPr="00B57D66" w:rsidRDefault="00B95326" w:rsidP="00402B9E">
      <w:pPr>
        <w:tabs>
          <w:tab w:val="left" w:pos="2520"/>
        </w:tabs>
        <w:ind w:left="540" w:hanging="540"/>
        <w:jc w:val="both"/>
        <w:rPr>
          <w:rFonts w:ascii="Book Antiqua" w:hAnsi="Book Antiqua" w:cs="Arial"/>
        </w:rPr>
      </w:pPr>
    </w:p>
    <w:sectPr w:rsidR="00B95326" w:rsidRPr="00B57D66"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61904" w14:textId="77777777" w:rsidR="004E366C" w:rsidRDefault="004E366C">
      <w:r>
        <w:separator/>
      </w:r>
    </w:p>
  </w:endnote>
  <w:endnote w:type="continuationSeparator" w:id="0">
    <w:p w14:paraId="26E7DEAE" w14:textId="77777777" w:rsidR="004E366C" w:rsidRDefault="004E3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D0290" w14:textId="63A839D4"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495734">
      <w:rPr>
        <w:rStyle w:val="PageNumber"/>
        <w:rFonts w:ascii="Book Antiqua" w:hAnsi="Book Antiqua" w:cs="Arial"/>
        <w:noProof/>
        <w:sz w:val="16"/>
        <w:szCs w:val="16"/>
      </w:rPr>
      <w:t>4</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DBD3F"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B4528" w14:textId="77777777" w:rsidR="004E366C" w:rsidRDefault="004E366C">
      <w:r>
        <w:separator/>
      </w:r>
    </w:p>
  </w:footnote>
  <w:footnote w:type="continuationSeparator" w:id="0">
    <w:p w14:paraId="0626F670" w14:textId="77777777" w:rsidR="004E366C" w:rsidRDefault="004E3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5EC42" w14:textId="77777777" w:rsidR="0063065C"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63065C">
      <w:rPr>
        <w:rFonts w:ascii="Book Antiqua" w:hAnsi="Book Antiqua" w:cs="Arial"/>
        <w:sz w:val="16"/>
        <w:szCs w:val="16"/>
      </w:rPr>
      <w:t>s</w:t>
    </w:r>
    <w:r w:rsidRPr="00B57D66">
      <w:rPr>
        <w:rFonts w:ascii="Book Antiqua" w:hAnsi="Book Antiqua" w:cs="Arial"/>
        <w:sz w:val="16"/>
        <w:szCs w:val="16"/>
      </w:rPr>
      <w:t>:</w:t>
    </w:r>
    <w:r w:rsidR="0063065C">
      <w:rPr>
        <w:rFonts w:ascii="Book Antiqua" w:hAnsi="Book Antiqua" w:cs="Arial"/>
        <w:sz w:val="16"/>
        <w:szCs w:val="16"/>
      </w:rPr>
      <w:t xml:space="preserve"> HU/06992/2016</w:t>
    </w:r>
  </w:p>
  <w:p w14:paraId="0E655A93" w14:textId="77777777" w:rsidR="00ED6E0E" w:rsidRPr="00B57D66" w:rsidRDefault="0063065C" w:rsidP="00593795">
    <w:pPr>
      <w:pStyle w:val="Header"/>
      <w:jc w:val="right"/>
      <w:rPr>
        <w:rFonts w:ascii="Book Antiqua" w:hAnsi="Book Antiqua" w:cs="Arial"/>
        <w:sz w:val="16"/>
        <w:szCs w:val="16"/>
      </w:rPr>
    </w:pPr>
    <w:r>
      <w:rPr>
        <w:rFonts w:ascii="Book Antiqua" w:hAnsi="Book Antiqua" w:cs="Arial"/>
        <w:sz w:val="16"/>
        <w:szCs w:val="16"/>
      </w:rPr>
      <w:t>HU/06998/2016</w:t>
    </w:r>
    <w:r w:rsidR="00ED6E0E" w:rsidRPr="00B57D66">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10875"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4DE"/>
    <w:rsid w:val="00000621"/>
    <w:rsid w:val="000036C2"/>
    <w:rsid w:val="00017F9F"/>
    <w:rsid w:val="00021B8B"/>
    <w:rsid w:val="00033D3D"/>
    <w:rsid w:val="00041A05"/>
    <w:rsid w:val="00054D79"/>
    <w:rsid w:val="00062F02"/>
    <w:rsid w:val="00071A7E"/>
    <w:rsid w:val="000746C0"/>
    <w:rsid w:val="00074D1D"/>
    <w:rsid w:val="00082E32"/>
    <w:rsid w:val="00092580"/>
    <w:rsid w:val="00093D4D"/>
    <w:rsid w:val="000A2820"/>
    <w:rsid w:val="000A383D"/>
    <w:rsid w:val="000D326A"/>
    <w:rsid w:val="000D5D94"/>
    <w:rsid w:val="000E3189"/>
    <w:rsid w:val="000F1A0E"/>
    <w:rsid w:val="000F7646"/>
    <w:rsid w:val="001165A7"/>
    <w:rsid w:val="00122709"/>
    <w:rsid w:val="001244DE"/>
    <w:rsid w:val="00152059"/>
    <w:rsid w:val="00156038"/>
    <w:rsid w:val="00167D3A"/>
    <w:rsid w:val="00173CC6"/>
    <w:rsid w:val="001759C9"/>
    <w:rsid w:val="00192B8F"/>
    <w:rsid w:val="001A3082"/>
    <w:rsid w:val="001B186A"/>
    <w:rsid w:val="001B2F75"/>
    <w:rsid w:val="001C6A07"/>
    <w:rsid w:val="001D4DD2"/>
    <w:rsid w:val="001F2716"/>
    <w:rsid w:val="00200F1B"/>
    <w:rsid w:val="00207617"/>
    <w:rsid w:val="0023134B"/>
    <w:rsid w:val="00246593"/>
    <w:rsid w:val="00275C3C"/>
    <w:rsid w:val="00277CB5"/>
    <w:rsid w:val="00283659"/>
    <w:rsid w:val="002922A2"/>
    <w:rsid w:val="002C6BD4"/>
    <w:rsid w:val="002D68BF"/>
    <w:rsid w:val="002E1077"/>
    <w:rsid w:val="002E476B"/>
    <w:rsid w:val="002F6B98"/>
    <w:rsid w:val="00307FF9"/>
    <w:rsid w:val="00327658"/>
    <w:rsid w:val="00335DA7"/>
    <w:rsid w:val="00336CBF"/>
    <w:rsid w:val="00343FE3"/>
    <w:rsid w:val="003506C5"/>
    <w:rsid w:val="003546C8"/>
    <w:rsid w:val="003A7CF2"/>
    <w:rsid w:val="003C5CE5"/>
    <w:rsid w:val="003E267B"/>
    <w:rsid w:val="003E7CD1"/>
    <w:rsid w:val="003F367D"/>
    <w:rsid w:val="00402B9E"/>
    <w:rsid w:val="004249CB"/>
    <w:rsid w:val="00426616"/>
    <w:rsid w:val="0044127D"/>
    <w:rsid w:val="0044238F"/>
    <w:rsid w:val="004448DB"/>
    <w:rsid w:val="00446C9A"/>
    <w:rsid w:val="00452F2B"/>
    <w:rsid w:val="0046454F"/>
    <w:rsid w:val="00471B09"/>
    <w:rsid w:val="00477193"/>
    <w:rsid w:val="00495734"/>
    <w:rsid w:val="004A1848"/>
    <w:rsid w:val="004A6F4A"/>
    <w:rsid w:val="004B5AEF"/>
    <w:rsid w:val="004E366C"/>
    <w:rsid w:val="004E4717"/>
    <w:rsid w:val="0050061C"/>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B7D22"/>
    <w:rsid w:val="005D10AB"/>
    <w:rsid w:val="005F5796"/>
    <w:rsid w:val="005F7FA2"/>
    <w:rsid w:val="00601D8F"/>
    <w:rsid w:val="006215B3"/>
    <w:rsid w:val="0063065C"/>
    <w:rsid w:val="006458E1"/>
    <w:rsid w:val="00653E97"/>
    <w:rsid w:val="00661E6A"/>
    <w:rsid w:val="00664B69"/>
    <w:rsid w:val="00684A74"/>
    <w:rsid w:val="00690B8A"/>
    <w:rsid w:val="006B2B73"/>
    <w:rsid w:val="006C5560"/>
    <w:rsid w:val="006E286E"/>
    <w:rsid w:val="006E4F70"/>
    <w:rsid w:val="006F2CF1"/>
    <w:rsid w:val="006F50CF"/>
    <w:rsid w:val="00700CB3"/>
    <w:rsid w:val="007038ED"/>
    <w:rsid w:val="00703BC3"/>
    <w:rsid w:val="00704B61"/>
    <w:rsid w:val="00720D28"/>
    <w:rsid w:val="0074439E"/>
    <w:rsid w:val="007552A9"/>
    <w:rsid w:val="00761858"/>
    <w:rsid w:val="00761DDA"/>
    <w:rsid w:val="00767D59"/>
    <w:rsid w:val="007702DD"/>
    <w:rsid w:val="00771277"/>
    <w:rsid w:val="00776E97"/>
    <w:rsid w:val="00780F86"/>
    <w:rsid w:val="00783672"/>
    <w:rsid w:val="007912AD"/>
    <w:rsid w:val="007A4FEE"/>
    <w:rsid w:val="007B0824"/>
    <w:rsid w:val="007B5D3C"/>
    <w:rsid w:val="007B6955"/>
    <w:rsid w:val="007C1919"/>
    <w:rsid w:val="007F45C8"/>
    <w:rsid w:val="00821B72"/>
    <w:rsid w:val="00823EF2"/>
    <w:rsid w:val="008303B8"/>
    <w:rsid w:val="00831184"/>
    <w:rsid w:val="00833DCE"/>
    <w:rsid w:val="008361DD"/>
    <w:rsid w:val="00842F3A"/>
    <w:rsid w:val="00843A7A"/>
    <w:rsid w:val="00850AC1"/>
    <w:rsid w:val="00866011"/>
    <w:rsid w:val="00871D34"/>
    <w:rsid w:val="00872D99"/>
    <w:rsid w:val="008741CB"/>
    <w:rsid w:val="00887DA7"/>
    <w:rsid w:val="008A01DD"/>
    <w:rsid w:val="008A151B"/>
    <w:rsid w:val="008B270C"/>
    <w:rsid w:val="008B4F43"/>
    <w:rsid w:val="008B5078"/>
    <w:rsid w:val="008C057A"/>
    <w:rsid w:val="008C3D3D"/>
    <w:rsid w:val="008D4131"/>
    <w:rsid w:val="008F0203"/>
    <w:rsid w:val="008F1932"/>
    <w:rsid w:val="008F1BC2"/>
    <w:rsid w:val="008F1C86"/>
    <w:rsid w:val="009154BC"/>
    <w:rsid w:val="00921062"/>
    <w:rsid w:val="00935143"/>
    <w:rsid w:val="009407F7"/>
    <w:rsid w:val="009428D5"/>
    <w:rsid w:val="009722BC"/>
    <w:rsid w:val="009727A3"/>
    <w:rsid w:val="00975893"/>
    <w:rsid w:val="00987774"/>
    <w:rsid w:val="009A11E8"/>
    <w:rsid w:val="009B4673"/>
    <w:rsid w:val="009F5220"/>
    <w:rsid w:val="00A04624"/>
    <w:rsid w:val="00A15234"/>
    <w:rsid w:val="00A201AB"/>
    <w:rsid w:val="00A2306E"/>
    <w:rsid w:val="00A31C8B"/>
    <w:rsid w:val="00A4281A"/>
    <w:rsid w:val="00A50368"/>
    <w:rsid w:val="00A509FA"/>
    <w:rsid w:val="00A55FAA"/>
    <w:rsid w:val="00A845DC"/>
    <w:rsid w:val="00A9409A"/>
    <w:rsid w:val="00AD17CF"/>
    <w:rsid w:val="00B20944"/>
    <w:rsid w:val="00B26AA2"/>
    <w:rsid w:val="00B3524D"/>
    <w:rsid w:val="00B40F69"/>
    <w:rsid w:val="00B448D5"/>
    <w:rsid w:val="00B46616"/>
    <w:rsid w:val="00B52234"/>
    <w:rsid w:val="00B5638F"/>
    <w:rsid w:val="00B57D66"/>
    <w:rsid w:val="00B7040A"/>
    <w:rsid w:val="00B83391"/>
    <w:rsid w:val="00B95326"/>
    <w:rsid w:val="00BB45A9"/>
    <w:rsid w:val="00BD4196"/>
    <w:rsid w:val="00BE2F3A"/>
    <w:rsid w:val="00BF22CA"/>
    <w:rsid w:val="00BF23BB"/>
    <w:rsid w:val="00C2576A"/>
    <w:rsid w:val="00C26032"/>
    <w:rsid w:val="00C345E1"/>
    <w:rsid w:val="00C3505B"/>
    <w:rsid w:val="00C43BFD"/>
    <w:rsid w:val="00C816AD"/>
    <w:rsid w:val="00CA67EE"/>
    <w:rsid w:val="00CB6E35"/>
    <w:rsid w:val="00CC26E8"/>
    <w:rsid w:val="00CD4CBE"/>
    <w:rsid w:val="00CE1A46"/>
    <w:rsid w:val="00CE7550"/>
    <w:rsid w:val="00D015C1"/>
    <w:rsid w:val="00D20757"/>
    <w:rsid w:val="00D22636"/>
    <w:rsid w:val="00D40FD9"/>
    <w:rsid w:val="00D53769"/>
    <w:rsid w:val="00D7040C"/>
    <w:rsid w:val="00D77494"/>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04C"/>
    <w:rsid w:val="00E77C4D"/>
    <w:rsid w:val="00E81D01"/>
    <w:rsid w:val="00E82519"/>
    <w:rsid w:val="00ED6E0E"/>
    <w:rsid w:val="00EE45D8"/>
    <w:rsid w:val="00F17123"/>
    <w:rsid w:val="00F22EDA"/>
    <w:rsid w:val="00F35C16"/>
    <w:rsid w:val="00F465D5"/>
    <w:rsid w:val="00F47952"/>
    <w:rsid w:val="00F93ABB"/>
    <w:rsid w:val="00F95428"/>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5D68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6B68E-3757-4B21-BF71-F25CF1B3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1392</Words>
  <Characters>7290</Characters>
  <Application>Microsoft Office Word</Application>
  <DocSecurity>0</DocSecurity>
  <Lines>60</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2018-07-11T14:59:00Z</dcterms:created>
  <dcterms:modified xsi:type="dcterms:W3CDTF">2018-07-11T14:59:00Z</dcterms:modified>
</cp:coreProperties>
</file>