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CD15" w14:textId="77777777" w:rsidR="008F0F55" w:rsidRPr="00F146AE" w:rsidRDefault="00F81D1E" w:rsidP="008F0F55">
      <w:pPr>
        <w:jc w:val="center"/>
        <w:rPr>
          <w:rFonts w:ascii="Book Antiqua" w:hAnsi="Book Antiqua" w:cs="Arial"/>
          <w:sz w:val="16"/>
          <w:szCs w:val="16"/>
        </w:rPr>
      </w:pPr>
      <w:r>
        <w:rPr>
          <w:rFonts w:ascii="Book Antiqua" w:hAnsi="Book Antiqua"/>
          <w:noProof/>
        </w:rPr>
        <w:drawing>
          <wp:inline distT="0" distB="0" distL="0" distR="0" wp14:anchorId="5B3E18BB" wp14:editId="295BF658">
            <wp:extent cx="1188000" cy="1044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88000" cy="1044000"/>
                    </a:xfrm>
                    <a:prstGeom prst="rect">
                      <a:avLst/>
                    </a:prstGeom>
                    <a:noFill/>
                    <a:ln w="9525">
                      <a:noFill/>
                      <a:miter lim="800000"/>
                      <a:headEnd/>
                      <a:tailEnd/>
                    </a:ln>
                  </pic:spPr>
                </pic:pic>
              </a:graphicData>
            </a:graphic>
          </wp:inline>
        </w:drawing>
      </w:r>
    </w:p>
    <w:p w14:paraId="778DE1A4" w14:textId="7AE6A143" w:rsidR="008F0F55" w:rsidRPr="00F146AE" w:rsidRDefault="00F81D1E" w:rsidP="008F0F55">
      <w:pPr>
        <w:tabs>
          <w:tab w:val="right" w:pos="9639"/>
        </w:tabs>
        <w:rPr>
          <w:rFonts w:ascii="Book Antiqua" w:hAnsi="Book Antiqua" w:cs="Arial"/>
          <w:b/>
        </w:rPr>
      </w:pPr>
      <w:r>
        <w:rPr>
          <w:rFonts w:ascii="Book Antiqua" w:hAnsi="Book Antiqua" w:cs="Arial"/>
          <w:b/>
        </w:rPr>
        <w:t xml:space="preserve">Upper </w:t>
      </w:r>
      <w:r w:rsidRPr="00F146AE">
        <w:rPr>
          <w:rFonts w:ascii="Book Antiqua" w:hAnsi="Book Antiqua" w:cs="Arial"/>
          <w:b/>
        </w:rPr>
        <w:t xml:space="preserve">Tribunal </w:t>
      </w:r>
    </w:p>
    <w:p w14:paraId="5C0097C7" w14:textId="26B944B7" w:rsidR="00AA59B4" w:rsidRPr="00E91EC9" w:rsidRDefault="00F81D1E" w:rsidP="008F0F55">
      <w:pPr>
        <w:tabs>
          <w:tab w:val="right" w:pos="9639"/>
        </w:tabs>
        <w:rPr>
          <w:rFonts w:ascii="Book Antiqua" w:hAnsi="Book Antiqua" w:cs="Arial"/>
          <w:b/>
        </w:rPr>
      </w:pPr>
      <w:r w:rsidRPr="00F146AE">
        <w:rPr>
          <w:rFonts w:ascii="Book Antiqua" w:hAnsi="Book Antiqua" w:cs="Arial"/>
          <w:b/>
        </w:rPr>
        <w:t>(</w:t>
      </w:r>
      <w:r w:rsidR="00E91EC9">
        <w:rPr>
          <w:rFonts w:ascii="Book Antiqua" w:hAnsi="Book Antiqua" w:cs="Arial"/>
          <w:b/>
        </w:rPr>
        <w:t xml:space="preserve">Immigration and Asylum </w:t>
      </w:r>
      <w:proofErr w:type="gramStart"/>
      <w:r w:rsidR="00E91EC9">
        <w:rPr>
          <w:rFonts w:ascii="Book Antiqua" w:hAnsi="Book Antiqua" w:cs="Arial"/>
          <w:b/>
        </w:rPr>
        <w:t xml:space="preserve">Chamber)   </w:t>
      </w:r>
      <w:proofErr w:type="gramEnd"/>
      <w:r w:rsidR="00E91EC9">
        <w:rPr>
          <w:rFonts w:ascii="Book Antiqua" w:hAnsi="Book Antiqua" w:cs="Arial"/>
          <w:b/>
        </w:rPr>
        <w:t xml:space="preserve">                   </w:t>
      </w:r>
      <w:r w:rsidRPr="00E91EC9">
        <w:rPr>
          <w:rFonts w:ascii="Book Antiqua" w:hAnsi="Book Antiqua" w:cs="Arial"/>
          <w:b/>
        </w:rPr>
        <w:t>Appeal Number</w:t>
      </w:r>
      <w:r w:rsidR="00FB3BB7" w:rsidRPr="00E91EC9">
        <w:rPr>
          <w:rFonts w:ascii="Book Antiqua" w:hAnsi="Book Antiqua" w:cs="Arial"/>
          <w:b/>
        </w:rPr>
        <w:t xml:space="preserve">s: HU/07067/2016 </w:t>
      </w:r>
    </w:p>
    <w:p w14:paraId="376AB4A8" w14:textId="1E5EB402" w:rsidR="00E91EC9" w:rsidRDefault="007C633A" w:rsidP="00C753A6">
      <w:pPr>
        <w:tabs>
          <w:tab w:val="right" w:pos="9639"/>
        </w:tabs>
        <w:ind w:left="5670"/>
        <w:rPr>
          <w:rFonts w:ascii="Book Antiqua" w:hAnsi="Book Antiqua" w:cs="Arial"/>
          <w:b/>
        </w:rPr>
      </w:pPr>
      <w:r w:rsidRPr="00E91EC9">
        <w:rPr>
          <w:rFonts w:ascii="Book Antiqua" w:hAnsi="Book Antiqua" w:cs="Arial"/>
          <w:b/>
        </w:rPr>
        <w:t xml:space="preserve">  </w:t>
      </w:r>
      <w:r w:rsidR="00E91EC9">
        <w:rPr>
          <w:rFonts w:ascii="Book Antiqua" w:hAnsi="Book Antiqua" w:cs="Arial"/>
          <w:b/>
        </w:rPr>
        <w:t xml:space="preserve">                          </w:t>
      </w:r>
      <w:r w:rsidR="00AA59B4" w:rsidRPr="00E91EC9">
        <w:rPr>
          <w:rFonts w:ascii="Book Antiqua" w:hAnsi="Book Antiqua" w:cs="Arial"/>
          <w:b/>
        </w:rPr>
        <w:t xml:space="preserve">HU/07092/2016 </w:t>
      </w:r>
    </w:p>
    <w:p w14:paraId="19165009" w14:textId="528EBAFA" w:rsidR="008F0F55" w:rsidRPr="00E91EC9" w:rsidRDefault="00AA59B4" w:rsidP="00C753A6">
      <w:pPr>
        <w:tabs>
          <w:tab w:val="right" w:pos="9639"/>
        </w:tabs>
        <w:ind w:left="5670"/>
        <w:rPr>
          <w:rFonts w:ascii="Book Antiqua" w:hAnsi="Book Antiqua" w:cs="Arial"/>
          <w:b/>
        </w:rPr>
      </w:pPr>
      <w:r w:rsidRPr="00E91EC9">
        <w:rPr>
          <w:rFonts w:ascii="Book Antiqua" w:hAnsi="Book Antiqua" w:cs="Arial"/>
          <w:b/>
        </w:rPr>
        <w:t xml:space="preserve"> </w:t>
      </w:r>
      <w:r w:rsidR="00E91EC9">
        <w:rPr>
          <w:rFonts w:ascii="Book Antiqua" w:hAnsi="Book Antiqua" w:cs="Arial"/>
          <w:b/>
        </w:rPr>
        <w:t xml:space="preserve">                           </w:t>
      </w:r>
      <w:r w:rsidRPr="00E91EC9">
        <w:rPr>
          <w:rFonts w:ascii="Book Antiqua" w:hAnsi="Book Antiqua" w:cs="Arial"/>
          <w:b/>
        </w:rPr>
        <w:t>HU/07097/2016</w:t>
      </w:r>
    </w:p>
    <w:p w14:paraId="08091BB3" w14:textId="77777777" w:rsidR="008F0F55" w:rsidRPr="00E91EC9" w:rsidRDefault="00532CE3" w:rsidP="008F0F55">
      <w:pPr>
        <w:jc w:val="center"/>
        <w:rPr>
          <w:rFonts w:ascii="Book Antiqua" w:hAnsi="Book Antiqua" w:cs="Arial"/>
          <w:b/>
        </w:rPr>
      </w:pPr>
    </w:p>
    <w:p w14:paraId="04DC5760"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1410A07F" w14:textId="77777777" w:rsidR="008F0F55" w:rsidRPr="00F146AE" w:rsidRDefault="00532CE3" w:rsidP="008F0F55">
      <w:pPr>
        <w:jc w:val="center"/>
        <w:rPr>
          <w:rFonts w:ascii="Book Antiqua" w:hAnsi="Book Antiqua" w:cs="Arial"/>
          <w:b/>
          <w:u w:val="single"/>
        </w:rPr>
      </w:pPr>
    </w:p>
    <w:tbl>
      <w:tblPr>
        <w:tblW w:w="10784" w:type="dxa"/>
        <w:tblLook w:val="01E0" w:firstRow="1" w:lastRow="1" w:firstColumn="1" w:lastColumn="1" w:noHBand="0" w:noVBand="0"/>
      </w:tblPr>
      <w:tblGrid>
        <w:gridCol w:w="5245"/>
        <w:gridCol w:w="5539"/>
      </w:tblGrid>
      <w:tr w:rsidR="008F0F55" w:rsidRPr="00035322" w14:paraId="2E330527" w14:textId="77777777" w:rsidTr="00E91EC9">
        <w:trPr>
          <w:trHeight w:val="279"/>
        </w:trPr>
        <w:tc>
          <w:tcPr>
            <w:tcW w:w="5245" w:type="dxa"/>
          </w:tcPr>
          <w:p w14:paraId="12222D24" w14:textId="52CBFD61" w:rsidR="008F0F55" w:rsidRPr="00035322" w:rsidRDefault="00F81D1E" w:rsidP="008F0F55">
            <w:pPr>
              <w:jc w:val="both"/>
              <w:rPr>
                <w:rFonts w:ascii="Book Antiqua" w:hAnsi="Book Antiqua" w:cs="Arial"/>
                <w:b/>
              </w:rPr>
            </w:pPr>
            <w:r w:rsidRPr="00035322">
              <w:rPr>
                <w:rFonts w:ascii="Book Antiqua" w:hAnsi="Book Antiqua" w:cs="Arial"/>
                <w:b/>
              </w:rPr>
              <w:t xml:space="preserve">Heard at </w:t>
            </w:r>
            <w:r w:rsidR="007C633A">
              <w:rPr>
                <w:rFonts w:ascii="Book Antiqua" w:hAnsi="Book Antiqua" w:cs="Arial"/>
                <w:b/>
              </w:rPr>
              <w:t>Bradford</w:t>
            </w:r>
          </w:p>
        </w:tc>
        <w:tc>
          <w:tcPr>
            <w:tcW w:w="5539" w:type="dxa"/>
          </w:tcPr>
          <w:p w14:paraId="442A84BC" w14:textId="77777777" w:rsidR="008F0F55" w:rsidRPr="00035322" w:rsidRDefault="00F81D1E" w:rsidP="00F81D1E">
            <w:pPr>
              <w:jc w:val="both"/>
              <w:rPr>
                <w:rFonts w:ascii="Book Antiqua" w:hAnsi="Book Antiqua" w:cs="Arial"/>
                <w:b/>
              </w:rPr>
            </w:pPr>
            <w:r w:rsidRPr="00035322">
              <w:rPr>
                <w:rFonts w:ascii="Book Antiqua" w:hAnsi="Book Antiqua" w:cs="Arial"/>
                <w:b/>
              </w:rPr>
              <w:t>De</w:t>
            </w:r>
            <w:r>
              <w:rPr>
                <w:rFonts w:ascii="Book Antiqua" w:hAnsi="Book Antiqua" w:cs="Arial"/>
                <w:b/>
              </w:rPr>
              <w:t>cision</w:t>
            </w:r>
            <w:r w:rsidRPr="00035322">
              <w:rPr>
                <w:rFonts w:ascii="Book Antiqua" w:hAnsi="Book Antiqua" w:cs="Arial"/>
                <w:b/>
              </w:rPr>
              <w:t xml:space="preserve"> Promulgated</w:t>
            </w:r>
          </w:p>
        </w:tc>
      </w:tr>
      <w:tr w:rsidR="008F0F55" w:rsidRPr="00035322" w14:paraId="44428417" w14:textId="77777777" w:rsidTr="00E91EC9">
        <w:trPr>
          <w:trHeight w:val="299"/>
        </w:trPr>
        <w:tc>
          <w:tcPr>
            <w:tcW w:w="5245" w:type="dxa"/>
          </w:tcPr>
          <w:p w14:paraId="76596F5F" w14:textId="6224379C" w:rsidR="008F0F55" w:rsidRPr="00035322" w:rsidRDefault="00F81D1E" w:rsidP="008F0F55">
            <w:pPr>
              <w:jc w:val="both"/>
              <w:rPr>
                <w:rFonts w:ascii="Book Antiqua" w:hAnsi="Book Antiqua" w:cs="Arial"/>
                <w:b/>
              </w:rPr>
            </w:pPr>
            <w:r w:rsidRPr="00035322">
              <w:rPr>
                <w:rFonts w:ascii="Book Antiqua" w:hAnsi="Book Antiqua" w:cs="Arial"/>
                <w:b/>
              </w:rPr>
              <w:t xml:space="preserve">On </w:t>
            </w:r>
            <w:r w:rsidR="007C633A">
              <w:rPr>
                <w:rFonts w:ascii="Book Antiqua" w:hAnsi="Book Antiqua" w:cs="Arial"/>
                <w:b/>
              </w:rPr>
              <w:t>5 July 2018</w:t>
            </w:r>
          </w:p>
        </w:tc>
        <w:tc>
          <w:tcPr>
            <w:tcW w:w="5539" w:type="dxa"/>
          </w:tcPr>
          <w:p w14:paraId="60129748" w14:textId="4F9A1E42" w:rsidR="008F0F55" w:rsidRPr="00035322" w:rsidRDefault="006D39CF" w:rsidP="008F0F55">
            <w:pPr>
              <w:jc w:val="both"/>
              <w:rPr>
                <w:rFonts w:ascii="Book Antiqua" w:hAnsi="Book Antiqua" w:cs="Arial"/>
                <w:b/>
              </w:rPr>
            </w:pPr>
            <w:r w:rsidRPr="006D39CF">
              <w:rPr>
                <w:rFonts w:ascii="Book Antiqua" w:hAnsi="Book Antiqua" w:cs="Arial"/>
                <w:b/>
              </w:rPr>
              <w:t>On 12 July 2018</w:t>
            </w:r>
          </w:p>
        </w:tc>
      </w:tr>
      <w:tr w:rsidR="008F0F55" w:rsidRPr="00035322" w14:paraId="1F233C5F" w14:textId="77777777" w:rsidTr="00E91EC9">
        <w:trPr>
          <w:trHeight w:val="279"/>
        </w:trPr>
        <w:tc>
          <w:tcPr>
            <w:tcW w:w="5245" w:type="dxa"/>
          </w:tcPr>
          <w:p w14:paraId="46D24584" w14:textId="77777777" w:rsidR="008F0F55" w:rsidRPr="00035322" w:rsidRDefault="00532CE3" w:rsidP="008F0F55">
            <w:pPr>
              <w:jc w:val="both"/>
              <w:rPr>
                <w:rFonts w:ascii="Book Antiqua" w:hAnsi="Book Antiqua" w:cs="Arial"/>
                <w:b/>
              </w:rPr>
            </w:pPr>
          </w:p>
        </w:tc>
        <w:tc>
          <w:tcPr>
            <w:tcW w:w="5539" w:type="dxa"/>
          </w:tcPr>
          <w:p w14:paraId="0BC1A6A8" w14:textId="273C6655" w:rsidR="008F0F55" w:rsidRPr="00035322" w:rsidRDefault="00532CE3" w:rsidP="008F0F55">
            <w:pPr>
              <w:jc w:val="both"/>
              <w:rPr>
                <w:rFonts w:ascii="Book Antiqua" w:hAnsi="Book Antiqua" w:cs="Arial"/>
                <w:b/>
              </w:rPr>
            </w:pPr>
          </w:p>
        </w:tc>
      </w:tr>
    </w:tbl>
    <w:p w14:paraId="25CFCAFA" w14:textId="77777777" w:rsidR="008F0F55" w:rsidRPr="00F146AE" w:rsidRDefault="00532CE3" w:rsidP="008F0F55">
      <w:pPr>
        <w:jc w:val="center"/>
        <w:rPr>
          <w:rFonts w:ascii="Book Antiqua" w:hAnsi="Book Antiqua" w:cs="Arial"/>
        </w:rPr>
      </w:pPr>
    </w:p>
    <w:p w14:paraId="3D7EA9A7"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3F3F3818" w14:textId="77777777" w:rsidR="008F0F55" w:rsidRPr="00F146AE" w:rsidRDefault="00532CE3" w:rsidP="008F0F55">
      <w:pPr>
        <w:jc w:val="center"/>
        <w:rPr>
          <w:rFonts w:ascii="Book Antiqua" w:hAnsi="Book Antiqua" w:cs="Arial"/>
          <w:b/>
        </w:rPr>
      </w:pPr>
    </w:p>
    <w:p w14:paraId="7757D50B" w14:textId="2E39FFCB" w:rsidR="008F0F55" w:rsidRPr="00F146AE" w:rsidRDefault="00E91EC9" w:rsidP="008F0F55">
      <w:pPr>
        <w:jc w:val="center"/>
        <w:rPr>
          <w:rFonts w:ascii="Book Antiqua" w:hAnsi="Book Antiqua" w:cs="Arial"/>
          <w:b/>
        </w:rPr>
      </w:pPr>
      <w:r>
        <w:rPr>
          <w:rFonts w:ascii="Book Antiqua" w:hAnsi="Book Antiqua" w:cs="Arial"/>
          <w:b/>
        </w:rPr>
        <w:t>DEPUTY UPPER TRIBUNAL JUDGE PICKUP</w:t>
      </w:r>
    </w:p>
    <w:p w14:paraId="5D4D6280" w14:textId="77777777" w:rsidR="00E91EC9" w:rsidRDefault="00E91EC9" w:rsidP="008F0F55">
      <w:pPr>
        <w:jc w:val="center"/>
        <w:rPr>
          <w:rFonts w:ascii="Book Antiqua" w:hAnsi="Book Antiqua" w:cs="Arial"/>
          <w:b/>
        </w:rPr>
      </w:pPr>
    </w:p>
    <w:p w14:paraId="7F950F83" w14:textId="3D681729"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148112FF" w14:textId="77777777" w:rsidR="008F0F55" w:rsidRPr="00F146AE" w:rsidRDefault="00532CE3" w:rsidP="008F0F55">
      <w:pPr>
        <w:jc w:val="center"/>
        <w:rPr>
          <w:rFonts w:ascii="Book Antiqua" w:hAnsi="Book Antiqua" w:cs="Arial"/>
          <w:b/>
        </w:rPr>
      </w:pPr>
    </w:p>
    <w:p w14:paraId="36C28499" w14:textId="35D5CEC7" w:rsidR="008F0F55" w:rsidRDefault="007C633A" w:rsidP="008F0F55">
      <w:pPr>
        <w:jc w:val="center"/>
        <w:rPr>
          <w:rFonts w:ascii="Book Antiqua" w:hAnsi="Book Antiqua" w:cs="Arial"/>
          <w:b/>
        </w:rPr>
      </w:pPr>
      <w:r>
        <w:rPr>
          <w:rFonts w:ascii="Book Antiqua" w:hAnsi="Book Antiqua" w:cs="Arial"/>
          <w:b/>
        </w:rPr>
        <w:t>LT</w:t>
      </w:r>
    </w:p>
    <w:p w14:paraId="666A85F4" w14:textId="0E26509C" w:rsidR="007C633A" w:rsidRDefault="007C633A" w:rsidP="008F0F55">
      <w:pPr>
        <w:jc w:val="center"/>
        <w:rPr>
          <w:rFonts w:ascii="Book Antiqua" w:hAnsi="Book Antiqua" w:cs="Arial"/>
          <w:b/>
        </w:rPr>
      </w:pPr>
      <w:r>
        <w:rPr>
          <w:rFonts w:ascii="Book Antiqua" w:hAnsi="Book Antiqua" w:cs="Arial"/>
          <w:b/>
        </w:rPr>
        <w:t>ED</w:t>
      </w:r>
    </w:p>
    <w:p w14:paraId="6EEF2246" w14:textId="6EC1A584" w:rsidR="007C633A" w:rsidRDefault="007C633A" w:rsidP="008F0F55">
      <w:pPr>
        <w:jc w:val="center"/>
        <w:rPr>
          <w:rFonts w:ascii="Book Antiqua" w:hAnsi="Book Antiqua" w:cs="Arial"/>
          <w:b/>
        </w:rPr>
      </w:pPr>
      <w:r>
        <w:rPr>
          <w:rFonts w:ascii="Book Antiqua" w:hAnsi="Book Antiqua" w:cs="Arial"/>
          <w:b/>
        </w:rPr>
        <w:t>JD</w:t>
      </w:r>
    </w:p>
    <w:p w14:paraId="5F65B1C1" w14:textId="437EFB80" w:rsidR="008F0F55" w:rsidRPr="00E91EC9" w:rsidRDefault="00E91EC9" w:rsidP="008F0F55">
      <w:pPr>
        <w:jc w:val="center"/>
        <w:rPr>
          <w:rFonts w:ascii="Book Antiqua" w:hAnsi="Book Antiqua" w:cs="Arial"/>
        </w:rPr>
      </w:pPr>
      <w:r w:rsidRPr="00E91EC9">
        <w:rPr>
          <w:rFonts w:ascii="Book Antiqua" w:hAnsi="Book Antiqua" w:cs="Arial"/>
        </w:rPr>
        <w:t>[ANONYMITY DIRECTION MADE]</w:t>
      </w:r>
    </w:p>
    <w:p w14:paraId="382C14C7"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6A39EC19" w14:textId="77777777" w:rsidR="00E91EC9" w:rsidRDefault="00E91EC9" w:rsidP="008F0F55">
      <w:pPr>
        <w:jc w:val="center"/>
        <w:rPr>
          <w:rFonts w:ascii="Book Antiqua" w:hAnsi="Book Antiqua" w:cs="Arial"/>
          <w:b/>
        </w:rPr>
      </w:pPr>
    </w:p>
    <w:p w14:paraId="0E25DA8E" w14:textId="28F215C5" w:rsidR="008F0F55" w:rsidRPr="00F146AE" w:rsidRDefault="00F81D1E" w:rsidP="008F0F55">
      <w:pPr>
        <w:jc w:val="center"/>
        <w:rPr>
          <w:rFonts w:ascii="Book Antiqua" w:hAnsi="Book Antiqua" w:cs="Arial"/>
          <w:b/>
        </w:rPr>
      </w:pPr>
      <w:r w:rsidRPr="00F146AE">
        <w:rPr>
          <w:rFonts w:ascii="Book Antiqua" w:hAnsi="Book Antiqua" w:cs="Arial"/>
          <w:b/>
        </w:rPr>
        <w:t>and</w:t>
      </w:r>
    </w:p>
    <w:p w14:paraId="5D3E3F45" w14:textId="77777777" w:rsidR="008F0F55" w:rsidRPr="00F146AE" w:rsidRDefault="00532CE3" w:rsidP="008F0F55">
      <w:pPr>
        <w:jc w:val="center"/>
        <w:rPr>
          <w:rFonts w:ascii="Book Antiqua" w:hAnsi="Book Antiqua" w:cs="Arial"/>
          <w:b/>
        </w:rPr>
      </w:pPr>
    </w:p>
    <w:p w14:paraId="380E110F" w14:textId="2352A36D" w:rsidR="008F0F55" w:rsidRDefault="00E91EC9" w:rsidP="008F0F55">
      <w:pPr>
        <w:jc w:val="center"/>
        <w:rPr>
          <w:rFonts w:ascii="Book Antiqua" w:hAnsi="Book Antiqua" w:cs="Arial"/>
          <w:b/>
        </w:rPr>
      </w:pPr>
      <w:r>
        <w:rPr>
          <w:rFonts w:ascii="Book Antiqua" w:hAnsi="Book Antiqua" w:cs="Arial"/>
          <w:b/>
        </w:rPr>
        <w:t>SECRETARY OF STATE FOR THE HOME DEPARTMENT</w:t>
      </w:r>
    </w:p>
    <w:p w14:paraId="4138BE2F"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38E4F76D" w14:textId="77777777" w:rsidR="008F0F55" w:rsidRPr="00F146AE" w:rsidRDefault="00532CE3" w:rsidP="008F0F55">
      <w:pPr>
        <w:rPr>
          <w:rFonts w:ascii="Book Antiqua" w:hAnsi="Book Antiqua" w:cs="Arial"/>
          <w:u w:val="single"/>
        </w:rPr>
      </w:pPr>
    </w:p>
    <w:p w14:paraId="42F4EF15"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4984D457" w14:textId="77777777" w:rsidR="008F0F55" w:rsidRPr="00F146AE" w:rsidRDefault="00532CE3" w:rsidP="008F0F55">
      <w:pPr>
        <w:rPr>
          <w:rFonts w:ascii="Book Antiqua" w:hAnsi="Book Antiqua" w:cs="Arial"/>
        </w:rPr>
      </w:pPr>
    </w:p>
    <w:p w14:paraId="2D8B2838" w14:textId="479C941D" w:rsidR="001E36DC"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007C633A">
        <w:rPr>
          <w:rFonts w:ascii="Book Antiqua" w:hAnsi="Book Antiqua" w:cs="Arial"/>
        </w:rPr>
        <w:t>s</w:t>
      </w:r>
      <w:r w:rsidRPr="00F146AE">
        <w:rPr>
          <w:rFonts w:ascii="Book Antiqua" w:hAnsi="Book Antiqua" w:cs="Arial"/>
        </w:rPr>
        <w:t>:</w:t>
      </w:r>
      <w:r w:rsidRPr="00F146AE">
        <w:rPr>
          <w:rFonts w:ascii="Book Antiqua" w:hAnsi="Book Antiqua" w:cs="Arial"/>
        </w:rPr>
        <w:tab/>
      </w:r>
      <w:r w:rsidR="007C633A">
        <w:rPr>
          <w:rFonts w:ascii="Book Antiqua" w:hAnsi="Book Antiqua" w:cs="Arial"/>
        </w:rPr>
        <w:t xml:space="preserve">Mr </w:t>
      </w:r>
      <w:r w:rsidR="001E36DC">
        <w:rPr>
          <w:rFonts w:ascii="Book Antiqua" w:hAnsi="Book Antiqua" w:cs="Arial"/>
        </w:rPr>
        <w:t xml:space="preserve">B </w:t>
      </w:r>
      <w:proofErr w:type="spellStart"/>
      <w:r w:rsidR="001E36DC">
        <w:rPr>
          <w:rFonts w:ascii="Book Antiqua" w:hAnsi="Book Antiqua" w:cs="Arial"/>
        </w:rPr>
        <w:t>Chimpango</w:t>
      </w:r>
      <w:proofErr w:type="spellEnd"/>
      <w:r>
        <w:rPr>
          <w:rFonts w:ascii="Book Antiqua" w:hAnsi="Book Antiqua" w:cs="Arial"/>
        </w:rPr>
        <w:t xml:space="preserve">, instructed by </w:t>
      </w:r>
      <w:r w:rsidR="001E36DC">
        <w:rPr>
          <w:rFonts w:ascii="Book Antiqua" w:hAnsi="Book Antiqua" w:cs="Arial"/>
        </w:rPr>
        <w:t>Crown &amp; Law Solicitors</w:t>
      </w:r>
    </w:p>
    <w:p w14:paraId="42E8BC5C" w14:textId="7694B1CC"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1E36DC">
        <w:rPr>
          <w:rFonts w:ascii="Book Antiqua" w:hAnsi="Book Antiqua" w:cs="Arial"/>
        </w:rPr>
        <w:t>Ms R Pettersen</w:t>
      </w:r>
      <w:r>
        <w:rPr>
          <w:rFonts w:ascii="Book Antiqua" w:hAnsi="Book Antiqua" w:cs="Arial"/>
        </w:rPr>
        <w:t>, Senior Home Office Presenting Officer</w:t>
      </w:r>
    </w:p>
    <w:p w14:paraId="758EED03" w14:textId="77777777" w:rsidR="008F0F55" w:rsidRPr="00F146AE" w:rsidRDefault="00532CE3" w:rsidP="008F0F55">
      <w:pPr>
        <w:tabs>
          <w:tab w:val="left" w:pos="2520"/>
        </w:tabs>
        <w:jc w:val="center"/>
        <w:rPr>
          <w:rFonts w:ascii="Book Antiqua" w:hAnsi="Book Antiqua" w:cs="Arial"/>
        </w:rPr>
      </w:pPr>
    </w:p>
    <w:p w14:paraId="072772E5" w14:textId="77777777"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1B3BC19A" w14:textId="22A6033C" w:rsidR="00A57E35" w:rsidRDefault="00F81D1E" w:rsidP="008F0F55">
      <w:pPr>
        <w:numPr>
          <w:ilvl w:val="0"/>
          <w:numId w:val="3"/>
        </w:numPr>
        <w:spacing w:before="240"/>
        <w:jc w:val="both"/>
        <w:rPr>
          <w:rFonts w:ascii="Book Antiqua" w:hAnsi="Book Antiqua" w:cs="Arial"/>
        </w:rPr>
      </w:pPr>
      <w:r>
        <w:rPr>
          <w:rFonts w:ascii="Book Antiqua" w:hAnsi="Book Antiqua" w:cs="Arial"/>
        </w:rPr>
        <w:t>Thi</w:t>
      </w:r>
      <w:r w:rsidR="001E36DC">
        <w:rPr>
          <w:rFonts w:ascii="Book Antiqua" w:hAnsi="Book Antiqua" w:cs="Arial"/>
        </w:rPr>
        <w:t>s</w:t>
      </w:r>
      <w:r>
        <w:rPr>
          <w:rFonts w:ascii="Book Antiqua" w:hAnsi="Book Antiqua" w:cs="Arial"/>
        </w:rPr>
        <w:t xml:space="preserve"> is </w:t>
      </w:r>
      <w:r w:rsidR="003E7F7B">
        <w:rPr>
          <w:rFonts w:ascii="Book Antiqua" w:hAnsi="Book Antiqua" w:cs="Arial"/>
        </w:rPr>
        <w:t>the appellant</w:t>
      </w:r>
      <w:r w:rsidR="001E36DC">
        <w:rPr>
          <w:rFonts w:ascii="Book Antiqua" w:hAnsi="Book Antiqua" w:cs="Arial"/>
        </w:rPr>
        <w:t>s’</w:t>
      </w:r>
      <w:r w:rsidR="003E7F7B">
        <w:rPr>
          <w:rFonts w:ascii="Book Antiqua" w:hAnsi="Book Antiqua" w:cs="Arial"/>
        </w:rPr>
        <w:t xml:space="preserve"> </w:t>
      </w:r>
      <w:r>
        <w:rPr>
          <w:rFonts w:ascii="Book Antiqua" w:hAnsi="Book Antiqua" w:cs="Arial"/>
        </w:rPr>
        <w:t xml:space="preserve">appeal against the decision of First-tier Tribunal Judge </w:t>
      </w:r>
      <w:r w:rsidR="00A57E35">
        <w:rPr>
          <w:rFonts w:ascii="Book Antiqua" w:hAnsi="Book Antiqua" w:cs="Arial"/>
        </w:rPr>
        <w:t>Grant</w:t>
      </w:r>
      <w:r w:rsidR="00FC346C">
        <w:rPr>
          <w:rFonts w:ascii="Book Antiqua" w:hAnsi="Book Antiqua" w:cs="Arial"/>
        </w:rPr>
        <w:t xml:space="preserve"> promulgated </w:t>
      </w:r>
      <w:r w:rsidR="00A57E35">
        <w:rPr>
          <w:rFonts w:ascii="Book Antiqua" w:hAnsi="Book Antiqua" w:cs="Arial"/>
        </w:rPr>
        <w:t>24.7.17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w:t>
      </w:r>
      <w:r w:rsidR="00A57E35">
        <w:rPr>
          <w:rFonts w:ascii="Book Antiqua" w:hAnsi="Book Antiqua" w:cs="Arial"/>
        </w:rPr>
        <w:t xml:space="preserve">their linked </w:t>
      </w:r>
      <w:r>
        <w:rPr>
          <w:rFonts w:ascii="Book Antiqua" w:hAnsi="Book Antiqua" w:cs="Arial"/>
        </w:rPr>
        <w:t>appeal</w:t>
      </w:r>
      <w:r w:rsidR="00A57E35">
        <w:rPr>
          <w:rFonts w:ascii="Book Antiqua" w:hAnsi="Book Antiqua" w:cs="Arial"/>
        </w:rPr>
        <w:t>s</w:t>
      </w:r>
      <w:r>
        <w:rPr>
          <w:rFonts w:ascii="Book Antiqua" w:hAnsi="Book Antiqua" w:cs="Arial"/>
        </w:rPr>
        <w:t xml:space="preserve"> against the decision </w:t>
      </w:r>
      <w:r w:rsidR="001619F0">
        <w:rPr>
          <w:rFonts w:ascii="Book Antiqua" w:hAnsi="Book Antiqua" w:cs="Arial"/>
        </w:rPr>
        <w:t xml:space="preserve">(RFR) </w:t>
      </w:r>
      <w:r>
        <w:rPr>
          <w:rFonts w:ascii="Book Antiqua" w:hAnsi="Book Antiqua" w:cs="Arial"/>
        </w:rPr>
        <w:t xml:space="preserve">of the </w:t>
      </w:r>
      <w:r w:rsidR="00FC346C">
        <w:rPr>
          <w:rFonts w:ascii="Book Antiqua" w:hAnsi="Book Antiqua" w:cs="Arial"/>
        </w:rPr>
        <w:t xml:space="preserve">Secretary of State, dated </w:t>
      </w:r>
      <w:r w:rsidR="00A57E35">
        <w:rPr>
          <w:rFonts w:ascii="Book Antiqua" w:hAnsi="Book Antiqua" w:cs="Arial"/>
        </w:rPr>
        <w:t>2.3.16</w:t>
      </w:r>
      <w:r w:rsidR="00FC346C">
        <w:rPr>
          <w:rFonts w:ascii="Book Antiqua" w:hAnsi="Book Antiqua" w:cs="Arial"/>
        </w:rPr>
        <w:t>,</w:t>
      </w:r>
      <w:r>
        <w:rPr>
          <w:rFonts w:ascii="Book Antiqua" w:hAnsi="Book Antiqua" w:cs="Arial"/>
        </w:rPr>
        <w:t xml:space="preserve"> to refuse </w:t>
      </w:r>
      <w:r w:rsidR="00A57E35">
        <w:rPr>
          <w:rFonts w:ascii="Book Antiqua" w:hAnsi="Book Antiqua" w:cs="Arial"/>
        </w:rPr>
        <w:t xml:space="preserve">their applications for LTR on private and family life human rights grounds. </w:t>
      </w:r>
      <w:r w:rsidR="00C4377D">
        <w:rPr>
          <w:rFonts w:ascii="Book Antiqua" w:hAnsi="Book Antiqua" w:cs="Arial"/>
        </w:rPr>
        <w:t>The first and second appellants are partners and the third appellant</w:t>
      </w:r>
      <w:r w:rsidR="005E1157">
        <w:rPr>
          <w:rFonts w:ascii="Book Antiqua" w:hAnsi="Book Antiqua" w:cs="Arial"/>
        </w:rPr>
        <w:t>, born in the UK on 21.2.13,</w:t>
      </w:r>
      <w:r w:rsidR="00C4377D">
        <w:rPr>
          <w:rFonts w:ascii="Book Antiqua" w:hAnsi="Book Antiqua" w:cs="Arial"/>
        </w:rPr>
        <w:t xml:space="preserve"> is their </w:t>
      </w:r>
      <w:r w:rsidR="003B470E">
        <w:rPr>
          <w:rFonts w:ascii="Book Antiqua" w:hAnsi="Book Antiqua" w:cs="Arial"/>
        </w:rPr>
        <w:t>son</w:t>
      </w:r>
      <w:r w:rsidR="00C4377D">
        <w:rPr>
          <w:rFonts w:ascii="Book Antiqua" w:hAnsi="Book Antiqua" w:cs="Arial"/>
        </w:rPr>
        <w:t>. A further</w:t>
      </w:r>
      <w:r w:rsidR="003B470E">
        <w:rPr>
          <w:rFonts w:ascii="Book Antiqua" w:hAnsi="Book Antiqua" w:cs="Arial"/>
        </w:rPr>
        <w:t xml:space="preserve"> child</w:t>
      </w:r>
      <w:r w:rsidR="00015F6E">
        <w:rPr>
          <w:rFonts w:ascii="Book Antiqua" w:hAnsi="Book Antiqua" w:cs="Arial"/>
        </w:rPr>
        <w:t>, their daughter EJD,</w:t>
      </w:r>
      <w:r w:rsidR="00C4377D">
        <w:rPr>
          <w:rFonts w:ascii="Book Antiqua" w:hAnsi="Book Antiqua" w:cs="Arial"/>
        </w:rPr>
        <w:t xml:space="preserve"> was born to them in the UK on 16.9.15.</w:t>
      </w:r>
    </w:p>
    <w:p w14:paraId="50F2D2D7" w14:textId="7EC71EED" w:rsidR="008F0F55" w:rsidRDefault="00F81D1E" w:rsidP="008F0F55">
      <w:pPr>
        <w:numPr>
          <w:ilvl w:val="0"/>
          <w:numId w:val="3"/>
        </w:numPr>
        <w:spacing w:before="240"/>
        <w:jc w:val="both"/>
        <w:rPr>
          <w:rFonts w:ascii="Book Antiqua" w:hAnsi="Book Antiqua" w:cs="Arial"/>
        </w:rPr>
      </w:pPr>
      <w:r>
        <w:rPr>
          <w:rFonts w:ascii="Book Antiqua" w:hAnsi="Book Antiqua" w:cs="Arial"/>
        </w:rPr>
        <w:t xml:space="preserve">First-tier Tribunal Judge </w:t>
      </w:r>
      <w:r w:rsidR="004B31D7">
        <w:rPr>
          <w:rFonts w:ascii="Book Antiqua" w:hAnsi="Book Antiqua" w:cs="Arial"/>
        </w:rPr>
        <w:t>Pedro</w:t>
      </w:r>
      <w:r>
        <w:rPr>
          <w:rFonts w:ascii="Book Antiqua" w:hAnsi="Book Antiqua" w:cs="Arial"/>
        </w:rPr>
        <w:t xml:space="preserve"> </w:t>
      </w:r>
      <w:r w:rsidRPr="00011203">
        <w:rPr>
          <w:rFonts w:ascii="Book Antiqua" w:hAnsi="Book Antiqua" w:cs="Arial"/>
        </w:rPr>
        <w:t xml:space="preserve">granted permission to appeal on </w:t>
      </w:r>
      <w:r w:rsidR="004B31D7">
        <w:rPr>
          <w:rFonts w:ascii="Book Antiqua" w:hAnsi="Book Antiqua" w:cs="Arial"/>
        </w:rPr>
        <w:t>5.1.18</w:t>
      </w:r>
      <w:r>
        <w:rPr>
          <w:rFonts w:ascii="Book Antiqua" w:hAnsi="Book Antiqua" w:cs="Arial"/>
        </w:rPr>
        <w:t>.</w:t>
      </w:r>
    </w:p>
    <w:p w14:paraId="2B293736" w14:textId="72D726DA" w:rsidR="008F0F55" w:rsidRPr="003E7F7B" w:rsidRDefault="00F81D1E" w:rsidP="00E91EC9">
      <w:pPr>
        <w:tabs>
          <w:tab w:val="left" w:pos="3330"/>
        </w:tabs>
        <w:spacing w:before="240" w:after="100" w:afterAutospacing="1"/>
        <w:jc w:val="both"/>
        <w:rPr>
          <w:rFonts w:ascii="Book Antiqua" w:hAnsi="Book Antiqua" w:cs="Arial"/>
          <w:i/>
        </w:rPr>
      </w:pPr>
      <w:r w:rsidRPr="003E7F7B">
        <w:rPr>
          <w:rFonts w:ascii="Book Antiqua" w:hAnsi="Book Antiqua" w:cs="Arial"/>
          <w:i/>
        </w:rPr>
        <w:lastRenderedPageBreak/>
        <w:t>Error of Law</w:t>
      </w:r>
      <w:r w:rsidR="00E91EC9">
        <w:rPr>
          <w:rFonts w:ascii="Book Antiqua" w:hAnsi="Book Antiqua" w:cs="Arial"/>
          <w:i/>
        </w:rPr>
        <w:tab/>
      </w:r>
    </w:p>
    <w:p w14:paraId="6737D7A0" w14:textId="2B7BF66C" w:rsidR="008F0F55" w:rsidRDefault="00F81D1E" w:rsidP="008F0F55">
      <w:pPr>
        <w:numPr>
          <w:ilvl w:val="0"/>
          <w:numId w:val="3"/>
        </w:numPr>
        <w:spacing w:before="240"/>
        <w:jc w:val="both"/>
        <w:rPr>
          <w:rFonts w:ascii="Book Antiqua" w:hAnsi="Book Antiqua" w:cs="Arial"/>
        </w:rPr>
      </w:pPr>
      <w:r w:rsidRPr="00011203">
        <w:rPr>
          <w:rFonts w:ascii="Book Antiqua" w:hAnsi="Book Antiqua" w:cs="Arial"/>
        </w:rPr>
        <w:t xml:space="preserve">In the first instance I </w:t>
      </w:r>
      <w:proofErr w:type="gramStart"/>
      <w:r w:rsidRPr="00011203">
        <w:rPr>
          <w:rFonts w:ascii="Book Antiqua" w:hAnsi="Book Antiqua" w:cs="Arial"/>
        </w:rPr>
        <w:t>have to</w:t>
      </w:r>
      <w:proofErr w:type="gramEnd"/>
      <w:r w:rsidRPr="00011203">
        <w:rPr>
          <w:rFonts w:ascii="Book Antiqua" w:hAnsi="Book Antiqua" w:cs="Arial"/>
        </w:rPr>
        <w:t xml:space="preserve"> determine whether or not </w:t>
      </w:r>
      <w:r w:rsidRPr="00652FF3">
        <w:rPr>
          <w:rFonts w:ascii="Book Antiqua" w:hAnsi="Book Antiqua" w:cs="Arial"/>
        </w:rPr>
        <w:t>there was a</w:t>
      </w:r>
      <w:r>
        <w:rPr>
          <w:rFonts w:ascii="Book Antiqua" w:hAnsi="Book Antiqua" w:cs="Arial"/>
        </w:rPr>
        <w:t xml:space="preserve">n error of law in the making of the decision of the First-tier Tribunal such that </w:t>
      </w:r>
      <w:r w:rsidR="004B31D7">
        <w:rPr>
          <w:rFonts w:ascii="Book Antiqua" w:hAnsi="Book Antiqua" w:cs="Arial"/>
        </w:rPr>
        <w:t>it</w:t>
      </w:r>
      <w:r>
        <w:rPr>
          <w:rFonts w:ascii="Book Antiqua" w:hAnsi="Book Antiqua" w:cs="Arial"/>
        </w:rPr>
        <w:t xml:space="preserve"> should be set aside.</w:t>
      </w:r>
    </w:p>
    <w:p w14:paraId="4DA94D13" w14:textId="0C1A972D" w:rsidR="004B31D7" w:rsidRDefault="004715AF" w:rsidP="008F0F55">
      <w:pPr>
        <w:numPr>
          <w:ilvl w:val="0"/>
          <w:numId w:val="3"/>
        </w:numPr>
        <w:spacing w:before="240"/>
        <w:jc w:val="both"/>
        <w:rPr>
          <w:rFonts w:ascii="Book Antiqua" w:hAnsi="Book Antiqua" w:cs="Arial"/>
        </w:rPr>
      </w:pPr>
      <w:r>
        <w:rPr>
          <w:rFonts w:ascii="Book Antiqua" w:hAnsi="Book Antiqua" w:cs="Arial"/>
        </w:rPr>
        <w:t xml:space="preserve">The grounds </w:t>
      </w:r>
      <w:r w:rsidR="00C64268">
        <w:rPr>
          <w:rFonts w:ascii="Book Antiqua" w:hAnsi="Book Antiqua" w:cs="Arial"/>
        </w:rPr>
        <w:t xml:space="preserve">(1) </w:t>
      </w:r>
      <w:r>
        <w:rPr>
          <w:rFonts w:ascii="Book Antiqua" w:hAnsi="Book Antiqua" w:cs="Arial"/>
        </w:rPr>
        <w:t xml:space="preserve">assert that the judge refused to consider factual matters already raised with the respondent prior to the </w:t>
      </w:r>
      <w:r w:rsidR="001619F0">
        <w:rPr>
          <w:rFonts w:ascii="Book Antiqua" w:hAnsi="Book Antiqua" w:cs="Arial"/>
        </w:rPr>
        <w:t>RFR and which had or could have had a bearing on the human rights claim.</w:t>
      </w:r>
    </w:p>
    <w:p w14:paraId="515D8860" w14:textId="4E333F40" w:rsidR="001619F0" w:rsidRDefault="001619F0" w:rsidP="008F0F55">
      <w:pPr>
        <w:numPr>
          <w:ilvl w:val="0"/>
          <w:numId w:val="3"/>
        </w:numPr>
        <w:spacing w:before="240"/>
        <w:jc w:val="both"/>
        <w:rPr>
          <w:rFonts w:ascii="Book Antiqua" w:hAnsi="Book Antiqua" w:cs="Arial"/>
        </w:rPr>
      </w:pPr>
      <w:r>
        <w:rPr>
          <w:rFonts w:ascii="Book Antiqua" w:hAnsi="Book Antiqua" w:cs="Arial"/>
        </w:rPr>
        <w:t xml:space="preserve">Additional grounds </w:t>
      </w:r>
      <w:r w:rsidR="00E3798A">
        <w:rPr>
          <w:rFonts w:ascii="Book Antiqua" w:hAnsi="Book Antiqua" w:cs="Arial"/>
        </w:rPr>
        <w:t>(2) claim that the judge failed to consider the best interests of the children of the family pursuant to Section 55 of the Borders, Citizenship and Immigration Act 2009, and (3),</w:t>
      </w:r>
      <w:r w:rsidR="00C64268">
        <w:rPr>
          <w:rFonts w:ascii="Book Antiqua" w:hAnsi="Book Antiqua" w:cs="Arial"/>
        </w:rPr>
        <w:t xml:space="preserve"> that the children are stateless, having been born in the UK. </w:t>
      </w:r>
    </w:p>
    <w:p w14:paraId="74865BAF" w14:textId="2BDF1793" w:rsidR="007961E4" w:rsidRDefault="00C64268" w:rsidP="008F0F55">
      <w:pPr>
        <w:numPr>
          <w:ilvl w:val="0"/>
          <w:numId w:val="3"/>
        </w:numPr>
        <w:spacing w:before="240"/>
        <w:jc w:val="both"/>
        <w:rPr>
          <w:rFonts w:ascii="Book Antiqua" w:hAnsi="Book Antiqua" w:cs="Arial"/>
        </w:rPr>
      </w:pPr>
      <w:r>
        <w:rPr>
          <w:rFonts w:ascii="Book Antiqua" w:hAnsi="Book Antiqua" w:cs="Arial"/>
        </w:rPr>
        <w:t>Permission to appeal in respect of grounds (2) and (3)</w:t>
      </w:r>
      <w:r w:rsidR="003B6A54">
        <w:rPr>
          <w:rFonts w:ascii="Book Antiqua" w:hAnsi="Book Antiqua" w:cs="Arial"/>
        </w:rPr>
        <w:t xml:space="preserve"> was refused</w:t>
      </w:r>
      <w:r w:rsidR="00432D71">
        <w:rPr>
          <w:rFonts w:ascii="Book Antiqua" w:hAnsi="Book Antiqua" w:cs="Arial"/>
        </w:rPr>
        <w:t>.</w:t>
      </w:r>
      <w:r w:rsidR="003B6A54">
        <w:rPr>
          <w:rFonts w:ascii="Book Antiqua" w:hAnsi="Book Antiqua" w:cs="Arial"/>
        </w:rPr>
        <w:t xml:space="preserve"> Mr </w:t>
      </w:r>
      <w:proofErr w:type="spellStart"/>
      <w:r w:rsidR="003B6A54">
        <w:rPr>
          <w:rFonts w:ascii="Book Antiqua" w:hAnsi="Book Antiqua" w:cs="Arial"/>
        </w:rPr>
        <w:t>Chimpango</w:t>
      </w:r>
      <w:proofErr w:type="spellEnd"/>
      <w:r w:rsidR="003B6A54">
        <w:rPr>
          <w:rFonts w:ascii="Book Antiqua" w:hAnsi="Book Antiqua" w:cs="Arial"/>
        </w:rPr>
        <w:t xml:space="preserve"> did not pursue those grounds before me</w:t>
      </w:r>
      <w:r w:rsidR="007961E4">
        <w:rPr>
          <w:rFonts w:ascii="Book Antiqua" w:hAnsi="Book Antiqua" w:cs="Arial"/>
        </w:rPr>
        <w:t xml:space="preserve"> and I do not consider them further. </w:t>
      </w:r>
    </w:p>
    <w:p w14:paraId="67B9E95B" w14:textId="16A5BC80" w:rsidR="00C64268" w:rsidRDefault="003B6A54" w:rsidP="008F0F55">
      <w:pPr>
        <w:numPr>
          <w:ilvl w:val="0"/>
          <w:numId w:val="3"/>
        </w:numPr>
        <w:spacing w:before="240"/>
        <w:jc w:val="both"/>
        <w:rPr>
          <w:rFonts w:ascii="Book Antiqua" w:hAnsi="Book Antiqua" w:cs="Arial"/>
        </w:rPr>
      </w:pPr>
      <w:r>
        <w:rPr>
          <w:rFonts w:ascii="Book Antiqua" w:hAnsi="Book Antiqua" w:cs="Arial"/>
        </w:rPr>
        <w:t>However, in granting permission in relation to ground (1)</w:t>
      </w:r>
      <w:r w:rsidR="007961E4">
        <w:rPr>
          <w:rFonts w:ascii="Book Antiqua" w:hAnsi="Book Antiqua" w:cs="Arial"/>
        </w:rPr>
        <w:t>,</w:t>
      </w:r>
      <w:r w:rsidR="00A72CD1">
        <w:rPr>
          <w:rFonts w:ascii="Book Antiqua" w:hAnsi="Book Antiqua" w:cs="Arial"/>
        </w:rPr>
        <w:t xml:space="preserve"> Judge Pedro considered it arguable that as the issues raised but which the judge declined to address</w:t>
      </w:r>
      <w:r w:rsidR="00ED379E">
        <w:rPr>
          <w:rFonts w:ascii="Book Antiqua" w:hAnsi="Book Antiqua" w:cs="Arial"/>
        </w:rPr>
        <w:t xml:space="preserve"> could have had a bearing on the human rights claim and were not new matters requiring the respondent’s consent to the tribunal considering the same.</w:t>
      </w:r>
    </w:p>
    <w:p w14:paraId="575F5F30" w14:textId="38D6A5EA" w:rsidR="00ED379E" w:rsidRPr="00ED379E" w:rsidRDefault="00ED379E" w:rsidP="008049AF">
      <w:pPr>
        <w:spacing w:before="240"/>
        <w:jc w:val="both"/>
        <w:rPr>
          <w:rFonts w:ascii="Book Antiqua" w:hAnsi="Book Antiqua" w:cs="Arial"/>
          <w:i/>
        </w:rPr>
      </w:pPr>
      <w:r w:rsidRPr="00ED379E">
        <w:rPr>
          <w:rFonts w:ascii="Book Antiqua" w:hAnsi="Book Antiqua" w:cs="Arial"/>
          <w:i/>
        </w:rPr>
        <w:t>Chronology</w:t>
      </w:r>
      <w:r w:rsidR="00A20123">
        <w:rPr>
          <w:rFonts w:ascii="Book Antiqua" w:hAnsi="Book Antiqua" w:cs="Arial"/>
          <w:i/>
        </w:rPr>
        <w:t xml:space="preserve"> and appeal background</w:t>
      </w:r>
    </w:p>
    <w:p w14:paraId="00CEEEDA" w14:textId="5741775A" w:rsidR="00ED379E" w:rsidRDefault="00ED379E" w:rsidP="008F0F55">
      <w:pPr>
        <w:numPr>
          <w:ilvl w:val="0"/>
          <w:numId w:val="3"/>
        </w:numPr>
        <w:spacing w:before="240"/>
        <w:jc w:val="both"/>
        <w:rPr>
          <w:rFonts w:ascii="Book Antiqua" w:hAnsi="Book Antiqua" w:cs="Arial"/>
        </w:rPr>
      </w:pPr>
      <w:r>
        <w:rPr>
          <w:rFonts w:ascii="Book Antiqua" w:hAnsi="Book Antiqua" w:cs="Arial"/>
        </w:rPr>
        <w:t xml:space="preserve">There is a </w:t>
      </w:r>
      <w:r w:rsidR="008049AF">
        <w:rPr>
          <w:rFonts w:ascii="Book Antiqua" w:hAnsi="Book Antiqua" w:cs="Arial"/>
        </w:rPr>
        <w:t>considerable history to these linked cases. I spent some time at the hearing attempting to clarify the chronology and to determine what issues were raised when.</w:t>
      </w:r>
      <w:r w:rsidR="00315D79">
        <w:rPr>
          <w:rFonts w:ascii="Book Antiqua" w:hAnsi="Book Antiqua" w:cs="Arial"/>
        </w:rPr>
        <w:t xml:space="preserve"> It was not entirely clear and the two parties were not entirely in agreement. However, I proceed </w:t>
      </w:r>
      <w:proofErr w:type="gramStart"/>
      <w:r w:rsidR="00315D79">
        <w:rPr>
          <w:rFonts w:ascii="Book Antiqua" w:hAnsi="Book Antiqua" w:cs="Arial"/>
        </w:rPr>
        <w:t>on the basis of</w:t>
      </w:r>
      <w:proofErr w:type="gramEnd"/>
      <w:r w:rsidR="00315D79">
        <w:rPr>
          <w:rFonts w:ascii="Book Antiqua" w:hAnsi="Book Antiqua" w:cs="Arial"/>
        </w:rPr>
        <w:t xml:space="preserve"> the following:</w:t>
      </w:r>
    </w:p>
    <w:p w14:paraId="188E5646" w14:textId="681950A8" w:rsidR="008049AF" w:rsidRDefault="00A20123" w:rsidP="007E7A46">
      <w:pPr>
        <w:numPr>
          <w:ilvl w:val="1"/>
          <w:numId w:val="3"/>
        </w:numPr>
        <w:spacing w:before="240"/>
        <w:jc w:val="both"/>
        <w:rPr>
          <w:rFonts w:ascii="Book Antiqua" w:hAnsi="Book Antiqua" w:cs="Arial"/>
        </w:rPr>
      </w:pPr>
      <w:r>
        <w:rPr>
          <w:rFonts w:ascii="Book Antiqua" w:hAnsi="Book Antiqua" w:cs="Arial"/>
        </w:rPr>
        <w:t>The first appellant</w:t>
      </w:r>
      <w:r w:rsidR="007E7A46">
        <w:rPr>
          <w:rFonts w:ascii="Book Antiqua" w:hAnsi="Book Antiqua" w:cs="Arial"/>
        </w:rPr>
        <w:t>, LT, claims to have entered the UK in 2005. However, the respondent has seen no evidence to confirm this assertion</w:t>
      </w:r>
      <w:r w:rsidR="007961E4">
        <w:rPr>
          <w:rFonts w:ascii="Book Antiqua" w:hAnsi="Book Antiqua" w:cs="Arial"/>
        </w:rPr>
        <w:t xml:space="preserve">. </w:t>
      </w:r>
      <w:r w:rsidR="00432D71">
        <w:rPr>
          <w:rFonts w:ascii="Book Antiqua" w:hAnsi="Book Antiqua" w:cs="Arial"/>
        </w:rPr>
        <w:t>In any event, s</w:t>
      </w:r>
      <w:r w:rsidR="007961E4">
        <w:rPr>
          <w:rFonts w:ascii="Book Antiqua" w:hAnsi="Book Antiqua" w:cs="Arial"/>
        </w:rPr>
        <w:t>he has never held any Leave to Remain;</w:t>
      </w:r>
    </w:p>
    <w:p w14:paraId="058D47D3" w14:textId="4B6FA004" w:rsidR="005D368B" w:rsidRDefault="005D368B" w:rsidP="007E7A46">
      <w:pPr>
        <w:numPr>
          <w:ilvl w:val="1"/>
          <w:numId w:val="3"/>
        </w:numPr>
        <w:spacing w:before="240"/>
        <w:jc w:val="both"/>
        <w:rPr>
          <w:rFonts w:ascii="Book Antiqua" w:hAnsi="Book Antiqua" w:cs="Arial"/>
        </w:rPr>
      </w:pPr>
      <w:r>
        <w:rPr>
          <w:rFonts w:ascii="Book Antiqua" w:hAnsi="Book Antiqua" w:cs="Arial"/>
        </w:rPr>
        <w:t xml:space="preserve">LT’s first child, JD, </w:t>
      </w:r>
      <w:r w:rsidR="007961E4">
        <w:rPr>
          <w:rFonts w:ascii="Book Antiqua" w:hAnsi="Book Antiqua" w:cs="Arial"/>
        </w:rPr>
        <w:t xml:space="preserve">a boy, </w:t>
      </w:r>
      <w:r>
        <w:rPr>
          <w:rFonts w:ascii="Book Antiqua" w:hAnsi="Book Antiqua" w:cs="Arial"/>
        </w:rPr>
        <w:t>was born in the UK on 21.2.13 and has never held any Leave to Remain;</w:t>
      </w:r>
    </w:p>
    <w:p w14:paraId="6FF0F20A" w14:textId="30F39E5E" w:rsidR="007E7A46" w:rsidRDefault="007E7A46" w:rsidP="007E7A46">
      <w:pPr>
        <w:numPr>
          <w:ilvl w:val="1"/>
          <w:numId w:val="3"/>
        </w:numPr>
        <w:spacing w:before="240"/>
        <w:jc w:val="both"/>
        <w:rPr>
          <w:rFonts w:ascii="Book Antiqua" w:hAnsi="Book Antiqua" w:cs="Arial"/>
        </w:rPr>
      </w:pPr>
      <w:r>
        <w:rPr>
          <w:rFonts w:ascii="Book Antiqua" w:hAnsi="Book Antiqua" w:cs="Arial"/>
        </w:rPr>
        <w:t>In December 2013 LT claimed asylum</w:t>
      </w:r>
      <w:r w:rsidR="00863E40">
        <w:rPr>
          <w:rFonts w:ascii="Book Antiqua" w:hAnsi="Book Antiqua" w:cs="Arial"/>
        </w:rPr>
        <w:t xml:space="preserve">, </w:t>
      </w:r>
      <w:proofErr w:type="gramStart"/>
      <w:r w:rsidR="00863E40">
        <w:rPr>
          <w:rFonts w:ascii="Book Antiqua" w:hAnsi="Book Antiqua" w:cs="Arial"/>
        </w:rPr>
        <w:t>on the basis of</w:t>
      </w:r>
      <w:proofErr w:type="gramEnd"/>
      <w:r w:rsidR="00863E40">
        <w:rPr>
          <w:rFonts w:ascii="Book Antiqua" w:hAnsi="Book Antiqua" w:cs="Arial"/>
        </w:rPr>
        <w:t xml:space="preserve"> a fear on return of FGM and because of her Christian conversion. This was refused in February 2014 with no right of appeal;</w:t>
      </w:r>
    </w:p>
    <w:p w14:paraId="0D0F50E5" w14:textId="5DCE93CA" w:rsidR="00863E40" w:rsidRDefault="00B47B97" w:rsidP="007E7A46">
      <w:pPr>
        <w:numPr>
          <w:ilvl w:val="1"/>
          <w:numId w:val="3"/>
        </w:numPr>
        <w:spacing w:before="240"/>
        <w:jc w:val="both"/>
        <w:rPr>
          <w:rFonts w:ascii="Book Antiqua" w:hAnsi="Book Antiqua" w:cs="Arial"/>
        </w:rPr>
      </w:pPr>
      <w:r>
        <w:rPr>
          <w:rFonts w:ascii="Book Antiqua" w:hAnsi="Book Antiqua" w:cs="Arial"/>
        </w:rPr>
        <w:t>In August 2015 LT sought Leave to Remain outside the Rules. This was refused in January 2015;</w:t>
      </w:r>
    </w:p>
    <w:p w14:paraId="59089A60" w14:textId="0FCED68E" w:rsidR="00B47B97" w:rsidRDefault="00B47B97" w:rsidP="007E7A46">
      <w:pPr>
        <w:numPr>
          <w:ilvl w:val="1"/>
          <w:numId w:val="3"/>
        </w:numPr>
        <w:spacing w:before="240"/>
        <w:jc w:val="both"/>
        <w:rPr>
          <w:rFonts w:ascii="Book Antiqua" w:hAnsi="Book Antiqua" w:cs="Arial"/>
        </w:rPr>
      </w:pPr>
      <w:r>
        <w:rPr>
          <w:rFonts w:ascii="Book Antiqua" w:hAnsi="Book Antiqua" w:cs="Arial"/>
        </w:rPr>
        <w:t>The second appellant, ED, entered the UK in January 2010 with clearance as a student</w:t>
      </w:r>
      <w:r w:rsidR="00074C2F">
        <w:rPr>
          <w:rFonts w:ascii="Book Antiqua" w:hAnsi="Book Antiqua" w:cs="Arial"/>
        </w:rPr>
        <w:t xml:space="preserve"> but remained as an illegal overstayer after April 2010;</w:t>
      </w:r>
    </w:p>
    <w:p w14:paraId="7D4A31C6" w14:textId="61D189E3" w:rsidR="005D368B" w:rsidRDefault="00074C2F" w:rsidP="007E7A46">
      <w:pPr>
        <w:numPr>
          <w:ilvl w:val="1"/>
          <w:numId w:val="3"/>
        </w:numPr>
        <w:spacing w:before="240"/>
        <w:jc w:val="both"/>
        <w:rPr>
          <w:rFonts w:ascii="Book Antiqua" w:hAnsi="Book Antiqua" w:cs="Arial"/>
        </w:rPr>
      </w:pPr>
      <w:r>
        <w:rPr>
          <w:rFonts w:ascii="Book Antiqua" w:hAnsi="Book Antiqua" w:cs="Arial"/>
        </w:rPr>
        <w:t>In July 2013 ED claimed asylum,</w:t>
      </w:r>
      <w:r w:rsidR="00315D79">
        <w:rPr>
          <w:rFonts w:ascii="Book Antiqua" w:hAnsi="Book Antiqua" w:cs="Arial"/>
        </w:rPr>
        <w:t xml:space="preserve"> </w:t>
      </w:r>
      <w:proofErr w:type="gramStart"/>
      <w:r w:rsidR="00315D79">
        <w:rPr>
          <w:rFonts w:ascii="Book Antiqua" w:hAnsi="Book Antiqua" w:cs="Arial"/>
        </w:rPr>
        <w:t>on the basis of</w:t>
      </w:r>
      <w:proofErr w:type="gramEnd"/>
      <w:r w:rsidR="00315D79">
        <w:rPr>
          <w:rFonts w:ascii="Book Antiqua" w:hAnsi="Book Antiqua" w:cs="Arial"/>
        </w:rPr>
        <w:t xml:space="preserve"> </w:t>
      </w:r>
      <w:r w:rsidR="00E01E4C">
        <w:rPr>
          <w:rFonts w:ascii="Book Antiqua" w:hAnsi="Book Antiqua" w:cs="Arial"/>
        </w:rPr>
        <w:t>a fear on return arising from a family feud over stolen money</w:t>
      </w:r>
      <w:r w:rsidR="0065535A">
        <w:rPr>
          <w:rFonts w:ascii="Book Antiqua" w:hAnsi="Book Antiqua" w:cs="Arial"/>
        </w:rPr>
        <w:t>; a dispute</w:t>
      </w:r>
      <w:r w:rsidR="00E01E4C">
        <w:rPr>
          <w:rFonts w:ascii="Book Antiqua" w:hAnsi="Book Antiqua" w:cs="Arial"/>
        </w:rPr>
        <w:t xml:space="preserve"> over</w:t>
      </w:r>
      <w:r w:rsidR="0065535A">
        <w:rPr>
          <w:rFonts w:ascii="Book Antiqua" w:hAnsi="Book Antiqua" w:cs="Arial"/>
        </w:rPr>
        <w:t xml:space="preserve"> a girl he had a relationship with; </w:t>
      </w:r>
      <w:r w:rsidR="0065535A">
        <w:rPr>
          <w:rFonts w:ascii="Book Antiqua" w:hAnsi="Book Antiqua" w:cs="Arial"/>
        </w:rPr>
        <w:lastRenderedPageBreak/>
        <w:t>and his partner’s fear of being subjected to FGM</w:t>
      </w:r>
      <w:r w:rsidR="00ED62CC">
        <w:rPr>
          <w:rFonts w:ascii="Book Antiqua" w:hAnsi="Book Antiqua" w:cs="Arial"/>
        </w:rPr>
        <w:t>. The claim was rejected in September 2013;</w:t>
      </w:r>
    </w:p>
    <w:p w14:paraId="1367137D" w14:textId="0A6EE5C5" w:rsidR="00ED62CC" w:rsidRDefault="00ED62CC" w:rsidP="007E7A46">
      <w:pPr>
        <w:numPr>
          <w:ilvl w:val="1"/>
          <w:numId w:val="3"/>
        </w:numPr>
        <w:spacing w:before="240"/>
        <w:jc w:val="both"/>
        <w:rPr>
          <w:rFonts w:ascii="Book Antiqua" w:hAnsi="Book Antiqua" w:cs="Arial"/>
        </w:rPr>
      </w:pPr>
      <w:r>
        <w:rPr>
          <w:rFonts w:ascii="Book Antiqua" w:hAnsi="Book Antiqua" w:cs="Arial"/>
        </w:rPr>
        <w:t xml:space="preserve">LT’s second child, EJD, </w:t>
      </w:r>
      <w:r w:rsidR="007961E4">
        <w:rPr>
          <w:rFonts w:ascii="Book Antiqua" w:hAnsi="Book Antiqua" w:cs="Arial"/>
        </w:rPr>
        <w:t xml:space="preserve">a girl, </w:t>
      </w:r>
      <w:r>
        <w:rPr>
          <w:rFonts w:ascii="Book Antiqua" w:hAnsi="Book Antiqua" w:cs="Arial"/>
        </w:rPr>
        <w:t>was born in the UK on 16.9.15 and has never had any Leave to Remain;</w:t>
      </w:r>
    </w:p>
    <w:p w14:paraId="0D09B7A4" w14:textId="65749D61" w:rsidR="00074C2F" w:rsidRDefault="0065535A" w:rsidP="007E7A46">
      <w:pPr>
        <w:numPr>
          <w:ilvl w:val="1"/>
          <w:numId w:val="3"/>
        </w:numPr>
        <w:spacing w:before="240"/>
        <w:jc w:val="both"/>
        <w:rPr>
          <w:rFonts w:ascii="Book Antiqua" w:hAnsi="Book Antiqua" w:cs="Arial"/>
        </w:rPr>
      </w:pPr>
      <w:r>
        <w:rPr>
          <w:rFonts w:ascii="Book Antiqua" w:hAnsi="Book Antiqua" w:cs="Arial"/>
        </w:rPr>
        <w:t xml:space="preserve"> </w:t>
      </w:r>
      <w:r w:rsidR="00E856B2">
        <w:rPr>
          <w:rFonts w:ascii="Book Antiqua" w:hAnsi="Book Antiqua" w:cs="Arial"/>
        </w:rPr>
        <w:t>All appellants are citizens of Malawi.</w:t>
      </w:r>
    </w:p>
    <w:p w14:paraId="45C672D2" w14:textId="68D35A17" w:rsidR="00E856B2" w:rsidRDefault="0069164C" w:rsidP="00E856B2">
      <w:pPr>
        <w:numPr>
          <w:ilvl w:val="0"/>
          <w:numId w:val="3"/>
        </w:numPr>
        <w:spacing w:before="240"/>
        <w:jc w:val="both"/>
        <w:rPr>
          <w:rFonts w:ascii="Book Antiqua" w:hAnsi="Book Antiqua" w:cs="Arial"/>
        </w:rPr>
      </w:pPr>
      <w:r>
        <w:rPr>
          <w:rFonts w:ascii="Book Antiqua" w:hAnsi="Book Antiqua" w:cs="Arial"/>
        </w:rPr>
        <w:t xml:space="preserve">It is common ground that none of the appellants can meet the requirements of the Immigration Rules under Appendix FM. </w:t>
      </w:r>
      <w:r w:rsidR="007604E9">
        <w:rPr>
          <w:rFonts w:ascii="Book Antiqua" w:hAnsi="Book Antiqua" w:cs="Arial"/>
        </w:rPr>
        <w:t>However, it was submitted that there are insur</w:t>
      </w:r>
      <w:r w:rsidR="004E578A">
        <w:rPr>
          <w:rFonts w:ascii="Book Antiqua" w:hAnsi="Book Antiqua" w:cs="Arial"/>
        </w:rPr>
        <w:t xml:space="preserve">mountable obstacles to integration in Malawi, relying on </w:t>
      </w:r>
      <w:proofErr w:type="gramStart"/>
      <w:r w:rsidR="00015F6E">
        <w:rPr>
          <w:rFonts w:ascii="Book Antiqua" w:hAnsi="Book Antiqua" w:cs="Arial"/>
        </w:rPr>
        <w:t>a number of</w:t>
      </w:r>
      <w:proofErr w:type="gramEnd"/>
      <w:r w:rsidR="004004F7">
        <w:rPr>
          <w:rFonts w:ascii="Book Antiqua" w:hAnsi="Book Antiqua" w:cs="Arial"/>
        </w:rPr>
        <w:t xml:space="preserve"> allegations</w:t>
      </w:r>
      <w:r w:rsidR="003B470E">
        <w:rPr>
          <w:rFonts w:ascii="Book Antiqua" w:hAnsi="Book Antiqua" w:cs="Arial"/>
        </w:rPr>
        <w:t>: the risk of FGM to the first appellant</w:t>
      </w:r>
      <w:r w:rsidR="00015F6E">
        <w:rPr>
          <w:rFonts w:ascii="Book Antiqua" w:hAnsi="Book Antiqua" w:cs="Arial"/>
        </w:rPr>
        <w:t>;</w:t>
      </w:r>
      <w:r w:rsidR="003B470E">
        <w:rPr>
          <w:rFonts w:ascii="Book Antiqua" w:hAnsi="Book Antiqua" w:cs="Arial"/>
        </w:rPr>
        <w:t xml:space="preserve"> risk</w:t>
      </w:r>
      <w:r w:rsidR="00015F6E">
        <w:rPr>
          <w:rFonts w:ascii="Book Antiqua" w:hAnsi="Book Antiqua" w:cs="Arial"/>
        </w:rPr>
        <w:t xml:space="preserve"> to the first appellant arising from her Christian conversion; risk to the third appellant of circumcision; risk to their daughter of FGM. Mr </w:t>
      </w:r>
      <w:proofErr w:type="spellStart"/>
      <w:r w:rsidR="00015F6E">
        <w:rPr>
          <w:rFonts w:ascii="Book Antiqua" w:hAnsi="Book Antiqua" w:cs="Arial"/>
        </w:rPr>
        <w:t>Chimpango’s</w:t>
      </w:r>
      <w:proofErr w:type="spellEnd"/>
      <w:r w:rsidR="00015F6E">
        <w:rPr>
          <w:rFonts w:ascii="Book Antiqua" w:hAnsi="Book Antiqua" w:cs="Arial"/>
        </w:rPr>
        <w:t xml:space="preserve"> case at the First-tier Tribunal and now is that these are all relevant to the human rights claim, including article 3. </w:t>
      </w:r>
    </w:p>
    <w:p w14:paraId="7A4ACFAE" w14:textId="7FAB9D85" w:rsidR="0069164C" w:rsidRDefault="002B5DD9" w:rsidP="00E856B2">
      <w:pPr>
        <w:numPr>
          <w:ilvl w:val="0"/>
          <w:numId w:val="3"/>
        </w:numPr>
        <w:spacing w:before="240"/>
        <w:jc w:val="both"/>
        <w:rPr>
          <w:rFonts w:ascii="Book Antiqua" w:hAnsi="Book Antiqua" w:cs="Arial"/>
        </w:rPr>
      </w:pPr>
      <w:r>
        <w:rPr>
          <w:rFonts w:ascii="Book Antiqua" w:hAnsi="Book Antiqua" w:cs="Arial"/>
        </w:rPr>
        <w:t xml:space="preserve">The Home Office Guidance, dated 9.10.17, relating to “Matters before the Tribunal” was put before me at the appeal hearing. </w:t>
      </w:r>
      <w:r w:rsidR="008E5156">
        <w:rPr>
          <w:rFonts w:ascii="Book Antiqua" w:hAnsi="Book Antiqua" w:cs="Arial"/>
        </w:rPr>
        <w:t>Under s85</w:t>
      </w:r>
      <w:r w:rsidR="0051380D">
        <w:rPr>
          <w:rFonts w:ascii="Book Antiqua" w:hAnsi="Book Antiqua" w:cs="Arial"/>
        </w:rPr>
        <w:t>(4)</w:t>
      </w:r>
      <w:r w:rsidR="008E5156">
        <w:rPr>
          <w:rFonts w:ascii="Book Antiqua" w:hAnsi="Book Antiqua" w:cs="Arial"/>
        </w:rPr>
        <w:t xml:space="preserve"> of the 2002 Act the First-tier Tribunal may consider evidence about any matter which it thinks relevant to the substance of the decision, including a matter arising after the date of the decision. </w:t>
      </w:r>
      <w:r w:rsidR="00AE2320">
        <w:rPr>
          <w:rFonts w:ascii="Book Antiqua" w:hAnsi="Book Antiqua" w:cs="Arial"/>
        </w:rPr>
        <w:t>However, the tribunal must not consider a new matter unless the Secretary of State has consented to the tribunal doing so. A matter is a new matter if it constitutes a ground of appeal of a kind listed in s84 and the Secretary of State has not previously considered the matter in the context of the decision being appealed or in response to a statement made by the appellant under s120.</w:t>
      </w:r>
    </w:p>
    <w:p w14:paraId="78B96F91" w14:textId="1B1AEB7B" w:rsidR="00772F29" w:rsidRDefault="00772F29" w:rsidP="00772F29">
      <w:pPr>
        <w:numPr>
          <w:ilvl w:val="0"/>
          <w:numId w:val="3"/>
        </w:numPr>
        <w:spacing w:before="240"/>
        <w:jc w:val="both"/>
        <w:rPr>
          <w:rFonts w:ascii="Book Antiqua" w:hAnsi="Book Antiqua" w:cs="Arial"/>
        </w:rPr>
      </w:pPr>
      <w:r>
        <w:rPr>
          <w:rFonts w:ascii="Book Antiqua" w:hAnsi="Book Antiqua" w:cs="Arial"/>
        </w:rPr>
        <w:t xml:space="preserve">There is no evidence that the Secretary of State gave any such consent for the issues described above in relation to risk on return. At [3] of the decision of the First-tier Tribunal, the judge noted that </w:t>
      </w:r>
      <w:r w:rsidR="00D53FA5">
        <w:rPr>
          <w:rFonts w:ascii="Book Antiqua" w:hAnsi="Book Antiqua" w:cs="Arial"/>
        </w:rPr>
        <w:t xml:space="preserve">the RFR made clear that the Secretary of State did not consent to protection issues being raised in the human rights appeal and indicated that if the appellants wanted to raise these issues they are required to make an asylum claim at the ASU. The Home Office Presenting Officer at the First-tier Tribunal appeal hearing confirmed that the Secretary of State did not consent. </w:t>
      </w:r>
      <w:r w:rsidR="00636BF9">
        <w:rPr>
          <w:rFonts w:ascii="Book Antiqua" w:hAnsi="Book Antiqua" w:cs="Arial"/>
        </w:rPr>
        <w:t xml:space="preserve">According to Ms Pettersen, the presenting officer’s notes on file indicated that </w:t>
      </w:r>
      <w:r w:rsidR="00396E27">
        <w:rPr>
          <w:rFonts w:ascii="Book Antiqua" w:hAnsi="Book Antiqua" w:cs="Arial"/>
        </w:rPr>
        <w:t xml:space="preserve">Mr </w:t>
      </w:r>
      <w:proofErr w:type="spellStart"/>
      <w:r w:rsidR="00396E27">
        <w:rPr>
          <w:rFonts w:ascii="Book Antiqua" w:hAnsi="Book Antiqua" w:cs="Arial"/>
        </w:rPr>
        <w:t>Chimpango</w:t>
      </w:r>
      <w:proofErr w:type="spellEnd"/>
      <w:r w:rsidR="00396E27">
        <w:rPr>
          <w:rFonts w:ascii="Book Antiqua" w:hAnsi="Book Antiqua" w:cs="Arial"/>
        </w:rPr>
        <w:t xml:space="preserve"> agreed at the appeal hearing that these matters could not be pursued</w:t>
      </w:r>
      <w:r w:rsidR="001C58FB">
        <w:rPr>
          <w:rFonts w:ascii="Book Antiqua" w:hAnsi="Book Antiqua" w:cs="Arial"/>
        </w:rPr>
        <w:t xml:space="preserve">. However, the judge’s record of proceedings contained within the tribunal’s case file do not support that </w:t>
      </w:r>
      <w:r w:rsidR="00291F75">
        <w:rPr>
          <w:rFonts w:ascii="Book Antiqua" w:hAnsi="Book Antiqua" w:cs="Arial"/>
        </w:rPr>
        <w:t>assertion.</w:t>
      </w:r>
    </w:p>
    <w:p w14:paraId="13339715" w14:textId="26F1A699" w:rsidR="00D53FA5" w:rsidRDefault="00291F75" w:rsidP="00772F29">
      <w:pPr>
        <w:numPr>
          <w:ilvl w:val="0"/>
          <w:numId w:val="3"/>
        </w:numPr>
        <w:spacing w:before="240"/>
        <w:jc w:val="both"/>
        <w:rPr>
          <w:rFonts w:ascii="Book Antiqua" w:hAnsi="Book Antiqua" w:cs="Arial"/>
        </w:rPr>
      </w:pPr>
      <w:r>
        <w:rPr>
          <w:rFonts w:ascii="Book Antiqua" w:hAnsi="Book Antiqua" w:cs="Arial"/>
        </w:rPr>
        <w:t xml:space="preserve">In any event, </w:t>
      </w:r>
      <w:r w:rsidR="00D53FA5">
        <w:rPr>
          <w:rFonts w:ascii="Book Antiqua" w:hAnsi="Book Antiqua" w:cs="Arial"/>
        </w:rPr>
        <w:t xml:space="preserve">he </w:t>
      </w:r>
      <w:proofErr w:type="gramStart"/>
      <w:r w:rsidR="00D53FA5">
        <w:rPr>
          <w:rFonts w:ascii="Book Antiqua" w:hAnsi="Book Antiqua" w:cs="Arial"/>
        </w:rPr>
        <w:t>judge</w:t>
      </w:r>
      <w:proofErr w:type="gramEnd"/>
      <w:r w:rsidR="00D53FA5">
        <w:rPr>
          <w:rFonts w:ascii="Book Antiqua" w:hAnsi="Book Antiqua" w:cs="Arial"/>
        </w:rPr>
        <w:t xml:space="preserve"> concluded at [5] that in the absence of consent, it was not appropriate for the tribunal to be the decision maker at first instance in respect of the refugee claim </w:t>
      </w:r>
      <w:r w:rsidR="00233F8E">
        <w:rPr>
          <w:rFonts w:ascii="Book Antiqua" w:hAnsi="Book Antiqua" w:cs="Arial"/>
        </w:rPr>
        <w:t xml:space="preserve">which had been previously refused and </w:t>
      </w:r>
      <w:r w:rsidR="00A92404">
        <w:rPr>
          <w:rFonts w:ascii="Book Antiqua" w:hAnsi="Book Antiqua" w:cs="Arial"/>
        </w:rPr>
        <w:t>in respect of which no appeal had been pursued.</w:t>
      </w:r>
    </w:p>
    <w:p w14:paraId="6E5BCAF8" w14:textId="50DBBF3C" w:rsidR="00A92404" w:rsidRDefault="00A92404" w:rsidP="00A92404">
      <w:pPr>
        <w:numPr>
          <w:ilvl w:val="0"/>
          <w:numId w:val="3"/>
        </w:numPr>
        <w:spacing w:before="240"/>
        <w:jc w:val="both"/>
        <w:rPr>
          <w:rFonts w:ascii="Book Antiqua" w:hAnsi="Book Antiqua" w:cs="Arial"/>
        </w:rPr>
      </w:pPr>
      <w:r>
        <w:rPr>
          <w:rFonts w:ascii="Book Antiqua" w:hAnsi="Book Antiqua" w:cs="Arial"/>
        </w:rPr>
        <w:t xml:space="preserve">After investigating the matter with the parties, I am satisfied that the risk of circumcision of the son and the risk of FGM to the daughter has never been the subject of any formal claim to or </w:t>
      </w:r>
      <w:r w:rsidR="00591D47">
        <w:rPr>
          <w:rFonts w:ascii="Book Antiqua" w:hAnsi="Book Antiqua" w:cs="Arial"/>
        </w:rPr>
        <w:t xml:space="preserve">consideration or </w:t>
      </w:r>
      <w:r>
        <w:rPr>
          <w:rFonts w:ascii="Book Antiqua" w:hAnsi="Book Antiqua" w:cs="Arial"/>
        </w:rPr>
        <w:t xml:space="preserve">decision by the Secretary of State. Indeed, Mr </w:t>
      </w:r>
      <w:proofErr w:type="spellStart"/>
      <w:r>
        <w:rPr>
          <w:rFonts w:ascii="Book Antiqua" w:hAnsi="Book Antiqua" w:cs="Arial"/>
        </w:rPr>
        <w:t>Chimpango</w:t>
      </w:r>
      <w:proofErr w:type="spellEnd"/>
      <w:r>
        <w:rPr>
          <w:rFonts w:ascii="Book Antiqua" w:hAnsi="Book Antiqua" w:cs="Arial"/>
        </w:rPr>
        <w:t xml:space="preserve"> conceded that the FGM risk for the daughter was raised for the first </w:t>
      </w:r>
      <w:r>
        <w:rPr>
          <w:rFonts w:ascii="Book Antiqua" w:hAnsi="Book Antiqua" w:cs="Arial"/>
        </w:rPr>
        <w:lastRenderedPageBreak/>
        <w:t xml:space="preserve">time in the appeal to the First-tier Tribunal. </w:t>
      </w:r>
      <w:r w:rsidR="00350716">
        <w:rPr>
          <w:rFonts w:ascii="Book Antiqua" w:hAnsi="Book Antiqua" w:cs="Arial"/>
        </w:rPr>
        <w:t>Only the claims of risk of FGM to the first appellant and her Christian conversion had been the subject of consideration and a decision</w:t>
      </w:r>
      <w:r w:rsidR="002B4006">
        <w:rPr>
          <w:rFonts w:ascii="Book Antiqua" w:hAnsi="Book Antiqua" w:cs="Arial"/>
        </w:rPr>
        <w:t xml:space="preserve"> rejecting the claim. </w:t>
      </w:r>
      <w:r w:rsidR="00E84390">
        <w:rPr>
          <w:rFonts w:ascii="Book Antiqua" w:hAnsi="Book Antiqua" w:cs="Arial"/>
        </w:rPr>
        <w:t xml:space="preserve">I am satisfied that </w:t>
      </w:r>
      <w:r w:rsidR="00737B1D">
        <w:rPr>
          <w:rFonts w:ascii="Book Antiqua" w:hAnsi="Book Antiqua" w:cs="Arial"/>
        </w:rPr>
        <w:t>the other claims are factually different and distinct from the previous claims made by the first and second appellants</w:t>
      </w:r>
      <w:r w:rsidR="00C94C52">
        <w:rPr>
          <w:rFonts w:ascii="Book Antiqua" w:hAnsi="Book Antiqua" w:cs="Arial"/>
        </w:rPr>
        <w:t xml:space="preserve"> and not merely further and better evidence of an existing ‘matter.’</w:t>
      </w:r>
      <w:r w:rsidR="007276B2">
        <w:rPr>
          <w:rFonts w:ascii="Book Antiqua" w:hAnsi="Book Antiqua" w:cs="Arial"/>
        </w:rPr>
        <w:t xml:space="preserve"> These are new matters and cannot be considered by the tribunal without the consent of the Secretary of State, to do so would be to act outside its jurisdiction.</w:t>
      </w:r>
    </w:p>
    <w:p w14:paraId="19443445" w14:textId="240BAE42" w:rsidR="007276B2" w:rsidRDefault="007276B2" w:rsidP="00A92404">
      <w:pPr>
        <w:numPr>
          <w:ilvl w:val="0"/>
          <w:numId w:val="3"/>
        </w:numPr>
        <w:spacing w:before="240"/>
        <w:jc w:val="both"/>
        <w:rPr>
          <w:rFonts w:ascii="Book Antiqua" w:hAnsi="Book Antiqua" w:cs="Arial"/>
        </w:rPr>
      </w:pPr>
      <w:r>
        <w:rPr>
          <w:rFonts w:ascii="Book Antiqua" w:hAnsi="Book Antiqua" w:cs="Arial"/>
        </w:rPr>
        <w:t xml:space="preserve">The issue remains whether the First-tier Tribunal should nevertheless have considered the previously made claims of risk on return of FGM and/or Christian conversion. However, even if the tribunal did so, those claims were previously rejected by the Secretary of State and the appellant did not seek to appeal against that decision or seek judicial review. </w:t>
      </w:r>
      <w:r w:rsidR="00A637AB">
        <w:rPr>
          <w:rFonts w:ascii="Book Antiqua" w:hAnsi="Book Antiqua" w:cs="Arial"/>
        </w:rPr>
        <w:t>Nevertheless, the appellants were entitled to rely on those claims, which have never been adjudicated upon by the tribunal, as being relevant to the issues of very significant obstacles or</w:t>
      </w:r>
      <w:r w:rsidR="001D511E">
        <w:rPr>
          <w:rFonts w:ascii="Book Antiqua" w:hAnsi="Book Antiqua" w:cs="Arial"/>
        </w:rPr>
        <w:t xml:space="preserve"> insurmountable obstacles, or even as </w:t>
      </w:r>
      <w:r w:rsidR="003A6D1D">
        <w:rPr>
          <w:rFonts w:ascii="Book Antiqua" w:hAnsi="Book Antiqua" w:cs="Arial"/>
        </w:rPr>
        <w:t>compelling or exceptional circumstances.</w:t>
      </w:r>
    </w:p>
    <w:p w14:paraId="6F28F011" w14:textId="0325B9F0" w:rsidR="003A6D1D" w:rsidRDefault="003A6D1D" w:rsidP="00A92404">
      <w:pPr>
        <w:numPr>
          <w:ilvl w:val="0"/>
          <w:numId w:val="3"/>
        </w:numPr>
        <w:spacing w:before="240"/>
        <w:jc w:val="both"/>
        <w:rPr>
          <w:rFonts w:ascii="Book Antiqua" w:hAnsi="Book Antiqua" w:cs="Arial"/>
        </w:rPr>
      </w:pPr>
      <w:r>
        <w:rPr>
          <w:rFonts w:ascii="Book Antiqua" w:hAnsi="Book Antiqua" w:cs="Arial"/>
        </w:rPr>
        <w:t xml:space="preserve">In the circumstances, I find that there was an error of law in the refusal of the the First-tier Tribunal to countenance hearing evidence in relation to the FGM or Christian conversion claims. Even if that evidence would only have been the oral evidence of the appellant(s), it was still relevant to the human rights claim. </w:t>
      </w:r>
    </w:p>
    <w:p w14:paraId="6457FA20" w14:textId="77777777" w:rsidR="00FC346C" w:rsidRPr="003E7F7B" w:rsidRDefault="00FC346C" w:rsidP="00FC346C">
      <w:pPr>
        <w:spacing w:before="240"/>
        <w:jc w:val="both"/>
        <w:rPr>
          <w:rFonts w:ascii="Book Antiqua" w:hAnsi="Book Antiqua" w:cs="Arial"/>
          <w:i/>
        </w:rPr>
      </w:pPr>
      <w:r w:rsidRPr="003E7F7B">
        <w:rPr>
          <w:rFonts w:ascii="Book Antiqua" w:hAnsi="Book Antiqua" w:cs="Arial"/>
          <w:i/>
        </w:rPr>
        <w:t>Remittal</w:t>
      </w:r>
    </w:p>
    <w:p w14:paraId="1E239823" w14:textId="298832D2" w:rsidR="00FC346C" w:rsidRPr="00195C0A" w:rsidRDefault="00FC346C" w:rsidP="00FC346C">
      <w:pPr>
        <w:numPr>
          <w:ilvl w:val="0"/>
          <w:numId w:val="3"/>
        </w:numPr>
        <w:tabs>
          <w:tab w:val="left" w:pos="2520"/>
        </w:tabs>
        <w:spacing w:before="240" w:after="100" w:afterAutospacing="1"/>
        <w:jc w:val="both"/>
        <w:rPr>
          <w:rFonts w:ascii="Book Antiqua" w:hAnsi="Book Antiqua" w:cs="Arial"/>
        </w:rPr>
      </w:pPr>
      <w:r>
        <w:rPr>
          <w:rFonts w:ascii="Book Antiqua" w:hAnsi="Book Antiqua" w:cs="Book Antiqua"/>
          <w:lang w:val="en-US" w:eastAsia="en-US"/>
        </w:rPr>
        <w:t xml:space="preserve">When a decision of the First-tier Tribunal has been set aside, section 12(2) of the Tribunals, Courts and Enforcement Act 2007 requires either that the case is remitted to the First-tier Tribunal with directions, or it must be remade by the Upper Tribunal. </w:t>
      </w:r>
      <w:r w:rsidRPr="00546BFD">
        <w:rPr>
          <w:rFonts w:ascii="Book Antiqua" w:hAnsi="Book Antiqua" w:cs="Arial"/>
        </w:rPr>
        <w:t>The scheme of the Tribunals Court and Enforcement Act 2007 does not assign the function of primary fact finding to the Upper Tribunal.</w:t>
      </w:r>
      <w:r>
        <w:rPr>
          <w:rFonts w:ascii="Book Antiqua" w:hAnsi="Book Antiqua" w:cs="Arial"/>
        </w:rPr>
        <w:t xml:space="preserve"> </w:t>
      </w:r>
      <w:r>
        <w:rPr>
          <w:rFonts w:ascii="Book Antiqua" w:hAnsi="Book Antiqua" w:cs="Book Antiqua"/>
          <w:lang w:val="en-US" w:eastAsia="en-US"/>
        </w:rPr>
        <w:t xml:space="preserve">The errors of the First-tier Tribunal Judge </w:t>
      </w:r>
      <w:proofErr w:type="gramStart"/>
      <w:r>
        <w:rPr>
          <w:rFonts w:ascii="Book Antiqua" w:hAnsi="Book Antiqua" w:cs="Book Antiqua"/>
          <w:lang w:val="en-US" w:eastAsia="en-US"/>
        </w:rPr>
        <w:t>vitiates</w:t>
      </w:r>
      <w:proofErr w:type="gramEnd"/>
      <w:r>
        <w:rPr>
          <w:rFonts w:ascii="Book Antiqua" w:hAnsi="Book Antiqua" w:cs="Book Antiqua"/>
          <w:lang w:val="en-US" w:eastAsia="en-US"/>
        </w:rPr>
        <w:t xml:space="preserve"> all other findings of fact and the conclusions from those facts so that there has not been a valid determination of the issues in the appeal. </w:t>
      </w:r>
    </w:p>
    <w:p w14:paraId="56902984" w14:textId="68C3140D" w:rsidR="00FC346C" w:rsidRDefault="00FC346C" w:rsidP="00FC346C">
      <w:pPr>
        <w:numPr>
          <w:ilvl w:val="0"/>
          <w:numId w:val="3"/>
        </w:numPr>
        <w:tabs>
          <w:tab w:val="left" w:pos="2520"/>
        </w:tabs>
        <w:spacing w:before="240" w:after="100" w:afterAutospacing="1"/>
        <w:jc w:val="both"/>
        <w:rPr>
          <w:rFonts w:ascii="Book Antiqua" w:hAnsi="Book Antiqua" w:cs="Arial"/>
        </w:rPr>
      </w:pPr>
      <w:r>
        <w:rPr>
          <w:rFonts w:ascii="Book Antiqua" w:hAnsi="Book Antiqua" w:cs="Book Antiqua"/>
          <w:lang w:val="en-US" w:eastAsia="en-US"/>
        </w:rPr>
        <w:t xml:space="preserve">In all the circumstances, </w:t>
      </w:r>
      <w:r w:rsidR="002233CB">
        <w:rPr>
          <w:rFonts w:ascii="Book Antiqua" w:hAnsi="Book Antiqua" w:cs="Book Antiqua"/>
          <w:lang w:val="en-US" w:eastAsia="en-US"/>
        </w:rPr>
        <w:t xml:space="preserve">I </w:t>
      </w:r>
      <w:r>
        <w:rPr>
          <w:rFonts w:ascii="Book Antiqua" w:hAnsi="Book Antiqua" w:cs="Book Antiqua"/>
          <w:lang w:val="en-US" w:eastAsia="en-US"/>
        </w:rPr>
        <w:t>relist this appeal for a fresh hearing in the First-tier Tribunal, on the basis that this is a case which falls squarely within the Senior President’s Practice Statement at paragraph 7.2. The effect of the error has been to deprive the appellant of a fair hearing and that the nature or extent of any judicial fact finding which is necessary for the decision in the appeal to be re-made is such that, having regard to the overriding objective in rule 2 to deal with cases fairly and justly, including with the avoidance of delay, I find that it is appropriate to remit this appeal to the First-tier Tribunal to determine the appeal afresh.</w:t>
      </w:r>
    </w:p>
    <w:p w14:paraId="73958CA2" w14:textId="21718137" w:rsidR="008F0F55" w:rsidRPr="003E7F7B" w:rsidRDefault="003E7F7B" w:rsidP="008F0F55">
      <w:pPr>
        <w:tabs>
          <w:tab w:val="left" w:pos="2520"/>
        </w:tabs>
        <w:spacing w:before="240" w:after="100" w:afterAutospacing="1"/>
        <w:jc w:val="both"/>
        <w:rPr>
          <w:rFonts w:ascii="Book Antiqua" w:hAnsi="Book Antiqua" w:cs="Arial"/>
          <w:i/>
        </w:rPr>
      </w:pPr>
      <w:r w:rsidRPr="003E7F7B">
        <w:rPr>
          <w:rFonts w:ascii="Book Antiqua" w:hAnsi="Book Antiqua" w:cs="Arial"/>
          <w:i/>
        </w:rPr>
        <w:t>Decision</w:t>
      </w:r>
    </w:p>
    <w:p w14:paraId="4B412155" w14:textId="2EC2344C" w:rsidR="008F0F55" w:rsidRPr="003A0DFB" w:rsidRDefault="00F81D1E" w:rsidP="008F0F55">
      <w:pPr>
        <w:numPr>
          <w:ilvl w:val="0"/>
          <w:numId w:val="3"/>
        </w:numPr>
        <w:tabs>
          <w:tab w:val="left" w:pos="2520"/>
        </w:tabs>
        <w:spacing w:before="240" w:after="100" w:afterAutospacing="1"/>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w:t>
      </w:r>
      <w:r w:rsidRPr="003A0DFB">
        <w:rPr>
          <w:rFonts w:ascii="Book Antiqua" w:hAnsi="Book Antiqua" w:cs="Arial"/>
        </w:rPr>
        <w:t xml:space="preserve">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07F8E562" w14:textId="7888FBF7" w:rsidR="008F0F55"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ab/>
        <w:t>I set aside the decision</w:t>
      </w:r>
      <w:r>
        <w:rPr>
          <w:rFonts w:ascii="Book Antiqua" w:hAnsi="Book Antiqua" w:cs="Arial"/>
        </w:rPr>
        <w:t>.</w:t>
      </w:r>
    </w:p>
    <w:p w14:paraId="7284A635" w14:textId="77777777" w:rsidR="00FC346C" w:rsidRPr="003A0DFB" w:rsidRDefault="00FC346C" w:rsidP="00FC346C">
      <w:pPr>
        <w:tabs>
          <w:tab w:val="left" w:pos="2520"/>
        </w:tabs>
        <w:spacing w:before="240" w:after="100" w:afterAutospacing="1"/>
        <w:ind w:left="2520"/>
        <w:jc w:val="both"/>
        <w:rPr>
          <w:rFonts w:ascii="Book Antiqua" w:hAnsi="Book Antiqua" w:cs="Arial"/>
        </w:rPr>
      </w:pPr>
      <w:r>
        <w:rPr>
          <w:rFonts w:ascii="Book Antiqua" w:hAnsi="Book Antiqua" w:cs="Arial"/>
        </w:rPr>
        <w:lastRenderedPageBreak/>
        <w:t xml:space="preserve">I remit the appeal to be decided afresh in the First-tier Tribunal in accordance with the attached directions. </w:t>
      </w:r>
    </w:p>
    <w:p w14:paraId="65E935A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6FEC3DB3" wp14:editId="5507EEBE">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3EBBAE1E"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4113910F" w14:textId="77777777" w:rsidR="008F0F55" w:rsidRPr="006E1B05" w:rsidRDefault="00532CE3" w:rsidP="008F0F55">
      <w:pPr>
        <w:tabs>
          <w:tab w:val="left" w:pos="2268"/>
          <w:tab w:val="left" w:pos="4536"/>
          <w:tab w:val="left" w:pos="5103"/>
        </w:tabs>
        <w:rPr>
          <w:rFonts w:ascii="Book Antiqua" w:hAnsi="Book Antiqua" w:cs="Arial"/>
          <w:b/>
          <w:bCs/>
        </w:rPr>
      </w:pPr>
    </w:p>
    <w:p w14:paraId="26B0D653"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91AFAE0" w14:textId="77777777" w:rsidR="008F0F55" w:rsidRPr="006E1B05" w:rsidRDefault="00532CE3" w:rsidP="008F0F55">
      <w:pPr>
        <w:tabs>
          <w:tab w:val="left" w:pos="2268"/>
          <w:tab w:val="left" w:pos="5103"/>
        </w:tabs>
        <w:rPr>
          <w:rFonts w:ascii="Book Antiqua" w:hAnsi="Book Antiqua" w:cs="Arial"/>
          <w:b/>
          <w:bCs/>
        </w:rPr>
      </w:pPr>
    </w:p>
    <w:p w14:paraId="4B176394" w14:textId="78D7940E" w:rsidR="008F0F55" w:rsidRDefault="00F81D1E" w:rsidP="008F0F55">
      <w:pPr>
        <w:tabs>
          <w:tab w:val="left" w:pos="2268"/>
          <w:tab w:val="left" w:pos="5103"/>
        </w:tabs>
        <w:rPr>
          <w:rFonts w:ascii="Arial" w:hAnsi="Arial" w:cs="Arial"/>
          <w:b/>
          <w:bCs/>
        </w:rPr>
      </w:pPr>
      <w:r>
        <w:rPr>
          <w:rFonts w:ascii="Book Antiqua" w:hAnsi="Book Antiqua" w:cs="Arial"/>
          <w:b/>
          <w:bCs/>
        </w:rPr>
        <w:tab/>
      </w:r>
      <w:r>
        <w:rPr>
          <w:rFonts w:ascii="Arial" w:hAnsi="Arial" w:cs="Arial"/>
          <w:b/>
          <w:bCs/>
        </w:rPr>
        <w:tab/>
      </w:r>
    </w:p>
    <w:p w14:paraId="5B53F670" w14:textId="77777777" w:rsidR="008F0F55" w:rsidRPr="0083585F" w:rsidRDefault="00532CE3" w:rsidP="008F0F55">
      <w:pPr>
        <w:tabs>
          <w:tab w:val="left" w:pos="2520"/>
        </w:tabs>
        <w:jc w:val="both"/>
        <w:rPr>
          <w:rFonts w:ascii="Book Antiqua" w:hAnsi="Book Antiqua" w:cs="Arial"/>
        </w:rPr>
      </w:pPr>
    </w:p>
    <w:p w14:paraId="3F220014" w14:textId="77777777" w:rsidR="008F0F55" w:rsidRPr="0083585F" w:rsidRDefault="00532CE3" w:rsidP="008F0F55">
      <w:pPr>
        <w:tabs>
          <w:tab w:val="left" w:pos="2520"/>
        </w:tabs>
        <w:jc w:val="both"/>
        <w:rPr>
          <w:rFonts w:ascii="Book Antiqua" w:hAnsi="Book Antiqua" w:cs="Arial"/>
        </w:rPr>
      </w:pPr>
    </w:p>
    <w:p w14:paraId="73FD2686" w14:textId="77777777" w:rsidR="008F0F55" w:rsidRPr="003A0DFB" w:rsidRDefault="00F81D1E" w:rsidP="008F0F55">
      <w:pPr>
        <w:tabs>
          <w:tab w:val="left" w:pos="2520"/>
        </w:tabs>
        <w:spacing w:before="240" w:after="100" w:afterAutospacing="1"/>
        <w:rPr>
          <w:rFonts w:ascii="Book Antiqua" w:hAnsi="Book Antiqua" w:cs="Arial"/>
          <w:b/>
        </w:rPr>
      </w:pPr>
      <w:r w:rsidRPr="003A0DFB">
        <w:rPr>
          <w:rFonts w:ascii="Book Antiqua" w:hAnsi="Book Antiqua" w:cs="Arial"/>
          <w:b/>
        </w:rPr>
        <w:t>Consequential Directions</w:t>
      </w:r>
    </w:p>
    <w:p w14:paraId="51BBD505" w14:textId="7895DC42" w:rsidR="00FC346C" w:rsidRDefault="00FC346C" w:rsidP="008F0F55">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 xml:space="preserve">The appeal is remitted to the First-tier Tribunal sitting at </w:t>
      </w:r>
      <w:r w:rsidR="00AF36F6">
        <w:rPr>
          <w:rFonts w:ascii="Book Antiqua" w:hAnsi="Book Antiqua" w:cs="Arial"/>
        </w:rPr>
        <w:t>Bradford</w:t>
      </w:r>
      <w:r>
        <w:rPr>
          <w:rFonts w:ascii="Book Antiqua" w:hAnsi="Book Antiqua" w:cs="Arial"/>
        </w:rPr>
        <w:t>;</w:t>
      </w:r>
    </w:p>
    <w:p w14:paraId="2DE801DA" w14:textId="77777777" w:rsidR="00FC346C" w:rsidRDefault="00FC346C" w:rsidP="008F0F55">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The appeal is to be relisted at the first available date;</w:t>
      </w:r>
    </w:p>
    <w:p w14:paraId="389BC44A" w14:textId="77777777" w:rsidR="00FC346C" w:rsidRDefault="00FC346C" w:rsidP="00FC346C">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The appeal is to be decided afresh with no findings of fact preserved;</w:t>
      </w:r>
    </w:p>
    <w:p w14:paraId="4AC61849" w14:textId="25C9BAFB" w:rsidR="00FC346C" w:rsidRDefault="00FC346C" w:rsidP="008F0F55">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 xml:space="preserve">The ELH is </w:t>
      </w:r>
      <w:r w:rsidR="00AF36F6">
        <w:rPr>
          <w:rFonts w:ascii="Book Antiqua" w:hAnsi="Book Antiqua" w:cs="Arial"/>
        </w:rPr>
        <w:t>3</w:t>
      </w:r>
      <w:r>
        <w:rPr>
          <w:rFonts w:ascii="Book Antiqua" w:hAnsi="Book Antiqua" w:cs="Arial"/>
        </w:rPr>
        <w:t xml:space="preserve"> hours;</w:t>
      </w:r>
    </w:p>
    <w:p w14:paraId="2C9E7459" w14:textId="6927EDDD" w:rsidR="00FC346C" w:rsidRDefault="00FC346C" w:rsidP="008F0F55">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 xml:space="preserve">The appeal may be listed before any First-tier Tribunal Judge, </w:t>
      </w:r>
      <w:proofErr w:type="gramStart"/>
      <w:r>
        <w:rPr>
          <w:rFonts w:ascii="Book Antiqua" w:hAnsi="Book Antiqua" w:cs="Arial"/>
        </w:rPr>
        <w:t>with the exception of</w:t>
      </w:r>
      <w:proofErr w:type="gramEnd"/>
      <w:r>
        <w:rPr>
          <w:rFonts w:ascii="Book Antiqua" w:hAnsi="Book Antiqua" w:cs="Arial"/>
        </w:rPr>
        <w:t xml:space="preserve"> </w:t>
      </w:r>
      <w:r w:rsidR="00AF36F6">
        <w:rPr>
          <w:rFonts w:ascii="Book Antiqua" w:hAnsi="Book Antiqua" w:cs="Arial"/>
        </w:rPr>
        <w:t>Judge Grant</w:t>
      </w:r>
      <w:r>
        <w:rPr>
          <w:rFonts w:ascii="Book Antiqua" w:hAnsi="Book Antiqua" w:cs="Arial"/>
        </w:rPr>
        <w:t>;</w:t>
      </w:r>
    </w:p>
    <w:p w14:paraId="72DC2658" w14:textId="45DBA8DA" w:rsidR="008F0F55" w:rsidRPr="00AF36F6" w:rsidRDefault="00FC346C" w:rsidP="00AF36F6">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The appellant is to ensure that all evidence to be relied on is contained within a single consolidated, indexed and paginated bundle of all objective and subjective material, together with any skeleton argument and copies of all case authorities to be relied on. The Tribunal will not accept materials submitted on the day of the forthcoming appeal hearing</w:t>
      </w:r>
      <w:r w:rsidR="00AF36F6">
        <w:rPr>
          <w:rFonts w:ascii="Book Antiqua" w:hAnsi="Book Antiqua" w:cs="Arial"/>
        </w:rPr>
        <w:t>.</w:t>
      </w:r>
      <w:r w:rsidR="00F81D1E" w:rsidRPr="00AF36F6">
        <w:rPr>
          <w:rFonts w:ascii="Book Antiqua" w:hAnsi="Book Antiqua" w:cs="Arial"/>
        </w:rPr>
        <w:t xml:space="preserve"> </w:t>
      </w:r>
    </w:p>
    <w:p w14:paraId="2991D0FE" w14:textId="77777777" w:rsidR="000E2F8E" w:rsidRDefault="000E2F8E" w:rsidP="008F0F55">
      <w:pPr>
        <w:tabs>
          <w:tab w:val="left" w:pos="2520"/>
        </w:tabs>
        <w:spacing w:before="240" w:after="100" w:afterAutospacing="1"/>
        <w:jc w:val="both"/>
        <w:rPr>
          <w:rFonts w:ascii="Book Antiqua" w:hAnsi="Book Antiqua" w:cs="Arial"/>
          <w:b/>
        </w:rPr>
      </w:pPr>
    </w:p>
    <w:p w14:paraId="02B7F256" w14:textId="7BFCBAA9" w:rsidR="008F0F55" w:rsidRPr="003A0DFB" w:rsidRDefault="00F81D1E" w:rsidP="008F0F55">
      <w:pPr>
        <w:tabs>
          <w:tab w:val="left" w:pos="2520"/>
        </w:tabs>
        <w:spacing w:before="240" w:after="100" w:afterAutospacing="1"/>
        <w:jc w:val="both"/>
        <w:rPr>
          <w:rFonts w:ascii="Book Antiqua" w:hAnsi="Book Antiqua" w:cs="Arial"/>
          <w:b/>
        </w:rPr>
      </w:pPr>
      <w:bookmarkStart w:id="0" w:name="_GoBack"/>
      <w:bookmarkEnd w:id="0"/>
      <w:r w:rsidRPr="003A0DFB">
        <w:rPr>
          <w:rFonts w:ascii="Book Antiqua" w:hAnsi="Book Antiqua" w:cs="Arial"/>
          <w:b/>
        </w:rPr>
        <w:t>Anonymity</w:t>
      </w:r>
    </w:p>
    <w:p w14:paraId="65D8842A"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not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3E531E92" w14:textId="3D503C7B" w:rsidR="008F0F55" w:rsidRDefault="00F81D1E" w:rsidP="008F0F55">
      <w:pPr>
        <w:tabs>
          <w:tab w:val="left" w:pos="0"/>
          <w:tab w:val="left" w:pos="360"/>
        </w:tabs>
        <w:overflowPunct w:val="0"/>
        <w:autoSpaceDE w:val="0"/>
        <w:autoSpaceDN w:val="0"/>
        <w:adjustRightInd w:val="0"/>
        <w:spacing w:after="120"/>
        <w:jc w:val="both"/>
        <w:textAlignment w:val="baseline"/>
        <w:rPr>
          <w:rFonts w:ascii="Book Antiqua" w:hAnsi="Book Antiqua"/>
        </w:rPr>
      </w:pPr>
      <w:r>
        <w:rPr>
          <w:rFonts w:ascii="Book Antiqua" w:hAnsi="Book Antiqua"/>
        </w:rPr>
        <w:t>Given the circumstances</w:t>
      </w:r>
      <w:r w:rsidR="00631043">
        <w:rPr>
          <w:rFonts w:ascii="Book Antiqua" w:hAnsi="Book Antiqua"/>
        </w:rPr>
        <w:t xml:space="preserve"> involve children allegedly at risk, </w:t>
      </w:r>
      <w:r>
        <w:rPr>
          <w:rFonts w:ascii="Book Antiqua" w:hAnsi="Book Antiqua"/>
        </w:rPr>
        <w:t xml:space="preserve">I make </w:t>
      </w:r>
      <w:r w:rsidR="00631043">
        <w:rPr>
          <w:rFonts w:ascii="Book Antiqua" w:hAnsi="Book Antiqua"/>
        </w:rPr>
        <w:t xml:space="preserve">an </w:t>
      </w:r>
      <w:r>
        <w:rPr>
          <w:rFonts w:ascii="Book Antiqua" w:hAnsi="Book Antiqua"/>
        </w:rPr>
        <w:t>anonymity order.</w:t>
      </w:r>
    </w:p>
    <w:p w14:paraId="4A2D0430" w14:textId="32DB37FA" w:rsidR="00EC4196" w:rsidRDefault="00EC4196" w:rsidP="008F0F55">
      <w:pPr>
        <w:tabs>
          <w:tab w:val="left" w:pos="0"/>
          <w:tab w:val="left" w:pos="360"/>
        </w:tabs>
        <w:overflowPunct w:val="0"/>
        <w:autoSpaceDE w:val="0"/>
        <w:autoSpaceDN w:val="0"/>
        <w:adjustRightInd w:val="0"/>
        <w:spacing w:after="120"/>
        <w:jc w:val="both"/>
        <w:textAlignment w:val="baseline"/>
        <w:rPr>
          <w:rFonts w:ascii="Book Antiqua" w:hAnsi="Book Antiqua"/>
        </w:rPr>
      </w:pPr>
    </w:p>
    <w:p w14:paraId="1EFF31F6" w14:textId="00B9D8A6" w:rsidR="000E2F8E" w:rsidRDefault="000E2F8E" w:rsidP="008F0F55">
      <w:pPr>
        <w:tabs>
          <w:tab w:val="left" w:pos="0"/>
          <w:tab w:val="left" w:pos="360"/>
        </w:tabs>
        <w:overflowPunct w:val="0"/>
        <w:autoSpaceDE w:val="0"/>
        <w:autoSpaceDN w:val="0"/>
        <w:adjustRightInd w:val="0"/>
        <w:spacing w:after="120"/>
        <w:jc w:val="both"/>
        <w:textAlignment w:val="baseline"/>
        <w:rPr>
          <w:rFonts w:ascii="Book Antiqua" w:hAnsi="Book Antiqua"/>
        </w:rPr>
      </w:pPr>
    </w:p>
    <w:p w14:paraId="74B90D0D" w14:textId="77777777" w:rsidR="000E2F8E" w:rsidRPr="00177DBD" w:rsidRDefault="000E2F8E" w:rsidP="008F0F55">
      <w:pPr>
        <w:tabs>
          <w:tab w:val="left" w:pos="0"/>
          <w:tab w:val="left" w:pos="360"/>
        </w:tabs>
        <w:overflowPunct w:val="0"/>
        <w:autoSpaceDE w:val="0"/>
        <w:autoSpaceDN w:val="0"/>
        <w:adjustRightInd w:val="0"/>
        <w:spacing w:after="120"/>
        <w:jc w:val="both"/>
        <w:textAlignment w:val="baseline"/>
        <w:rPr>
          <w:rFonts w:ascii="Book Antiqua" w:hAnsi="Book Antiqua"/>
        </w:rPr>
      </w:pPr>
    </w:p>
    <w:p w14:paraId="15C89352"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4AC860D1" w14:textId="7777777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In the light of </w:t>
      </w:r>
      <w:r>
        <w:rPr>
          <w:rFonts w:ascii="Book Antiqua" w:hAnsi="Book Antiqua" w:cs="Arial"/>
        </w:rPr>
        <w:t>my</w:t>
      </w:r>
      <w:r w:rsidRPr="003A0DFB">
        <w:rPr>
          <w:rFonts w:ascii="Book Antiqua" w:hAnsi="Book Antiqua" w:cs="Arial"/>
        </w:rPr>
        <w:t xml:space="preserve"> decision, </w:t>
      </w:r>
      <w:r>
        <w:rPr>
          <w:rFonts w:ascii="Book Antiqua" w:hAnsi="Book Antiqua" w:cs="Arial"/>
        </w:rPr>
        <w:t>I</w:t>
      </w:r>
      <w:r w:rsidRPr="003A0DFB">
        <w:rPr>
          <w:rFonts w:ascii="Book Antiqua" w:hAnsi="Book Antiqua" w:cs="Arial"/>
        </w:rPr>
        <w:t xml:space="preserve"> have considered whether to make a fee award </w:t>
      </w:r>
      <w:r w:rsidR="00304CCE">
        <w:rPr>
          <w:rFonts w:ascii="Book Antiqua" w:hAnsi="Book Antiqua" w:cs="Arial"/>
        </w:rPr>
        <w:t xml:space="preserve">pursuant to </w:t>
      </w:r>
      <w:r w:rsidRPr="003A0DFB">
        <w:rPr>
          <w:rFonts w:ascii="Book Antiqua" w:hAnsi="Book Antiqua" w:cs="Arial"/>
        </w:rPr>
        <w:t xml:space="preserve">section 12(4)(a) of the Tribunals, </w:t>
      </w:r>
      <w:r w:rsidR="00304CCE">
        <w:rPr>
          <w:rFonts w:ascii="Book Antiqua" w:hAnsi="Book Antiqua" w:cs="Arial"/>
        </w:rPr>
        <w:t>Courts and Enforcement Act 2007</w:t>
      </w:r>
      <w:r w:rsidRPr="003A0DFB">
        <w:rPr>
          <w:rFonts w:ascii="Book Antiqua" w:hAnsi="Book Antiqua" w:cs="Arial"/>
        </w:rPr>
        <w:t>.</w:t>
      </w:r>
    </w:p>
    <w:p w14:paraId="04371C54"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have had regard to the Joint Presidential Guidance Note: Fee Awards in Immigration Appeals (December 2011).</w:t>
      </w:r>
    </w:p>
    <w:p w14:paraId="5146734B" w14:textId="00D30C99"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make no fee award.</w:t>
      </w:r>
    </w:p>
    <w:p w14:paraId="16C1E79B" w14:textId="69A61D48"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Reasons:</w:t>
      </w:r>
      <w:r w:rsidR="00EC4196">
        <w:rPr>
          <w:rFonts w:ascii="Book Antiqua" w:hAnsi="Book Antiqua" w:cs="Arial"/>
        </w:rPr>
        <w:t xml:space="preserve"> The outcome of the appeal remains to be decided. </w:t>
      </w:r>
    </w:p>
    <w:p w14:paraId="27DED33E" w14:textId="77777777" w:rsidR="008F0F55" w:rsidRPr="00F146AE" w:rsidRDefault="00532CE3" w:rsidP="008F0F55">
      <w:pPr>
        <w:tabs>
          <w:tab w:val="left" w:pos="2520"/>
        </w:tabs>
        <w:jc w:val="both"/>
        <w:rPr>
          <w:rFonts w:ascii="Book Antiqua" w:hAnsi="Book Antiqua" w:cs="Arial"/>
        </w:rPr>
      </w:pPr>
    </w:p>
    <w:p w14:paraId="2A5AB24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1E817B2F" wp14:editId="685F7FFB">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74758BC7"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5C805085" w14:textId="77777777" w:rsidR="008F0F55" w:rsidRPr="006E1B05" w:rsidRDefault="00532CE3" w:rsidP="008F0F55">
      <w:pPr>
        <w:tabs>
          <w:tab w:val="left" w:pos="2268"/>
          <w:tab w:val="left" w:pos="4536"/>
          <w:tab w:val="left" w:pos="5103"/>
        </w:tabs>
        <w:rPr>
          <w:rFonts w:ascii="Book Antiqua" w:hAnsi="Book Antiqua" w:cs="Arial"/>
          <w:b/>
          <w:bCs/>
        </w:rPr>
      </w:pPr>
    </w:p>
    <w:p w14:paraId="419DE8A4"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1F2ABC0" w14:textId="77777777" w:rsidR="008F0F55" w:rsidRPr="006E1B05" w:rsidRDefault="00532CE3" w:rsidP="008F0F55">
      <w:pPr>
        <w:tabs>
          <w:tab w:val="left" w:pos="2268"/>
          <w:tab w:val="left" w:pos="5103"/>
        </w:tabs>
        <w:rPr>
          <w:rFonts w:ascii="Book Antiqua" w:hAnsi="Book Antiqua" w:cs="Arial"/>
          <w:b/>
          <w:bCs/>
        </w:rPr>
      </w:pPr>
    </w:p>
    <w:p w14:paraId="4DAEA0FD" w14:textId="08CC67C5" w:rsidR="008F0F55" w:rsidRPr="00F146AE" w:rsidRDefault="00F81D1E" w:rsidP="000E2F8E">
      <w:pPr>
        <w:tabs>
          <w:tab w:val="left" w:pos="2268"/>
          <w:tab w:val="left" w:pos="5103"/>
        </w:tabs>
        <w:rPr>
          <w:rFonts w:ascii="Book Antiqua" w:hAnsi="Book Antiqua" w:cs="Arial"/>
        </w:rPr>
      </w:pPr>
      <w:r>
        <w:rPr>
          <w:rFonts w:ascii="Book Antiqua" w:hAnsi="Book Antiqua" w:cs="Arial"/>
          <w:b/>
          <w:bCs/>
        </w:rPr>
        <w:tab/>
      </w:r>
    </w:p>
    <w:p w14:paraId="3F62F489" w14:textId="536E9F2B" w:rsidR="008F0F55" w:rsidRDefault="00532CE3">
      <w:pPr>
        <w:rPr>
          <w:rFonts w:ascii="Book Antiqua" w:hAnsi="Book Antiqua" w:cs="Arial"/>
        </w:rPr>
      </w:pPr>
    </w:p>
    <w:sectPr w:rsidR="008F0F55" w:rsidSect="00E91EC9">
      <w:headerReference w:type="default" r:id="rId9"/>
      <w:footerReference w:type="default" r:id="rId10"/>
      <w:headerReference w:type="first" r:id="rId11"/>
      <w:footerReference w:type="first" r:id="rId12"/>
      <w:type w:val="continuous"/>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B1492" w14:textId="77777777" w:rsidR="00EE5B89" w:rsidRDefault="00EE5B89">
      <w:r>
        <w:separator/>
      </w:r>
    </w:p>
  </w:endnote>
  <w:endnote w:type="continuationSeparator" w:id="0">
    <w:p w14:paraId="077F68A6" w14:textId="77777777" w:rsidR="00EE5B89" w:rsidRDefault="00EE5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65E9" w14:textId="62BB6007" w:rsidR="008F0F55" w:rsidRPr="00E91EC9" w:rsidRDefault="00F81D1E" w:rsidP="008F0F55">
    <w:pPr>
      <w:pStyle w:val="Footer"/>
      <w:jc w:val="center"/>
      <w:rPr>
        <w:rFonts w:ascii="Book Antiqua" w:hAnsi="Book Antiqua" w:cs="Arial"/>
      </w:rPr>
    </w:pPr>
    <w:r w:rsidRPr="00E91EC9">
      <w:rPr>
        <w:rStyle w:val="PageNumber"/>
        <w:rFonts w:ascii="Book Antiqua" w:hAnsi="Book Antiqua" w:cs="Arial"/>
      </w:rPr>
      <w:fldChar w:fldCharType="begin"/>
    </w:r>
    <w:r w:rsidRPr="00E91EC9">
      <w:rPr>
        <w:rStyle w:val="PageNumber"/>
        <w:rFonts w:ascii="Book Antiqua" w:hAnsi="Book Antiqua" w:cs="Arial"/>
      </w:rPr>
      <w:instrText xml:space="preserve"> PAGE </w:instrText>
    </w:r>
    <w:r w:rsidRPr="00E91EC9">
      <w:rPr>
        <w:rStyle w:val="PageNumber"/>
        <w:rFonts w:ascii="Book Antiqua" w:hAnsi="Book Antiqua" w:cs="Arial"/>
      </w:rPr>
      <w:fldChar w:fldCharType="separate"/>
    </w:r>
    <w:r w:rsidR="00532CE3">
      <w:rPr>
        <w:rStyle w:val="PageNumber"/>
        <w:rFonts w:ascii="Book Antiqua" w:hAnsi="Book Antiqua" w:cs="Arial"/>
        <w:noProof/>
      </w:rPr>
      <w:t>6</w:t>
    </w:r>
    <w:r w:rsidRPr="00E91EC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C21D5"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4A91A" w14:textId="77777777" w:rsidR="00EE5B89" w:rsidRDefault="00EE5B89">
      <w:r>
        <w:separator/>
      </w:r>
    </w:p>
  </w:footnote>
  <w:footnote w:type="continuationSeparator" w:id="0">
    <w:p w14:paraId="47459909" w14:textId="77777777" w:rsidR="00EE5B89" w:rsidRDefault="00EE5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797DF" w14:textId="77777777" w:rsidR="00E91EC9" w:rsidRDefault="00F81D1E" w:rsidP="008F0F55">
    <w:pPr>
      <w:pStyle w:val="Header"/>
      <w:tabs>
        <w:tab w:val="clear" w:pos="4153"/>
        <w:tab w:val="clear" w:pos="8306"/>
        <w:tab w:val="right" w:pos="9639"/>
      </w:tabs>
      <w:jc w:val="right"/>
      <w:rPr>
        <w:rFonts w:ascii="Book Antiqua" w:hAnsi="Book Antiqua" w:cs="Arial"/>
        <w:sz w:val="16"/>
        <w:szCs w:val="16"/>
      </w:rPr>
    </w:pPr>
    <w:r w:rsidRPr="00E91EC9">
      <w:rPr>
        <w:rFonts w:ascii="Book Antiqua" w:hAnsi="Book Antiqua" w:cs="Arial"/>
        <w:sz w:val="16"/>
        <w:szCs w:val="16"/>
      </w:rPr>
      <w:t>Appeal Number</w:t>
    </w:r>
    <w:r w:rsidR="00A57E35" w:rsidRPr="00E91EC9">
      <w:rPr>
        <w:rFonts w:ascii="Book Antiqua" w:hAnsi="Book Antiqua" w:cs="Arial"/>
        <w:sz w:val="16"/>
        <w:szCs w:val="16"/>
      </w:rPr>
      <w:t xml:space="preserve">s: </w:t>
    </w:r>
    <w:r w:rsidR="00383124" w:rsidRPr="00E91EC9">
      <w:rPr>
        <w:rFonts w:ascii="Book Antiqua" w:hAnsi="Book Antiqua" w:cs="Arial"/>
        <w:sz w:val="16"/>
        <w:szCs w:val="16"/>
      </w:rPr>
      <w:t>HU/07067/2016</w:t>
    </w:r>
  </w:p>
  <w:p w14:paraId="0472EFA6" w14:textId="77777777" w:rsidR="00E91EC9" w:rsidRDefault="00383124" w:rsidP="008F0F55">
    <w:pPr>
      <w:pStyle w:val="Header"/>
      <w:tabs>
        <w:tab w:val="clear" w:pos="4153"/>
        <w:tab w:val="clear" w:pos="8306"/>
        <w:tab w:val="right" w:pos="9639"/>
      </w:tabs>
      <w:jc w:val="right"/>
      <w:rPr>
        <w:rFonts w:ascii="Book Antiqua" w:hAnsi="Book Antiqua" w:cs="Arial"/>
        <w:sz w:val="16"/>
        <w:szCs w:val="16"/>
      </w:rPr>
    </w:pPr>
    <w:r w:rsidRPr="00E91EC9">
      <w:rPr>
        <w:rFonts w:ascii="Book Antiqua" w:hAnsi="Book Antiqua" w:cs="Arial"/>
        <w:sz w:val="16"/>
        <w:szCs w:val="16"/>
      </w:rPr>
      <w:t xml:space="preserve"> HU/07092/2016</w:t>
    </w:r>
  </w:p>
  <w:p w14:paraId="1DCCC239" w14:textId="593AEDAB" w:rsidR="008F0F55" w:rsidRDefault="00383124" w:rsidP="008F0F55">
    <w:pPr>
      <w:pStyle w:val="Header"/>
      <w:tabs>
        <w:tab w:val="clear" w:pos="4153"/>
        <w:tab w:val="clear" w:pos="8306"/>
        <w:tab w:val="right" w:pos="9639"/>
      </w:tabs>
      <w:jc w:val="right"/>
      <w:rPr>
        <w:rFonts w:ascii="Book Antiqua" w:hAnsi="Book Antiqua" w:cs="Arial"/>
        <w:sz w:val="16"/>
        <w:szCs w:val="16"/>
      </w:rPr>
    </w:pPr>
    <w:r w:rsidRPr="00E91EC9">
      <w:rPr>
        <w:rFonts w:ascii="Book Antiqua" w:hAnsi="Book Antiqua" w:cs="Arial"/>
        <w:sz w:val="16"/>
        <w:szCs w:val="16"/>
      </w:rPr>
      <w:t xml:space="preserve"> HU/07097/2016</w:t>
    </w:r>
  </w:p>
  <w:p w14:paraId="44BC9967" w14:textId="77777777" w:rsidR="00E91EC9" w:rsidRPr="00E91EC9" w:rsidRDefault="00E91EC9" w:rsidP="008F0F5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3BF5"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3F2A7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15F6E"/>
    <w:rsid w:val="00074C2F"/>
    <w:rsid w:val="000D531F"/>
    <w:rsid w:val="000E2F8E"/>
    <w:rsid w:val="001619F0"/>
    <w:rsid w:val="001B586B"/>
    <w:rsid w:val="001C58FB"/>
    <w:rsid w:val="001D511E"/>
    <w:rsid w:val="001E36DC"/>
    <w:rsid w:val="002233CB"/>
    <w:rsid w:val="00233F8E"/>
    <w:rsid w:val="00291F75"/>
    <w:rsid w:val="002B4006"/>
    <w:rsid w:val="002B5DD9"/>
    <w:rsid w:val="00304CCE"/>
    <w:rsid w:val="00315D79"/>
    <w:rsid w:val="00350716"/>
    <w:rsid w:val="00383124"/>
    <w:rsid w:val="00396E27"/>
    <w:rsid w:val="003A6D1D"/>
    <w:rsid w:val="003B470E"/>
    <w:rsid w:val="003B6A54"/>
    <w:rsid w:val="003E7F7B"/>
    <w:rsid w:val="004004F7"/>
    <w:rsid w:val="00432D71"/>
    <w:rsid w:val="00437C34"/>
    <w:rsid w:val="004715AF"/>
    <w:rsid w:val="004B31D7"/>
    <w:rsid w:val="004C5595"/>
    <w:rsid w:val="004E578A"/>
    <w:rsid w:val="0051380D"/>
    <w:rsid w:val="00532CE3"/>
    <w:rsid w:val="00591D47"/>
    <w:rsid w:val="005D368B"/>
    <w:rsid w:val="005E1157"/>
    <w:rsid w:val="005E4656"/>
    <w:rsid w:val="00606A81"/>
    <w:rsid w:val="00631043"/>
    <w:rsid w:val="00636BF9"/>
    <w:rsid w:val="0065535A"/>
    <w:rsid w:val="0069164C"/>
    <w:rsid w:val="006D39CF"/>
    <w:rsid w:val="007276B2"/>
    <w:rsid w:val="00737B1D"/>
    <w:rsid w:val="007604E9"/>
    <w:rsid w:val="00772F29"/>
    <w:rsid w:val="007961E4"/>
    <w:rsid w:val="007B0A98"/>
    <w:rsid w:val="007C633A"/>
    <w:rsid w:val="007E7A46"/>
    <w:rsid w:val="008049AF"/>
    <w:rsid w:val="0082373D"/>
    <w:rsid w:val="00863E40"/>
    <w:rsid w:val="008B7A7B"/>
    <w:rsid w:val="008D3C27"/>
    <w:rsid w:val="008E5156"/>
    <w:rsid w:val="00A20123"/>
    <w:rsid w:val="00A57E35"/>
    <w:rsid w:val="00A637AB"/>
    <w:rsid w:val="00A72CD1"/>
    <w:rsid w:val="00A87F50"/>
    <w:rsid w:val="00A92404"/>
    <w:rsid w:val="00AA59B4"/>
    <w:rsid w:val="00AE2320"/>
    <w:rsid w:val="00AF36F6"/>
    <w:rsid w:val="00B2584D"/>
    <w:rsid w:val="00B47B97"/>
    <w:rsid w:val="00C4377D"/>
    <w:rsid w:val="00C64268"/>
    <w:rsid w:val="00C753A6"/>
    <w:rsid w:val="00C94C52"/>
    <w:rsid w:val="00D1687F"/>
    <w:rsid w:val="00D22ACD"/>
    <w:rsid w:val="00D53FA5"/>
    <w:rsid w:val="00E01E4C"/>
    <w:rsid w:val="00E366C9"/>
    <w:rsid w:val="00E3798A"/>
    <w:rsid w:val="00E84390"/>
    <w:rsid w:val="00E856B2"/>
    <w:rsid w:val="00E91EC9"/>
    <w:rsid w:val="00EC4196"/>
    <w:rsid w:val="00ED379E"/>
    <w:rsid w:val="00ED62CC"/>
    <w:rsid w:val="00EE5B89"/>
    <w:rsid w:val="00F81D1E"/>
    <w:rsid w:val="00F85048"/>
    <w:rsid w:val="00FB3BB7"/>
    <w:rsid w:val="00FC346C"/>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F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2018-07-26T16:46:00Z</dcterms:created>
  <dcterms:modified xsi:type="dcterms:W3CDTF">2018-07-26T16:46:00Z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