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27683E" w:rsidP="00C321B5">
      <w:pPr>
        <w:jc w:val="center"/>
        <w:rPr>
          <w:rFonts w:ascii="Book Antiqua" w:hAnsi="Book Antiqua" w:cs="Arial"/>
          <w:sz w:val="16"/>
          <w:szCs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81pt">
            <v:imagedata r:id="rId7" o:title=""/>
          </v:shape>
        </w:pict>
      </w: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27683E">
        <w:rPr>
          <w:rFonts w:ascii="Book Antiqua" w:hAnsi="Book Antiqua" w:cs="Arial"/>
          <w:b/>
        </w:rPr>
        <w:t xml:space="preserve">   </w:t>
      </w:r>
      <w:proofErr w:type="gramEnd"/>
      <w:r w:rsidR="0027683E">
        <w:rPr>
          <w:rFonts w:ascii="Book Antiqua" w:hAnsi="Book Antiqua" w:cs="Arial"/>
          <w:b/>
        </w:rPr>
        <w:t xml:space="preserve">                   </w:t>
      </w:r>
      <w:r w:rsidR="00B3524D" w:rsidRPr="0027683E">
        <w:rPr>
          <w:rFonts w:ascii="Book Antiqua" w:hAnsi="Book Antiqua" w:cs="Arial"/>
          <w:b/>
        </w:rPr>
        <w:t>Appeal Number</w:t>
      </w:r>
      <w:r w:rsidR="00D53769" w:rsidRPr="0027683E">
        <w:rPr>
          <w:rFonts w:ascii="Book Antiqua" w:hAnsi="Book Antiqua" w:cs="Arial"/>
          <w:b/>
        </w:rPr>
        <w:t>:</w:t>
      </w:r>
      <w:r w:rsidR="00B3524D" w:rsidRPr="0027683E">
        <w:rPr>
          <w:rFonts w:ascii="Book Antiqua" w:hAnsi="Book Antiqua" w:cs="Arial"/>
          <w:b/>
        </w:rPr>
        <w:t xml:space="preserve"> </w:t>
      </w:r>
      <w:r w:rsidR="00C340BB" w:rsidRPr="0027683E">
        <w:rPr>
          <w:rFonts w:ascii="Book Antiqua" w:hAnsi="Book Antiqua" w:cs="Arial"/>
          <w:b/>
          <w:caps/>
        </w:rPr>
        <w:t>HU/07466/2015</w:t>
      </w:r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353"/>
        <w:gridCol w:w="4655"/>
      </w:tblGrid>
      <w:tr w:rsidR="00D22636" w:rsidRPr="00282C67" w:rsidTr="0027683E">
        <w:tc>
          <w:tcPr>
            <w:tcW w:w="5353" w:type="dxa"/>
            <w:shd w:val="clear" w:color="auto" w:fill="auto"/>
          </w:tcPr>
          <w:p w:rsidR="00D22636" w:rsidRPr="00282C67" w:rsidRDefault="00D22636" w:rsidP="00282C67">
            <w:pPr>
              <w:jc w:val="both"/>
              <w:rPr>
                <w:rFonts w:ascii="Book Antiqua" w:hAnsi="Book Antiqua" w:cs="Arial"/>
                <w:b/>
              </w:rPr>
            </w:pPr>
            <w:r w:rsidRPr="00282C67">
              <w:rPr>
                <w:rFonts w:ascii="Book Antiqua" w:hAnsi="Book Antiqua" w:cs="Arial"/>
                <w:b/>
              </w:rPr>
              <w:t xml:space="preserve">Heard at </w:t>
            </w:r>
            <w:r w:rsidR="00C340BB" w:rsidRPr="00282C67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4655" w:type="dxa"/>
            <w:shd w:val="clear" w:color="auto" w:fill="auto"/>
          </w:tcPr>
          <w:p w:rsidR="00D22636" w:rsidRPr="00282C67" w:rsidRDefault="008508AD" w:rsidP="00282C67">
            <w:pPr>
              <w:jc w:val="both"/>
              <w:rPr>
                <w:rFonts w:ascii="Book Antiqua" w:hAnsi="Book Antiqua" w:cs="Arial"/>
                <w:b/>
              </w:rPr>
            </w:pPr>
            <w:r w:rsidRPr="00282C67">
              <w:rPr>
                <w:rFonts w:ascii="Book Antiqua" w:hAnsi="Book Antiqua" w:cs="Arial"/>
                <w:b/>
              </w:rPr>
              <w:t>Decision &amp; Reasons</w:t>
            </w:r>
            <w:r w:rsidR="00283659" w:rsidRPr="00282C67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282C67" w:rsidTr="0027683E">
        <w:tc>
          <w:tcPr>
            <w:tcW w:w="5353" w:type="dxa"/>
            <w:shd w:val="clear" w:color="auto" w:fill="auto"/>
          </w:tcPr>
          <w:p w:rsidR="00D22636" w:rsidRPr="00282C67" w:rsidRDefault="00D22636" w:rsidP="00282C67">
            <w:pPr>
              <w:jc w:val="both"/>
              <w:rPr>
                <w:rFonts w:ascii="Book Antiqua" w:hAnsi="Book Antiqua" w:cs="Arial"/>
                <w:b/>
              </w:rPr>
            </w:pPr>
            <w:r w:rsidRPr="00282C67">
              <w:rPr>
                <w:rFonts w:ascii="Book Antiqua" w:hAnsi="Book Antiqua" w:cs="Arial"/>
                <w:b/>
              </w:rPr>
              <w:t xml:space="preserve">On </w:t>
            </w:r>
            <w:r w:rsidR="00C340BB" w:rsidRPr="00282C67">
              <w:rPr>
                <w:rFonts w:ascii="Book Antiqua" w:hAnsi="Book Antiqua" w:cs="Arial"/>
                <w:b/>
              </w:rPr>
              <w:t>5 February 2018</w:t>
            </w:r>
          </w:p>
        </w:tc>
        <w:tc>
          <w:tcPr>
            <w:tcW w:w="4655" w:type="dxa"/>
            <w:shd w:val="clear" w:color="auto" w:fill="auto"/>
          </w:tcPr>
          <w:p w:rsidR="00D22636" w:rsidRPr="00282C67" w:rsidRDefault="00BE7618" w:rsidP="00282C67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12 June 2018 </w:t>
            </w:r>
          </w:p>
        </w:tc>
      </w:tr>
      <w:tr w:rsidR="00D22636" w:rsidRPr="00282C67" w:rsidTr="0027683E">
        <w:tc>
          <w:tcPr>
            <w:tcW w:w="5353" w:type="dxa"/>
            <w:shd w:val="clear" w:color="auto" w:fill="auto"/>
          </w:tcPr>
          <w:p w:rsidR="00D22636" w:rsidRPr="00282C67" w:rsidRDefault="00D22636" w:rsidP="00282C67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655" w:type="dxa"/>
            <w:shd w:val="clear" w:color="auto" w:fill="auto"/>
          </w:tcPr>
          <w:p w:rsidR="00D22636" w:rsidRPr="00282C67" w:rsidRDefault="00D22636" w:rsidP="00282C67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F5664C" w:rsidRDefault="00A15234" w:rsidP="00A15234">
      <w:pPr>
        <w:jc w:val="center"/>
        <w:rPr>
          <w:rFonts w:ascii="Book Antiqua" w:hAnsi="Book Antiqua" w:cs="Arial"/>
        </w:rPr>
      </w:pPr>
    </w:p>
    <w:p w:rsidR="00A15234" w:rsidRPr="00F5664C" w:rsidRDefault="00207617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</w:t>
      </w:r>
      <w:r w:rsidR="00A15234" w:rsidRPr="00F5664C">
        <w:rPr>
          <w:rFonts w:ascii="Book Antiqua" w:hAnsi="Book Antiqua" w:cs="Arial"/>
          <w:b/>
        </w:rPr>
        <w:t>re</w:t>
      </w:r>
    </w:p>
    <w:p w:rsidR="00A15234" w:rsidRPr="00F5664C" w:rsidRDefault="00A15234" w:rsidP="00A15234">
      <w:pPr>
        <w:jc w:val="center"/>
        <w:rPr>
          <w:rFonts w:ascii="Book Antiqua" w:hAnsi="Book Antiqua" w:cs="Arial"/>
          <w:b/>
        </w:rPr>
      </w:pPr>
    </w:p>
    <w:p w:rsidR="00A845DC" w:rsidRDefault="00155BA9" w:rsidP="00A15234">
      <w:pPr>
        <w:jc w:val="center"/>
        <w:rPr>
          <w:rFonts w:ascii="Book Antiqua" w:hAnsi="Book Antiqua" w:cs="Arial"/>
          <w:b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Book Antiqua" w:hAnsi="Book Antiqua" w:cs="Arial"/>
              <w:b/>
            </w:rPr>
            <w:t>UPPER TRIBUNAL</w:t>
          </w:r>
          <w:r w:rsidR="00B16F58" w:rsidRPr="00F5664C">
            <w:rPr>
              <w:rFonts w:ascii="Book Antiqua" w:hAnsi="Book Antiqua" w:cs="Arial"/>
              <w:b/>
            </w:rPr>
            <w:t xml:space="preserve"> JUDGE </w:t>
          </w:r>
          <w:r w:rsidR="008639DC">
            <w:rPr>
              <w:rFonts w:ascii="Book Antiqua" w:hAnsi="Book Antiqua" w:cs="Arial"/>
              <w:b/>
            </w:rPr>
            <w:t>LANE</w:t>
          </w:r>
        </w:smartTag>
      </w:smartTag>
    </w:p>
    <w:p w:rsidR="00B16F58" w:rsidRPr="00F5664C" w:rsidRDefault="00B16F58" w:rsidP="00A15234">
      <w:pPr>
        <w:jc w:val="center"/>
        <w:rPr>
          <w:rFonts w:ascii="Book Antiqua" w:hAnsi="Book Antiqua" w:cs="Arial"/>
          <w:b/>
        </w:rPr>
      </w:pP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:rsidR="00A845DC" w:rsidRPr="00F5664C" w:rsidRDefault="00A845DC" w:rsidP="00A15234">
      <w:pPr>
        <w:jc w:val="center"/>
        <w:rPr>
          <w:rFonts w:ascii="Book Antiqua" w:hAnsi="Book Antiqua" w:cs="Arial"/>
          <w:b/>
        </w:rPr>
      </w:pPr>
    </w:p>
    <w:p w:rsidR="00742A8D" w:rsidRDefault="00C340BB" w:rsidP="00742A8D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susiladevi kanapathy</w:t>
      </w:r>
    </w:p>
    <w:p w:rsidR="008508AD" w:rsidRPr="0027683E" w:rsidRDefault="008508AD" w:rsidP="008508AD">
      <w:pPr>
        <w:jc w:val="center"/>
        <w:rPr>
          <w:rFonts w:ascii="Book Antiqua" w:hAnsi="Book Antiqua" w:cs="Arial"/>
          <w:caps/>
        </w:rPr>
      </w:pPr>
      <w:r w:rsidRPr="0027683E">
        <w:rPr>
          <w:rFonts w:ascii="Book Antiqua" w:hAnsi="Book Antiqua" w:cs="Arial"/>
          <w:caps/>
        </w:rPr>
        <w:t xml:space="preserve">(ANONYMITY DIRECTION </w:t>
      </w:r>
      <w:r w:rsidR="0037685B" w:rsidRPr="0027683E">
        <w:rPr>
          <w:rFonts w:ascii="Book Antiqua" w:hAnsi="Book Antiqua" w:cs="Arial"/>
          <w:caps/>
        </w:rPr>
        <w:t>not made</w:t>
      </w:r>
      <w:r w:rsidRPr="0027683E">
        <w:rPr>
          <w:rFonts w:ascii="Book Antiqua" w:hAnsi="Book Antiqua" w:cs="Arial"/>
          <w:caps/>
        </w:rPr>
        <w:t>)</w:t>
      </w:r>
    </w:p>
    <w:p w:rsidR="00704B61" w:rsidRPr="00F5664C" w:rsidRDefault="00704B61" w:rsidP="00704B6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6D1DFA" w:rsidRPr="00F5664C" w:rsidRDefault="006D1DFA" w:rsidP="00704B61">
      <w:pPr>
        <w:jc w:val="center"/>
        <w:rPr>
          <w:rFonts w:ascii="Book Antiqua" w:hAnsi="Book Antiqua" w:cs="Arial"/>
          <w:b/>
        </w:rPr>
      </w:pP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27683E" w:rsidRPr="00F5664C" w:rsidRDefault="0027683E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E7DB7" w:rsidP="00DD5071">
      <w:pPr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:rsidR="00DE7DB7" w:rsidRPr="00F5664C" w:rsidRDefault="00DE7DB7" w:rsidP="00DD5071">
      <w:pPr>
        <w:rPr>
          <w:rFonts w:ascii="Book Antiqua" w:hAnsi="Book Antiqua" w:cs="Arial"/>
        </w:rPr>
      </w:pPr>
    </w:p>
    <w:p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4A1F1B">
        <w:rPr>
          <w:rFonts w:ascii="Book Antiqua" w:hAnsi="Book Antiqua" w:cs="Arial"/>
        </w:rPr>
        <w:t>A</w:t>
      </w:r>
      <w:r w:rsidRPr="00F5664C">
        <w:rPr>
          <w:rFonts w:ascii="Book Antiqua" w:hAnsi="Book Antiqua" w:cs="Arial"/>
        </w:rPr>
        <w:t>ppellant:</w:t>
      </w:r>
      <w:r w:rsidRPr="00F5664C">
        <w:rPr>
          <w:rFonts w:ascii="Book Antiqua" w:hAnsi="Book Antiqua" w:cs="Arial"/>
        </w:rPr>
        <w:tab/>
      </w:r>
      <w:r w:rsidR="00C340BB">
        <w:rPr>
          <w:rFonts w:ascii="Book Antiqua" w:hAnsi="Book Antiqua" w:cs="Arial"/>
        </w:rPr>
        <w:t>Mr Martin, instructed by Nag Law Solicitors</w:t>
      </w:r>
    </w:p>
    <w:p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 xml:space="preserve">For the </w:t>
      </w:r>
      <w:r w:rsidR="004A1F1B">
        <w:rPr>
          <w:rFonts w:ascii="Book Antiqua" w:hAnsi="Book Antiqua" w:cs="Arial"/>
        </w:rPr>
        <w:t>R</w:t>
      </w:r>
      <w:r w:rsidRPr="00F5664C">
        <w:rPr>
          <w:rFonts w:ascii="Book Antiqua" w:hAnsi="Book Antiqua" w:cs="Arial"/>
        </w:rPr>
        <w:t>espondent:</w:t>
      </w:r>
      <w:r w:rsidRPr="00F5664C">
        <w:rPr>
          <w:rFonts w:ascii="Book Antiqua" w:hAnsi="Book Antiqua" w:cs="Arial"/>
        </w:rPr>
        <w:tab/>
      </w:r>
      <w:r w:rsidR="00C340BB">
        <w:rPr>
          <w:rFonts w:ascii="Book Antiqua" w:hAnsi="Book Antiqua" w:cs="Arial"/>
        </w:rPr>
        <w:t xml:space="preserve">Mr </w:t>
      </w:r>
      <w:proofErr w:type="spellStart"/>
      <w:r w:rsidR="00C340BB">
        <w:rPr>
          <w:rFonts w:ascii="Book Antiqua" w:hAnsi="Book Antiqua" w:cs="Arial"/>
        </w:rPr>
        <w:t>Tufan</w:t>
      </w:r>
      <w:proofErr w:type="spellEnd"/>
      <w:r w:rsidR="00C340BB">
        <w:rPr>
          <w:rFonts w:ascii="Book Antiqua" w:hAnsi="Book Antiqua" w:cs="Arial"/>
        </w:rPr>
        <w:t xml:space="preserve">, Senior </w:t>
      </w:r>
      <w:r w:rsidR="00C340BB" w:rsidRPr="00C340BB">
        <w:rPr>
          <w:rFonts w:ascii="Book Antiqua" w:hAnsi="Book Antiqua" w:cs="Arial"/>
        </w:rPr>
        <w:t>Home Office Presenting Officer</w:t>
      </w:r>
    </w:p>
    <w:p w:rsidR="00DE7DB7" w:rsidRPr="00F5664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F5664C" w:rsidRDefault="008508AD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Pr="00F5664C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0F76DE" w:rsidRDefault="00C340BB" w:rsidP="000F76D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appellant, </w:t>
      </w:r>
      <w:proofErr w:type="spellStart"/>
      <w:r>
        <w:rPr>
          <w:rFonts w:ascii="Book Antiqua" w:hAnsi="Book Antiqua" w:cs="Arial"/>
        </w:rPr>
        <w:t>Susiladevi</w:t>
      </w:r>
      <w:proofErr w:type="spellEnd"/>
      <w:r>
        <w:rPr>
          <w:rFonts w:ascii="Book Antiqua" w:hAnsi="Book Antiqua" w:cs="Arial"/>
        </w:rPr>
        <w:t xml:space="preserve"> </w:t>
      </w:r>
      <w:proofErr w:type="spellStart"/>
      <w:r>
        <w:rPr>
          <w:rFonts w:ascii="Book Antiqua" w:hAnsi="Book Antiqua" w:cs="Arial"/>
        </w:rPr>
        <w:t>Kanapathy</w:t>
      </w:r>
      <w:proofErr w:type="spellEnd"/>
      <w:r w:rsidR="00D66F92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was born </w:t>
      </w:r>
      <w:r w:rsidR="00761B65">
        <w:rPr>
          <w:rFonts w:ascii="Book Antiqua" w:hAnsi="Book Antiqua" w:cs="Arial"/>
        </w:rPr>
        <w:t xml:space="preserve">on </w:t>
      </w:r>
      <w:r>
        <w:rPr>
          <w:rFonts w:ascii="Book Antiqua" w:hAnsi="Book Antiqua" w:cs="Arial"/>
        </w:rPr>
        <w:t xml:space="preserve">12 May 1977 and is a female citizen of Sri Lanka.  By a decision of the </w:t>
      </w:r>
      <w:r w:rsidRPr="00C340BB">
        <w:rPr>
          <w:rFonts w:ascii="Book Antiqua" w:hAnsi="Book Antiqua" w:cs="Arial"/>
        </w:rPr>
        <w:t xml:space="preserve">Secretary of State </w:t>
      </w:r>
      <w:r>
        <w:rPr>
          <w:rFonts w:ascii="Book Antiqua" w:hAnsi="Book Antiqua" w:cs="Arial"/>
        </w:rPr>
        <w:t xml:space="preserve">which was dated 17 September 2015, she was refused leave to remain in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Book Antiqua" w:hAnsi="Book Antiqua" w:cs="Arial"/>
            </w:rPr>
            <w:t>United Kingdom</w:t>
          </w:r>
        </w:smartTag>
      </w:smartTag>
      <w:r>
        <w:rPr>
          <w:rFonts w:ascii="Book Antiqua" w:hAnsi="Book Antiqua" w:cs="Arial"/>
        </w:rPr>
        <w:t xml:space="preserve"> on the basis of her family life (she is married to a British citizen).  She appealed to the First-tier Tribunal (Judge </w:t>
      </w:r>
      <w:proofErr w:type="spellStart"/>
      <w:r>
        <w:rPr>
          <w:rFonts w:ascii="Book Antiqua" w:hAnsi="Book Antiqua" w:cs="Arial"/>
        </w:rPr>
        <w:t>Buckwell</w:t>
      </w:r>
      <w:proofErr w:type="spellEnd"/>
      <w:r>
        <w:rPr>
          <w:rFonts w:ascii="Book Antiqua" w:hAnsi="Book Antiqua" w:cs="Arial"/>
        </w:rPr>
        <w:t>) which, in a decision promulgated on 11 May 2017, dismissed the appeal.  The appellant now appeals, with permission, to the Upper Tribunal.</w:t>
      </w:r>
      <w:r w:rsidR="00761B65">
        <w:rPr>
          <w:rFonts w:ascii="Book Antiqua" w:hAnsi="Book Antiqua" w:cs="Arial"/>
        </w:rPr>
        <w:t xml:space="preserve"> </w:t>
      </w:r>
    </w:p>
    <w:p w:rsidR="00C340BB" w:rsidRDefault="00C340BB" w:rsidP="000F76D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and her husband have a child (T) the appellant had entered the United Kingdom as a fianc</w:t>
      </w:r>
      <w:r w:rsidR="00761B65">
        <w:rPr>
          <w:rFonts w:ascii="Book Antiqua" w:hAnsi="Book Antiqua" w:cs="Arial"/>
        </w:rPr>
        <w:t>ée</w:t>
      </w:r>
      <w:r>
        <w:rPr>
          <w:rFonts w:ascii="Book Antiqua" w:hAnsi="Book Antiqua" w:cs="Arial"/>
        </w:rPr>
        <w:t xml:space="preserve"> in 2013 and had been refused further leave to remain in </w:t>
      </w:r>
      <w:r>
        <w:rPr>
          <w:rFonts w:ascii="Book Antiqua" w:hAnsi="Book Antiqua" w:cs="Arial"/>
        </w:rPr>
        <w:lastRenderedPageBreak/>
        <w:t>October 2013 and her subsequent appeal had been dismissed in February 20</w:t>
      </w:r>
      <w:bookmarkStart w:id="0" w:name="_GoBack"/>
      <w:bookmarkEnd w:id="0"/>
      <w:r>
        <w:rPr>
          <w:rFonts w:ascii="Book Antiqua" w:hAnsi="Book Antiqua" w:cs="Arial"/>
        </w:rPr>
        <w:t xml:space="preserve">15.  Thereafter, the appellant remained in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Book Antiqua" w:hAnsi="Book Antiqua" w:cs="Arial"/>
            </w:rPr>
            <w:t>United Kingdom</w:t>
          </w:r>
        </w:smartTag>
      </w:smartTag>
      <w:r>
        <w:rPr>
          <w:rFonts w:ascii="Book Antiqua" w:hAnsi="Book Antiqua" w:cs="Arial"/>
        </w:rPr>
        <w:t xml:space="preserve"> without leave.</w:t>
      </w:r>
    </w:p>
    <w:p w:rsidR="00C340BB" w:rsidRDefault="00C340BB" w:rsidP="000F76D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At the outset of the Upper Tribunal hearing, a preliminary point was raised.  Mr </w:t>
      </w:r>
      <w:proofErr w:type="spellStart"/>
      <w:r>
        <w:rPr>
          <w:rFonts w:ascii="Book Antiqua" w:hAnsi="Book Antiqua" w:cs="Arial"/>
        </w:rPr>
        <w:t>Tufan</w:t>
      </w:r>
      <w:proofErr w:type="spellEnd"/>
      <w:r>
        <w:rPr>
          <w:rFonts w:ascii="Book Antiqua" w:hAnsi="Book Antiqua" w:cs="Arial"/>
        </w:rPr>
        <w:t xml:space="preserve">, </w:t>
      </w:r>
      <w:r w:rsidR="00D66F92">
        <w:rPr>
          <w:rFonts w:ascii="Book Antiqua" w:hAnsi="Book Antiqua" w:cs="Arial"/>
        </w:rPr>
        <w:t xml:space="preserve">who </w:t>
      </w:r>
      <w:r>
        <w:rPr>
          <w:rFonts w:ascii="Book Antiqua" w:hAnsi="Book Antiqua" w:cs="Arial"/>
        </w:rPr>
        <w:t xml:space="preserve">appeared for the </w:t>
      </w:r>
      <w:r w:rsidRPr="00C340BB">
        <w:rPr>
          <w:rFonts w:ascii="Book Antiqua" w:hAnsi="Book Antiqua" w:cs="Arial"/>
        </w:rPr>
        <w:t>Secretary of State</w:t>
      </w:r>
      <w:r>
        <w:rPr>
          <w:rFonts w:ascii="Book Antiqua" w:hAnsi="Book Antiqua" w:cs="Arial"/>
        </w:rPr>
        <w:t>,</w:t>
      </w:r>
      <w:r w:rsidRPr="00C340BB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sought to rely on Section 85 of the </w:t>
      </w:r>
      <w:r w:rsidRPr="00C340BB">
        <w:rPr>
          <w:rFonts w:ascii="Book Antiqua" w:hAnsi="Book Antiqua" w:cs="Arial"/>
        </w:rPr>
        <w:t>Nationality, Immigration and Asylum Act 2002</w:t>
      </w:r>
      <w:r>
        <w:rPr>
          <w:rFonts w:ascii="Book Antiqua" w:hAnsi="Book Antiqua" w:cs="Arial"/>
        </w:rPr>
        <w:t xml:space="preserve"> (as amended):</w:t>
      </w:r>
    </w:p>
    <w:p w:rsidR="00D66F92" w:rsidRPr="00D66F92" w:rsidRDefault="00D66F92" w:rsidP="00D66F92">
      <w:pPr>
        <w:spacing w:before="240"/>
        <w:ind w:left="1134"/>
        <w:jc w:val="both"/>
        <w:rPr>
          <w:rFonts w:ascii="Book Antiqua" w:hAnsi="Book Antiqua" w:cs="Arial"/>
          <w:sz w:val="22"/>
          <w:szCs w:val="22"/>
        </w:rPr>
      </w:pPr>
      <w:r w:rsidRPr="00D66F92">
        <w:rPr>
          <w:rFonts w:ascii="Book Antiqua" w:hAnsi="Book Antiqua" w:cs="Arial"/>
          <w:sz w:val="22"/>
          <w:szCs w:val="22"/>
        </w:rPr>
        <w:t>85 Matters to be considered</w:t>
      </w:r>
    </w:p>
    <w:p w:rsidR="00D66F92" w:rsidRPr="00D66F92" w:rsidRDefault="00D66F92" w:rsidP="00D66F92">
      <w:pPr>
        <w:spacing w:before="240"/>
        <w:ind w:left="1134"/>
        <w:jc w:val="both"/>
        <w:rPr>
          <w:rFonts w:ascii="Book Antiqua" w:hAnsi="Book Antiqua" w:cs="Arial"/>
          <w:sz w:val="22"/>
          <w:szCs w:val="22"/>
        </w:rPr>
      </w:pPr>
      <w:r w:rsidRPr="00D66F92">
        <w:rPr>
          <w:rFonts w:ascii="Book Antiqua" w:hAnsi="Book Antiqua" w:cs="Arial"/>
          <w:sz w:val="22"/>
          <w:szCs w:val="22"/>
        </w:rPr>
        <w:t>(1)</w:t>
      </w:r>
      <w:r>
        <w:rPr>
          <w:rFonts w:ascii="Book Antiqua" w:hAnsi="Book Antiqua" w:cs="Arial"/>
          <w:sz w:val="22"/>
          <w:szCs w:val="22"/>
        </w:rPr>
        <w:t xml:space="preserve"> </w:t>
      </w:r>
      <w:r w:rsidRPr="00D66F92">
        <w:rPr>
          <w:rFonts w:ascii="Book Antiqua" w:hAnsi="Book Antiqua" w:cs="Arial"/>
          <w:sz w:val="22"/>
          <w:szCs w:val="22"/>
        </w:rPr>
        <w:t xml:space="preserve">An appeal under section 82(1) against a </w:t>
      </w:r>
      <w:r>
        <w:rPr>
          <w:rFonts w:ascii="Book Antiqua" w:hAnsi="Book Antiqua" w:cs="Arial"/>
          <w:sz w:val="22"/>
          <w:szCs w:val="22"/>
        </w:rPr>
        <w:t xml:space="preserve">decision shall be treated by the Tribunal </w:t>
      </w:r>
      <w:r w:rsidRPr="00D66F92">
        <w:rPr>
          <w:rFonts w:ascii="Book Antiqua" w:hAnsi="Book Antiqua" w:cs="Arial"/>
          <w:sz w:val="22"/>
          <w:szCs w:val="22"/>
        </w:rPr>
        <w:t>as including an appeal against any decision in respect of which the appellant has a right of appeal under section 82(1).</w:t>
      </w:r>
    </w:p>
    <w:p w:rsidR="00D66F92" w:rsidRPr="00D66F92" w:rsidRDefault="00D66F92" w:rsidP="00D66F92">
      <w:pPr>
        <w:spacing w:before="240"/>
        <w:ind w:left="1134"/>
        <w:jc w:val="both"/>
        <w:rPr>
          <w:rFonts w:ascii="Book Antiqua" w:hAnsi="Book Antiqua" w:cs="Arial"/>
          <w:sz w:val="22"/>
          <w:szCs w:val="22"/>
        </w:rPr>
      </w:pPr>
      <w:r w:rsidRPr="00D66F92">
        <w:rPr>
          <w:rFonts w:ascii="Book Antiqua" w:hAnsi="Book Antiqua" w:cs="Arial"/>
          <w:sz w:val="22"/>
          <w:szCs w:val="22"/>
        </w:rPr>
        <w:t>(2)</w:t>
      </w:r>
      <w:r>
        <w:rPr>
          <w:rFonts w:ascii="Book Antiqua" w:hAnsi="Book Antiqua" w:cs="Arial"/>
          <w:sz w:val="22"/>
          <w:szCs w:val="22"/>
        </w:rPr>
        <w:t xml:space="preserve"> </w:t>
      </w:r>
      <w:r w:rsidRPr="00D66F92">
        <w:rPr>
          <w:rFonts w:ascii="Book Antiqua" w:hAnsi="Book Antiqua" w:cs="Arial"/>
          <w:sz w:val="22"/>
          <w:szCs w:val="22"/>
        </w:rPr>
        <w:t xml:space="preserve">If an appellant under section 82(1) makes a </w:t>
      </w:r>
      <w:r>
        <w:rPr>
          <w:rFonts w:ascii="Book Antiqua" w:hAnsi="Book Antiqua" w:cs="Arial"/>
          <w:sz w:val="22"/>
          <w:szCs w:val="22"/>
        </w:rPr>
        <w:t>statement under section 120, the Tribunal</w:t>
      </w:r>
      <w:r w:rsidRPr="00D66F92">
        <w:rPr>
          <w:rFonts w:ascii="Book Antiqua" w:hAnsi="Book Antiqua" w:cs="Arial"/>
          <w:sz w:val="22"/>
          <w:szCs w:val="22"/>
        </w:rPr>
        <w:t xml:space="preserve"> shall consider any matter raised in the statement which constitutes a ground of appeal of a kind listed in section 84(1) against the decision appealed against.</w:t>
      </w:r>
    </w:p>
    <w:p w:rsidR="00D66F92" w:rsidRPr="00D66F92" w:rsidRDefault="00D66F92" w:rsidP="00D66F92">
      <w:pPr>
        <w:spacing w:before="240"/>
        <w:ind w:left="1134"/>
        <w:jc w:val="both"/>
        <w:rPr>
          <w:rFonts w:ascii="Book Antiqua" w:hAnsi="Book Antiqua" w:cs="Arial"/>
          <w:sz w:val="22"/>
          <w:szCs w:val="22"/>
        </w:rPr>
      </w:pPr>
      <w:r w:rsidRPr="00D66F92">
        <w:rPr>
          <w:rFonts w:ascii="Book Antiqua" w:hAnsi="Book Antiqua" w:cs="Arial"/>
          <w:sz w:val="22"/>
          <w:szCs w:val="22"/>
        </w:rPr>
        <w:t>(3)</w:t>
      </w:r>
      <w:r>
        <w:rPr>
          <w:rFonts w:ascii="Book Antiqua" w:hAnsi="Book Antiqua" w:cs="Arial"/>
          <w:sz w:val="22"/>
          <w:szCs w:val="22"/>
        </w:rPr>
        <w:t xml:space="preserve"> </w:t>
      </w:r>
      <w:r w:rsidRPr="00D66F92">
        <w:rPr>
          <w:rFonts w:ascii="Book Antiqua" w:hAnsi="Book Antiqua" w:cs="Arial"/>
          <w:sz w:val="22"/>
          <w:szCs w:val="22"/>
        </w:rPr>
        <w:t>Subsection (2) applies to a statement made under section 120 whether the statement was made before or after the appeal was commenced.</w:t>
      </w:r>
    </w:p>
    <w:p w:rsidR="00D66F92" w:rsidRPr="00D66F92" w:rsidRDefault="00D66F92" w:rsidP="00D66F92">
      <w:pPr>
        <w:spacing w:before="240"/>
        <w:ind w:left="1134"/>
        <w:jc w:val="both"/>
        <w:rPr>
          <w:rFonts w:ascii="Book Antiqua" w:hAnsi="Book Antiqua" w:cs="Arial"/>
          <w:sz w:val="22"/>
          <w:szCs w:val="22"/>
        </w:rPr>
      </w:pPr>
      <w:r w:rsidRPr="00D66F92">
        <w:rPr>
          <w:rFonts w:ascii="Book Antiqua" w:hAnsi="Book Antiqua" w:cs="Arial"/>
          <w:sz w:val="22"/>
          <w:szCs w:val="22"/>
        </w:rPr>
        <w:t>(4)</w:t>
      </w:r>
      <w:r>
        <w:rPr>
          <w:rFonts w:ascii="Book Antiqua" w:hAnsi="Book Antiqua" w:cs="Arial"/>
          <w:sz w:val="22"/>
          <w:szCs w:val="22"/>
        </w:rPr>
        <w:t xml:space="preserve"> </w:t>
      </w:r>
      <w:r w:rsidRPr="00D66F92">
        <w:rPr>
          <w:rFonts w:ascii="Book Antiqua" w:hAnsi="Book Antiqua" w:cs="Arial"/>
          <w:sz w:val="22"/>
          <w:szCs w:val="22"/>
        </w:rPr>
        <w:t>On an</w:t>
      </w:r>
      <w:r>
        <w:rPr>
          <w:rFonts w:ascii="Book Antiqua" w:hAnsi="Book Antiqua" w:cs="Arial"/>
          <w:sz w:val="22"/>
          <w:szCs w:val="22"/>
        </w:rPr>
        <w:t xml:space="preserve"> appeal under section 82(1) 83(2) or 83A(2) against a decision the Tribunal </w:t>
      </w:r>
      <w:r w:rsidRPr="00D66F92">
        <w:rPr>
          <w:rFonts w:ascii="Book Antiqua" w:hAnsi="Book Antiqua" w:cs="Arial"/>
          <w:sz w:val="22"/>
          <w:szCs w:val="22"/>
        </w:rPr>
        <w:t>may consider evi</w:t>
      </w:r>
      <w:r>
        <w:rPr>
          <w:rFonts w:ascii="Book Antiqua" w:hAnsi="Book Antiqua" w:cs="Arial"/>
          <w:sz w:val="22"/>
          <w:szCs w:val="22"/>
        </w:rPr>
        <w:t>dence about any matter which it</w:t>
      </w:r>
      <w:r w:rsidRPr="00D66F92">
        <w:rPr>
          <w:rFonts w:ascii="Book Antiqua" w:hAnsi="Book Antiqua" w:cs="Arial"/>
          <w:sz w:val="22"/>
          <w:szCs w:val="22"/>
        </w:rPr>
        <w:t xml:space="preserve"> thinks relevant to the substance of the decision, including evidence which concerns a matter arising after the date of the decision.</w:t>
      </w:r>
    </w:p>
    <w:p w:rsidR="00D66F92" w:rsidRPr="00D66F92" w:rsidRDefault="00D66F92" w:rsidP="00D66F92">
      <w:pPr>
        <w:spacing w:before="240"/>
        <w:ind w:left="1134"/>
        <w:jc w:val="both"/>
        <w:rPr>
          <w:rFonts w:ascii="Book Antiqua" w:hAnsi="Book Antiqua" w:cs="Arial"/>
          <w:sz w:val="22"/>
          <w:szCs w:val="22"/>
        </w:rPr>
      </w:pPr>
      <w:r w:rsidRPr="00D66F92">
        <w:rPr>
          <w:rFonts w:ascii="Book Antiqua" w:hAnsi="Book Antiqua" w:cs="Arial"/>
          <w:sz w:val="22"/>
          <w:szCs w:val="22"/>
        </w:rPr>
        <w:t>(5)</w:t>
      </w:r>
      <w:r>
        <w:rPr>
          <w:rFonts w:ascii="Book Antiqua" w:hAnsi="Book Antiqua" w:cs="Arial"/>
          <w:sz w:val="22"/>
          <w:szCs w:val="22"/>
        </w:rPr>
        <w:t xml:space="preserve"> </w:t>
      </w:r>
      <w:r w:rsidRPr="00D66F92">
        <w:rPr>
          <w:rFonts w:ascii="Book Antiqua" w:hAnsi="Book Antiqua" w:cs="Arial"/>
          <w:sz w:val="22"/>
          <w:szCs w:val="22"/>
        </w:rPr>
        <w:t>But in relation to an appeal under section 82(1) against refusal of entry clearance or refusal of a certificate of entitlement under section 10—</w:t>
      </w:r>
    </w:p>
    <w:p w:rsidR="00D66F92" w:rsidRPr="00D66F92" w:rsidRDefault="00D66F92" w:rsidP="00D66F92">
      <w:pPr>
        <w:spacing w:before="240"/>
        <w:ind w:left="1134"/>
        <w:jc w:val="both"/>
        <w:rPr>
          <w:rFonts w:ascii="Book Antiqua" w:hAnsi="Book Antiqua" w:cs="Arial"/>
          <w:sz w:val="22"/>
          <w:szCs w:val="22"/>
        </w:rPr>
      </w:pPr>
      <w:r w:rsidRPr="00D66F92">
        <w:rPr>
          <w:rFonts w:ascii="Book Antiqua" w:hAnsi="Book Antiqua" w:cs="Arial"/>
          <w:sz w:val="22"/>
          <w:szCs w:val="22"/>
        </w:rPr>
        <w:t>(a)</w:t>
      </w:r>
      <w:r>
        <w:rPr>
          <w:rFonts w:ascii="Book Antiqua" w:hAnsi="Book Antiqua" w:cs="Arial"/>
          <w:sz w:val="22"/>
          <w:szCs w:val="22"/>
        </w:rPr>
        <w:t xml:space="preserve"> </w:t>
      </w:r>
      <w:r w:rsidRPr="00D66F92">
        <w:rPr>
          <w:rFonts w:ascii="Book Antiqua" w:hAnsi="Book Antiqua" w:cs="Arial"/>
          <w:sz w:val="22"/>
          <w:szCs w:val="22"/>
        </w:rPr>
        <w:t>subsection (4) shall not apply, and</w:t>
      </w:r>
    </w:p>
    <w:p w:rsidR="00C340BB" w:rsidRPr="00761B65" w:rsidRDefault="00D66F92" w:rsidP="00D66F92">
      <w:pPr>
        <w:spacing w:before="240"/>
        <w:ind w:left="1134"/>
        <w:jc w:val="both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 xml:space="preserve">(b) the Tribunal </w:t>
      </w:r>
      <w:r w:rsidRPr="00D66F92">
        <w:rPr>
          <w:rFonts w:ascii="Book Antiqua" w:hAnsi="Book Antiqua" w:cs="Arial"/>
          <w:sz w:val="22"/>
          <w:szCs w:val="22"/>
        </w:rPr>
        <w:t>may consider only the circumstances appertaining at the time of the decision to refuse.</w:t>
      </w:r>
    </w:p>
    <w:p w:rsidR="00C340BB" w:rsidRDefault="00C340BB" w:rsidP="000F76D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Mr </w:t>
      </w:r>
      <w:proofErr w:type="spellStart"/>
      <w:r>
        <w:rPr>
          <w:rFonts w:ascii="Book Antiqua" w:hAnsi="Book Antiqua" w:cs="Arial"/>
        </w:rPr>
        <w:t>Tufan</w:t>
      </w:r>
      <w:proofErr w:type="spellEnd"/>
      <w:r>
        <w:rPr>
          <w:rFonts w:ascii="Book Antiqua" w:hAnsi="Book Antiqua" w:cs="Arial"/>
        </w:rPr>
        <w:t xml:space="preserve"> submi</w:t>
      </w:r>
      <w:r w:rsidR="00D66F92">
        <w:rPr>
          <w:rFonts w:ascii="Book Antiqua" w:hAnsi="Book Antiqua" w:cs="Arial"/>
        </w:rPr>
        <w:t>tted that the birth of T was a new matter</w:t>
      </w:r>
      <w:r>
        <w:rPr>
          <w:rFonts w:ascii="Book Antiqua" w:hAnsi="Book Antiqua" w:cs="Arial"/>
        </w:rPr>
        <w:t xml:space="preserve"> </w:t>
      </w:r>
      <w:r w:rsidR="00761B65">
        <w:rPr>
          <w:rFonts w:ascii="Book Antiqua" w:hAnsi="Book Antiqua" w:cs="Arial"/>
        </w:rPr>
        <w:t>o</w:t>
      </w:r>
      <w:r>
        <w:rPr>
          <w:rFonts w:ascii="Book Antiqua" w:hAnsi="Book Antiqua" w:cs="Arial"/>
        </w:rPr>
        <w:t xml:space="preserve">f which the Secretary of State had not been given proper notice which the First-tier Tribunal should not have considered without the Secretary of State having consented to it doing so.  I do not find Mr </w:t>
      </w:r>
      <w:proofErr w:type="spellStart"/>
      <w:r>
        <w:rPr>
          <w:rFonts w:ascii="Book Antiqua" w:hAnsi="Book Antiqua" w:cs="Arial"/>
        </w:rPr>
        <w:t>Tufan’s</w:t>
      </w:r>
      <w:proofErr w:type="spellEnd"/>
      <w:r>
        <w:rPr>
          <w:rFonts w:ascii="Book Antiqua" w:hAnsi="Book Antiqua" w:cs="Arial"/>
        </w:rPr>
        <w:t xml:space="preserve"> submission persuasive.  Section 85 had not been </w:t>
      </w:r>
      <w:r w:rsidR="00D66F92">
        <w:rPr>
          <w:rFonts w:ascii="Book Antiqua" w:hAnsi="Book Antiqua" w:cs="Arial"/>
        </w:rPr>
        <w:t>raised</w:t>
      </w:r>
      <w:r>
        <w:rPr>
          <w:rFonts w:ascii="Book Antiqua" w:hAnsi="Book Antiqua" w:cs="Arial"/>
        </w:rPr>
        <w:t xml:space="preserve"> before the First-tier Tribunal and the Presenting Officer there (Mr G Jones) plainly proceeded to represent the Secretary of State on the basis that the existence of T would be considered in the appeal.</w:t>
      </w:r>
    </w:p>
    <w:p w:rsidR="00C340BB" w:rsidRDefault="00C340BB" w:rsidP="000F76D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Thereafter, I was significantly assisted by Mr </w:t>
      </w:r>
      <w:proofErr w:type="spellStart"/>
      <w:r>
        <w:rPr>
          <w:rFonts w:ascii="Book Antiqua" w:hAnsi="Book Antiqua" w:cs="Arial"/>
        </w:rPr>
        <w:t>Tufan</w:t>
      </w:r>
      <w:proofErr w:type="spellEnd"/>
      <w:r>
        <w:rPr>
          <w:rFonts w:ascii="Book Antiqua" w:hAnsi="Book Antiqua" w:cs="Arial"/>
        </w:rPr>
        <w:t xml:space="preserve"> who told me that, in the light of the birth of T, a British citizen, and given also the decision of the Upper Tribunal in </w:t>
      </w:r>
      <w:r w:rsidR="00D66F92">
        <w:rPr>
          <w:rFonts w:ascii="Book Antiqua" w:hAnsi="Book Antiqua" w:cs="Arial"/>
          <w:i/>
        </w:rPr>
        <w:t>SF and others (Guidance, post-2014 Act) Albania [2017] UKUT 120(IAC)</w:t>
      </w:r>
      <w:r>
        <w:rPr>
          <w:rFonts w:ascii="Book Antiqua" w:hAnsi="Book Antiqua" w:cs="Arial"/>
        </w:rPr>
        <w:t xml:space="preserve"> and, indeed, the respondent’s own policy, he made no submissions supporting Judge </w:t>
      </w:r>
      <w:proofErr w:type="spellStart"/>
      <w:r>
        <w:rPr>
          <w:rFonts w:ascii="Book Antiqua" w:hAnsi="Book Antiqua" w:cs="Arial"/>
        </w:rPr>
        <w:t>Buckwell’s</w:t>
      </w:r>
      <w:proofErr w:type="spellEnd"/>
      <w:r>
        <w:rPr>
          <w:rFonts w:ascii="Book Antiqua" w:hAnsi="Book Antiqua" w:cs="Arial"/>
        </w:rPr>
        <w:t xml:space="preserve"> decision.</w:t>
      </w:r>
    </w:p>
    <w:p w:rsidR="00C340BB" w:rsidRDefault="00C340BB" w:rsidP="000F76D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Judge </w:t>
      </w:r>
      <w:proofErr w:type="spellStart"/>
      <w:r>
        <w:rPr>
          <w:rFonts w:ascii="Book Antiqua" w:hAnsi="Book Antiqua" w:cs="Arial"/>
        </w:rPr>
        <w:t>Buckwell</w:t>
      </w:r>
      <w:proofErr w:type="spellEnd"/>
      <w:r>
        <w:rPr>
          <w:rFonts w:ascii="Book Antiqua" w:hAnsi="Book Antiqua" w:cs="Arial"/>
        </w:rPr>
        <w:t xml:space="preserve"> has considered at considerably length the previous appeal proceedings in the light of </w:t>
      </w:r>
      <w:proofErr w:type="spellStart"/>
      <w:r w:rsidRPr="00C340BB">
        <w:rPr>
          <w:rFonts w:ascii="Book Antiqua" w:hAnsi="Book Antiqua" w:cs="Arial"/>
          <w:i/>
        </w:rPr>
        <w:t>Devaseelan</w:t>
      </w:r>
      <w:proofErr w:type="spellEnd"/>
      <w:r>
        <w:rPr>
          <w:rFonts w:ascii="Book Antiqua" w:hAnsi="Book Antiqua" w:cs="Arial"/>
        </w:rPr>
        <w:t xml:space="preserve"> [2002] UKIAT 702 </w:t>
      </w:r>
      <w:r w:rsidR="00761B65">
        <w:rPr>
          <w:rFonts w:ascii="Book Antiqua" w:hAnsi="Book Antiqua" w:cs="Arial"/>
        </w:rPr>
        <w:t xml:space="preserve">at </w:t>
      </w:r>
      <w:r>
        <w:rPr>
          <w:rFonts w:ascii="Book Antiqua" w:hAnsi="Book Antiqua" w:cs="Arial"/>
        </w:rPr>
        <w:t>[48].</w:t>
      </w:r>
      <w:r w:rsidR="003A4FA8">
        <w:rPr>
          <w:rFonts w:ascii="Book Antiqua" w:hAnsi="Book Antiqua" w:cs="Arial"/>
        </w:rPr>
        <w:t xml:space="preserve">  At [53] Judge </w:t>
      </w:r>
      <w:proofErr w:type="spellStart"/>
      <w:r w:rsidR="003A4FA8">
        <w:rPr>
          <w:rFonts w:ascii="Book Antiqua" w:hAnsi="Book Antiqua" w:cs="Arial"/>
        </w:rPr>
        <w:t>Buckwell</w:t>
      </w:r>
      <w:proofErr w:type="spellEnd"/>
      <w:r w:rsidR="003A4FA8">
        <w:rPr>
          <w:rFonts w:ascii="Book Antiqua" w:hAnsi="Book Antiqua" w:cs="Arial"/>
        </w:rPr>
        <w:t xml:space="preserve"> considered that the birth of T was the only circumstance which differed from those before the previous Tribunal which had dismissed the appellant’s appeal.  </w:t>
      </w:r>
      <w:r w:rsidR="003A4FA8">
        <w:rPr>
          <w:rFonts w:ascii="Book Antiqua" w:hAnsi="Book Antiqua" w:cs="Arial"/>
        </w:rPr>
        <w:lastRenderedPageBreak/>
        <w:t xml:space="preserve">The judge refers </w:t>
      </w:r>
      <w:r w:rsidR="00761B65">
        <w:rPr>
          <w:rFonts w:ascii="Book Antiqua" w:hAnsi="Book Antiqua" w:cs="Arial"/>
        </w:rPr>
        <w:t xml:space="preserve">at </w:t>
      </w:r>
      <w:r w:rsidR="003A4FA8">
        <w:rPr>
          <w:rFonts w:ascii="Book Antiqua" w:hAnsi="Book Antiqua" w:cs="Arial"/>
        </w:rPr>
        <w:t>[51] to Section 117 of the 2002 Act (as amended) but, significantly, makes no mention of Section 117B(6):</w:t>
      </w:r>
    </w:p>
    <w:p w:rsidR="00D66F92" w:rsidRPr="00D66F92" w:rsidRDefault="00D66F92" w:rsidP="00D66F92">
      <w:pPr>
        <w:spacing w:before="240"/>
        <w:ind w:left="1134"/>
        <w:jc w:val="both"/>
        <w:rPr>
          <w:rFonts w:ascii="Book Antiqua" w:hAnsi="Book Antiqua" w:cs="Arial"/>
          <w:sz w:val="22"/>
          <w:szCs w:val="22"/>
        </w:rPr>
      </w:pPr>
      <w:r w:rsidRPr="00D66F92">
        <w:rPr>
          <w:rFonts w:ascii="Book Antiqua" w:hAnsi="Book Antiqua" w:cs="Arial"/>
          <w:sz w:val="22"/>
          <w:szCs w:val="22"/>
        </w:rPr>
        <w:t>(6) In the case of a person who is not liable to deportation, the public interest does not require the person’s removal where—</w:t>
      </w:r>
    </w:p>
    <w:p w:rsidR="00D66F92" w:rsidRPr="00D66F92" w:rsidRDefault="00D66F92" w:rsidP="00D66F92">
      <w:pPr>
        <w:spacing w:before="240"/>
        <w:ind w:left="1134"/>
        <w:jc w:val="both"/>
        <w:rPr>
          <w:rFonts w:ascii="Book Antiqua" w:hAnsi="Book Antiqua" w:cs="Arial"/>
          <w:sz w:val="22"/>
          <w:szCs w:val="22"/>
        </w:rPr>
      </w:pPr>
      <w:r w:rsidRPr="00D66F92">
        <w:rPr>
          <w:rFonts w:ascii="Book Antiqua" w:hAnsi="Book Antiqua" w:cs="Arial"/>
          <w:sz w:val="22"/>
          <w:szCs w:val="22"/>
        </w:rPr>
        <w:t>(a) the person has a genuine and subsisting parental relationship with a qualifying child, and</w:t>
      </w:r>
    </w:p>
    <w:p w:rsidR="00D66F92" w:rsidRPr="00D66F92" w:rsidRDefault="00D66F92" w:rsidP="00D66F92">
      <w:pPr>
        <w:spacing w:before="240"/>
        <w:ind w:left="1134"/>
        <w:jc w:val="both"/>
        <w:rPr>
          <w:rFonts w:ascii="Book Antiqua" w:hAnsi="Book Antiqua" w:cs="Arial"/>
          <w:sz w:val="22"/>
          <w:szCs w:val="22"/>
        </w:rPr>
      </w:pPr>
      <w:r w:rsidRPr="00D66F92">
        <w:rPr>
          <w:rFonts w:ascii="Book Antiqua" w:hAnsi="Book Antiqua" w:cs="Arial"/>
          <w:sz w:val="22"/>
          <w:szCs w:val="22"/>
        </w:rPr>
        <w:t>(b) it would not be reasonable to expect the child to leave the United Kingdom</w:t>
      </w:r>
    </w:p>
    <w:p w:rsidR="003A4FA8" w:rsidRDefault="00D66F92" w:rsidP="00D66F92">
      <w:pPr>
        <w:spacing w:before="240"/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Although</w:t>
      </w:r>
      <w:r w:rsidR="00761B65">
        <w:rPr>
          <w:rFonts w:ascii="Book Antiqua" w:hAnsi="Book Antiqua" w:cs="Arial"/>
        </w:rPr>
        <w:t xml:space="preserve"> the judge found that there were no insurmountable obstacles to the family returning home to Sri Lanka</w:t>
      </w:r>
      <w:r>
        <w:rPr>
          <w:rFonts w:ascii="Book Antiqua" w:hAnsi="Book Antiqua" w:cs="Arial"/>
        </w:rPr>
        <w:t>, he has ignored the fact that</w:t>
      </w:r>
      <w:r w:rsidR="00761B65">
        <w:rPr>
          <w:rFonts w:ascii="Book Antiqua" w:hAnsi="Book Antiqua" w:cs="Arial"/>
        </w:rPr>
        <w:t xml:space="preserve"> statute provides that it is not in the public interest for the family to be separated subject to Section 117B(6), a point re-endorsed by the </w:t>
      </w:r>
      <w:r w:rsidR="00761B65" w:rsidRPr="00761B65">
        <w:rPr>
          <w:rFonts w:ascii="Book Antiqua" w:hAnsi="Book Antiqua" w:cs="Arial"/>
        </w:rPr>
        <w:t>Secretary of State</w:t>
      </w:r>
      <w:r w:rsidR="00761B65">
        <w:rPr>
          <w:rFonts w:ascii="Book Antiqua" w:hAnsi="Book Antiqua" w:cs="Arial"/>
        </w:rPr>
        <w:t>’s own policy (Immigration Directorate</w:t>
      </w:r>
      <w:r>
        <w:rPr>
          <w:rFonts w:ascii="Book Antiqua" w:hAnsi="Book Antiqua" w:cs="Arial"/>
        </w:rPr>
        <w:t xml:space="preserve"> Instruction Family Migration: Family L</w:t>
      </w:r>
      <w:r w:rsidR="00761B65">
        <w:rPr>
          <w:rFonts w:ascii="Book Antiqua" w:hAnsi="Book Antiqua" w:cs="Arial"/>
        </w:rPr>
        <w:t>ife (as a partner</w:t>
      </w:r>
      <w:r w:rsidR="00761B65" w:rsidRPr="00761B65">
        <w:rPr>
          <w:rFonts w:ascii="Book Antiqua" w:hAnsi="Book Antiqua" w:cs="Arial"/>
        </w:rPr>
        <w:t xml:space="preserve"> </w:t>
      </w:r>
      <w:r w:rsidR="00761B65">
        <w:rPr>
          <w:rFonts w:ascii="Book Antiqua" w:hAnsi="Book Antiqua" w:cs="Arial"/>
        </w:rPr>
        <w:t>or parent): August 2015</w:t>
      </w:r>
      <w:r w:rsidR="00482EEC">
        <w:rPr>
          <w:rFonts w:ascii="Book Antiqua" w:hAnsi="Book Antiqua" w:cs="Arial"/>
        </w:rPr>
        <w:t>)</w:t>
      </w:r>
      <w:r w:rsidR="00761B65">
        <w:rPr>
          <w:rFonts w:ascii="Book Antiqua" w:hAnsi="Book Antiqua" w:cs="Arial"/>
        </w:rPr>
        <w:t>.</w:t>
      </w:r>
    </w:p>
    <w:p w:rsidR="00761B65" w:rsidRPr="00761B65" w:rsidRDefault="00761B65" w:rsidP="000F76DE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</w:rPr>
        <w:t xml:space="preserve">In the circumstances, in particular in the light of Mr </w:t>
      </w:r>
      <w:proofErr w:type="spellStart"/>
      <w:r>
        <w:rPr>
          <w:rFonts w:ascii="Book Antiqua" w:hAnsi="Book Antiqua" w:cs="Arial"/>
        </w:rPr>
        <w:t>Tufan’s</w:t>
      </w:r>
      <w:proofErr w:type="spellEnd"/>
      <w:r>
        <w:rPr>
          <w:rFonts w:ascii="Book Antiqua" w:hAnsi="Book Antiqua" w:cs="Arial"/>
        </w:rPr>
        <w:t xml:space="preserve"> helpful submission, I set aside Judge </w:t>
      </w:r>
      <w:proofErr w:type="spellStart"/>
      <w:r>
        <w:rPr>
          <w:rFonts w:ascii="Book Antiqua" w:hAnsi="Book Antiqua" w:cs="Arial"/>
        </w:rPr>
        <w:t>Buckwell’s</w:t>
      </w:r>
      <w:proofErr w:type="spellEnd"/>
      <w:r>
        <w:rPr>
          <w:rFonts w:ascii="Book Antiqua" w:hAnsi="Book Antiqua" w:cs="Arial"/>
        </w:rPr>
        <w:t xml:space="preserve"> decision.  I have remade the decision.  The appellant’s appeal is allowed on Article 8 ECHR grounds.</w:t>
      </w:r>
    </w:p>
    <w:p w:rsidR="00761B65" w:rsidRDefault="00761B65" w:rsidP="00761B65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761B65" w:rsidRPr="00761B65" w:rsidRDefault="008508AD" w:rsidP="00761B65">
      <w:pPr>
        <w:spacing w:before="240"/>
        <w:jc w:val="both"/>
        <w:rPr>
          <w:rFonts w:ascii="Book Antiqua" w:hAnsi="Book Antiqua" w:cs="Arial"/>
        </w:rPr>
      </w:pPr>
      <w:r w:rsidRPr="008508AD">
        <w:rPr>
          <w:rFonts w:ascii="Book Antiqua" w:hAnsi="Book Antiqua" w:cs="Arial"/>
          <w:b/>
          <w:u w:val="single"/>
        </w:rPr>
        <w:t>Notice of Decision</w:t>
      </w:r>
    </w:p>
    <w:p w:rsidR="00761B65" w:rsidRDefault="00761B65" w:rsidP="00761B6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decision of the First-tier Tribunal which was promulgated on 11 May 2017 is set aside.  I remake the decision.  The appellant’s appeal against the decision of the respondent dated 17 September 2015 is allowed on human rights grounds (Article 8 ECHR).</w:t>
      </w:r>
    </w:p>
    <w:p w:rsidR="008508AD" w:rsidRPr="008508AD" w:rsidRDefault="008508AD" w:rsidP="00761B65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 w:rsidRPr="008508AD">
        <w:rPr>
          <w:rFonts w:ascii="Book Antiqua" w:hAnsi="Book Antiqua" w:cs="Arial"/>
        </w:rPr>
        <w:t>No anonymity direction is made.</w:t>
      </w:r>
    </w:p>
    <w:p w:rsidR="008508AD" w:rsidRPr="008508AD" w:rsidRDefault="008508AD" w:rsidP="008508AD">
      <w:pPr>
        <w:jc w:val="both"/>
        <w:rPr>
          <w:rFonts w:ascii="Book Antiqua" w:hAnsi="Book Antiqua" w:cs="Arial"/>
        </w:rPr>
      </w:pPr>
    </w:p>
    <w:p w:rsidR="008508AD" w:rsidRPr="00687601" w:rsidRDefault="008508AD" w:rsidP="008508AD">
      <w:pPr>
        <w:jc w:val="both"/>
        <w:rPr>
          <w:rFonts w:ascii="Book Antiqua" w:hAnsi="Book Antiqua" w:cs="Arial"/>
        </w:rPr>
      </w:pPr>
    </w:p>
    <w:p w:rsidR="00842418" w:rsidRPr="00F5664C" w:rsidRDefault="00842418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0369F5" w:rsidRPr="00F5664C" w:rsidRDefault="000369F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0369F5" w:rsidRPr="00F5664C" w:rsidRDefault="000369F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0369F5" w:rsidRPr="00F5664C" w:rsidRDefault="000369F5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1F2716" w:rsidRDefault="006E3C90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="001F2716" w:rsidRPr="00F5664C">
        <w:rPr>
          <w:rFonts w:ascii="Book Antiqua" w:hAnsi="Book Antiqua" w:cs="Arial"/>
        </w:rPr>
        <w:t>Date</w:t>
      </w:r>
      <w:r w:rsidR="00D70775">
        <w:rPr>
          <w:rFonts w:ascii="Book Antiqua" w:hAnsi="Book Antiqua" w:cs="Arial"/>
        </w:rPr>
        <w:t xml:space="preserve"> </w:t>
      </w:r>
      <w:r w:rsidR="000C0F2E">
        <w:rPr>
          <w:rFonts w:ascii="Book Antiqua" w:hAnsi="Book Antiqua" w:cs="Arial"/>
        </w:rPr>
        <w:t>4 MAY 2018</w:t>
      </w:r>
    </w:p>
    <w:p w:rsidR="00F60D99" w:rsidRPr="00F5664C" w:rsidRDefault="00F60D9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1F2716" w:rsidRPr="00F5664C" w:rsidRDefault="001F2716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8508AD" w:rsidRDefault="00155BA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Book Antiqua" w:hAnsi="Book Antiqua" w:cs="Arial"/>
            </w:rPr>
            <w:t>Upper Tribunal</w:t>
          </w:r>
          <w:r w:rsidR="00AC5CF6" w:rsidRPr="00F5664C">
            <w:rPr>
              <w:rFonts w:ascii="Book Antiqua" w:hAnsi="Book Antiqua" w:cs="Arial"/>
            </w:rPr>
            <w:t xml:space="preserve"> Judge</w:t>
          </w:r>
          <w:r w:rsidR="00B16F58" w:rsidRPr="00F5664C">
            <w:rPr>
              <w:rFonts w:ascii="Book Antiqua" w:hAnsi="Book Antiqua" w:cs="Arial"/>
            </w:rPr>
            <w:t xml:space="preserve"> </w:t>
          </w:r>
          <w:r w:rsidR="008639DC">
            <w:rPr>
              <w:rFonts w:ascii="Book Antiqua" w:hAnsi="Book Antiqua" w:cs="Arial"/>
            </w:rPr>
            <w:t>Lane</w:t>
          </w:r>
        </w:smartTag>
      </w:smartTag>
    </w:p>
    <w:sectPr w:rsidR="008508AD" w:rsidSect="0027683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09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C67" w:rsidRDefault="00282C67">
      <w:r>
        <w:separator/>
      </w:r>
    </w:p>
  </w:endnote>
  <w:endnote w:type="continuationSeparator" w:id="0">
    <w:p w:rsidR="00282C67" w:rsidRDefault="0028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4C1" w:rsidRPr="0027683E" w:rsidRDefault="00D774C1" w:rsidP="00593795">
    <w:pPr>
      <w:pStyle w:val="Footer"/>
      <w:jc w:val="center"/>
      <w:rPr>
        <w:rFonts w:ascii="Book Antiqua" w:hAnsi="Book Antiqua" w:cs="Arial"/>
      </w:rPr>
    </w:pPr>
    <w:r w:rsidRPr="0027683E">
      <w:rPr>
        <w:rStyle w:val="PageNumber"/>
        <w:rFonts w:ascii="Book Antiqua" w:hAnsi="Book Antiqua" w:cs="Arial"/>
      </w:rPr>
      <w:fldChar w:fldCharType="begin"/>
    </w:r>
    <w:r w:rsidRPr="0027683E">
      <w:rPr>
        <w:rStyle w:val="PageNumber"/>
        <w:rFonts w:ascii="Book Antiqua" w:hAnsi="Book Antiqua" w:cs="Arial"/>
      </w:rPr>
      <w:instrText xml:space="preserve"> PAGE </w:instrText>
    </w:r>
    <w:r w:rsidRPr="0027683E">
      <w:rPr>
        <w:rStyle w:val="PageNumber"/>
        <w:rFonts w:ascii="Book Antiqua" w:hAnsi="Book Antiqua" w:cs="Arial"/>
      </w:rPr>
      <w:fldChar w:fldCharType="separate"/>
    </w:r>
    <w:r w:rsidR="00DB4CF7">
      <w:rPr>
        <w:rStyle w:val="PageNumber"/>
        <w:rFonts w:ascii="Book Antiqua" w:hAnsi="Book Antiqua" w:cs="Arial"/>
        <w:noProof/>
      </w:rPr>
      <w:t>2</w:t>
    </w:r>
    <w:r w:rsidRPr="0027683E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4C1" w:rsidRPr="00F5664C" w:rsidRDefault="00D774C1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C67" w:rsidRDefault="00282C67">
      <w:r>
        <w:separator/>
      </w:r>
    </w:p>
  </w:footnote>
  <w:footnote w:type="continuationSeparator" w:id="0">
    <w:p w:rsidR="00282C67" w:rsidRDefault="00282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4C1" w:rsidRDefault="00D774C1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>Appeal Number:</w:t>
    </w:r>
    <w:r>
      <w:rPr>
        <w:rFonts w:ascii="Book Antiqua" w:hAnsi="Book Antiqua" w:cs="Arial"/>
        <w:sz w:val="16"/>
        <w:szCs w:val="16"/>
      </w:rPr>
      <w:t xml:space="preserve"> HU/07466/2015</w:t>
    </w:r>
    <w:r w:rsidRPr="00F5664C">
      <w:rPr>
        <w:rFonts w:ascii="Book Antiqua" w:hAnsi="Book Antiqua" w:cs="Arial"/>
        <w:sz w:val="16"/>
        <w:szCs w:val="16"/>
      </w:rPr>
      <w:t xml:space="preserve"> </w:t>
    </w:r>
  </w:p>
  <w:p w:rsidR="0027683E" w:rsidRPr="00F5664C" w:rsidRDefault="0027683E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4C1" w:rsidRPr="00F5664C" w:rsidRDefault="00D774C1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279004C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8C4B5C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540043F4"/>
    <w:multiLevelType w:val="multilevel"/>
    <w:tmpl w:val="91F267C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1"/>
  </w:num>
  <w:num w:numId="5">
    <w:abstractNumId w:val="19"/>
  </w:num>
  <w:num w:numId="6">
    <w:abstractNumId w:val="12"/>
  </w:num>
  <w:num w:numId="7">
    <w:abstractNumId w:val="18"/>
  </w:num>
  <w:num w:numId="8">
    <w:abstractNumId w:val="8"/>
  </w:num>
  <w:num w:numId="9">
    <w:abstractNumId w:val="6"/>
  </w:num>
  <w:num w:numId="10">
    <w:abstractNumId w:val="17"/>
  </w:num>
  <w:num w:numId="11">
    <w:abstractNumId w:val="16"/>
  </w:num>
  <w:num w:numId="12">
    <w:abstractNumId w:val="1"/>
  </w:num>
  <w:num w:numId="13">
    <w:abstractNumId w:val="15"/>
  </w:num>
  <w:num w:numId="14">
    <w:abstractNumId w:val="0"/>
  </w:num>
  <w:num w:numId="15">
    <w:abstractNumId w:val="3"/>
  </w:num>
  <w:num w:numId="16">
    <w:abstractNumId w:val="5"/>
  </w:num>
  <w:num w:numId="17">
    <w:abstractNumId w:val="13"/>
  </w:num>
  <w:num w:numId="18">
    <w:abstractNumId w:val="9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1244"/>
    <w:rsid w:val="00000621"/>
    <w:rsid w:val="00001A2D"/>
    <w:rsid w:val="000036C2"/>
    <w:rsid w:val="000168E1"/>
    <w:rsid w:val="00027641"/>
    <w:rsid w:val="00033D3D"/>
    <w:rsid w:val="000369F5"/>
    <w:rsid w:val="00060ED5"/>
    <w:rsid w:val="00071602"/>
    <w:rsid w:val="00071A7E"/>
    <w:rsid w:val="000746C0"/>
    <w:rsid w:val="00074D1D"/>
    <w:rsid w:val="00092580"/>
    <w:rsid w:val="000C0F2E"/>
    <w:rsid w:val="000D5D94"/>
    <w:rsid w:val="000E0923"/>
    <w:rsid w:val="000F76DE"/>
    <w:rsid w:val="001165A7"/>
    <w:rsid w:val="00130ABD"/>
    <w:rsid w:val="00151BB7"/>
    <w:rsid w:val="00155BA9"/>
    <w:rsid w:val="0016457F"/>
    <w:rsid w:val="00167D3A"/>
    <w:rsid w:val="001723AE"/>
    <w:rsid w:val="00183D32"/>
    <w:rsid w:val="001A1E2C"/>
    <w:rsid w:val="001F2716"/>
    <w:rsid w:val="001F3CDA"/>
    <w:rsid w:val="0020133A"/>
    <w:rsid w:val="00207617"/>
    <w:rsid w:val="00264A24"/>
    <w:rsid w:val="00275F0C"/>
    <w:rsid w:val="0027683E"/>
    <w:rsid w:val="00282C67"/>
    <w:rsid w:val="00283659"/>
    <w:rsid w:val="002C4E73"/>
    <w:rsid w:val="002D68BF"/>
    <w:rsid w:val="00321023"/>
    <w:rsid w:val="00336CBF"/>
    <w:rsid w:val="003546C8"/>
    <w:rsid w:val="003763A9"/>
    <w:rsid w:val="0037685B"/>
    <w:rsid w:val="00381177"/>
    <w:rsid w:val="003A4FA8"/>
    <w:rsid w:val="003A6E6C"/>
    <w:rsid w:val="003A7CF2"/>
    <w:rsid w:val="003B0789"/>
    <w:rsid w:val="003C5CE5"/>
    <w:rsid w:val="003C6548"/>
    <w:rsid w:val="003E267B"/>
    <w:rsid w:val="003E7CD1"/>
    <w:rsid w:val="00402B9E"/>
    <w:rsid w:val="00423932"/>
    <w:rsid w:val="004249CB"/>
    <w:rsid w:val="0044127D"/>
    <w:rsid w:val="004448DB"/>
    <w:rsid w:val="00446C9A"/>
    <w:rsid w:val="00462D76"/>
    <w:rsid w:val="00465717"/>
    <w:rsid w:val="00471244"/>
    <w:rsid w:val="00477193"/>
    <w:rsid w:val="00482EEC"/>
    <w:rsid w:val="004A1848"/>
    <w:rsid w:val="004A1F1B"/>
    <w:rsid w:val="004E2759"/>
    <w:rsid w:val="00507FEC"/>
    <w:rsid w:val="00510F0E"/>
    <w:rsid w:val="00511891"/>
    <w:rsid w:val="0051790E"/>
    <w:rsid w:val="00521F6E"/>
    <w:rsid w:val="005479E1"/>
    <w:rsid w:val="005570FD"/>
    <w:rsid w:val="005575EA"/>
    <w:rsid w:val="005744A4"/>
    <w:rsid w:val="0057790C"/>
    <w:rsid w:val="0058661C"/>
    <w:rsid w:val="00593795"/>
    <w:rsid w:val="00594638"/>
    <w:rsid w:val="005A75FF"/>
    <w:rsid w:val="005B7789"/>
    <w:rsid w:val="0065791C"/>
    <w:rsid w:val="00666416"/>
    <w:rsid w:val="00690B8A"/>
    <w:rsid w:val="00693AEE"/>
    <w:rsid w:val="006D1DFA"/>
    <w:rsid w:val="006D506B"/>
    <w:rsid w:val="006E3C90"/>
    <w:rsid w:val="006E57E2"/>
    <w:rsid w:val="006F7C89"/>
    <w:rsid w:val="00704B61"/>
    <w:rsid w:val="00741598"/>
    <w:rsid w:val="00742A8D"/>
    <w:rsid w:val="007552A9"/>
    <w:rsid w:val="00761858"/>
    <w:rsid w:val="00761B65"/>
    <w:rsid w:val="00767D59"/>
    <w:rsid w:val="00776E97"/>
    <w:rsid w:val="00780FD7"/>
    <w:rsid w:val="007912AD"/>
    <w:rsid w:val="007A1F28"/>
    <w:rsid w:val="007A393E"/>
    <w:rsid w:val="007A6132"/>
    <w:rsid w:val="007B0824"/>
    <w:rsid w:val="007E01DA"/>
    <w:rsid w:val="008116D9"/>
    <w:rsid w:val="008303B8"/>
    <w:rsid w:val="00833DCE"/>
    <w:rsid w:val="00842418"/>
    <w:rsid w:val="008508AD"/>
    <w:rsid w:val="008639DC"/>
    <w:rsid w:val="00871D34"/>
    <w:rsid w:val="00872944"/>
    <w:rsid w:val="00897D75"/>
    <w:rsid w:val="008B270C"/>
    <w:rsid w:val="008C3D3D"/>
    <w:rsid w:val="008D4131"/>
    <w:rsid w:val="008E29BA"/>
    <w:rsid w:val="008F1932"/>
    <w:rsid w:val="008F294D"/>
    <w:rsid w:val="00921062"/>
    <w:rsid w:val="0093083E"/>
    <w:rsid w:val="00933FB1"/>
    <w:rsid w:val="00940FE3"/>
    <w:rsid w:val="00966ECF"/>
    <w:rsid w:val="009727A3"/>
    <w:rsid w:val="00987774"/>
    <w:rsid w:val="009A0FDC"/>
    <w:rsid w:val="009A11E8"/>
    <w:rsid w:val="009E4E62"/>
    <w:rsid w:val="009F5220"/>
    <w:rsid w:val="009F7C4D"/>
    <w:rsid w:val="00A15234"/>
    <w:rsid w:val="00A15560"/>
    <w:rsid w:val="00A16AE1"/>
    <w:rsid w:val="00A201AB"/>
    <w:rsid w:val="00A31C8B"/>
    <w:rsid w:val="00A845DC"/>
    <w:rsid w:val="00A97AEE"/>
    <w:rsid w:val="00AC5CF6"/>
    <w:rsid w:val="00B00CC0"/>
    <w:rsid w:val="00B106DA"/>
    <w:rsid w:val="00B144FA"/>
    <w:rsid w:val="00B16F58"/>
    <w:rsid w:val="00B30648"/>
    <w:rsid w:val="00B3524D"/>
    <w:rsid w:val="00B40F69"/>
    <w:rsid w:val="00B46616"/>
    <w:rsid w:val="00B54950"/>
    <w:rsid w:val="00B610E3"/>
    <w:rsid w:val="00B61205"/>
    <w:rsid w:val="00B617C4"/>
    <w:rsid w:val="00B626FA"/>
    <w:rsid w:val="00B7040A"/>
    <w:rsid w:val="00B96FA0"/>
    <w:rsid w:val="00BA1D45"/>
    <w:rsid w:val="00BD4196"/>
    <w:rsid w:val="00BE7618"/>
    <w:rsid w:val="00BF22CA"/>
    <w:rsid w:val="00C26032"/>
    <w:rsid w:val="00C265B0"/>
    <w:rsid w:val="00C321B5"/>
    <w:rsid w:val="00C340BB"/>
    <w:rsid w:val="00C345E1"/>
    <w:rsid w:val="00C977BA"/>
    <w:rsid w:val="00CB6E35"/>
    <w:rsid w:val="00CE1A46"/>
    <w:rsid w:val="00CF253F"/>
    <w:rsid w:val="00CF56B4"/>
    <w:rsid w:val="00CF6DEE"/>
    <w:rsid w:val="00D06D1F"/>
    <w:rsid w:val="00D20F09"/>
    <w:rsid w:val="00D22636"/>
    <w:rsid w:val="00D36666"/>
    <w:rsid w:val="00D40FD9"/>
    <w:rsid w:val="00D53769"/>
    <w:rsid w:val="00D66F92"/>
    <w:rsid w:val="00D70775"/>
    <w:rsid w:val="00D774C1"/>
    <w:rsid w:val="00D85C13"/>
    <w:rsid w:val="00D91BE3"/>
    <w:rsid w:val="00D94AFC"/>
    <w:rsid w:val="00DB4CF7"/>
    <w:rsid w:val="00DB70AE"/>
    <w:rsid w:val="00DB7231"/>
    <w:rsid w:val="00DD5071"/>
    <w:rsid w:val="00DD5C39"/>
    <w:rsid w:val="00DE26AF"/>
    <w:rsid w:val="00DE7DB7"/>
    <w:rsid w:val="00E00A0A"/>
    <w:rsid w:val="00E07F57"/>
    <w:rsid w:val="00E50BCE"/>
    <w:rsid w:val="00E61292"/>
    <w:rsid w:val="00E76309"/>
    <w:rsid w:val="00E77C4D"/>
    <w:rsid w:val="00E81D01"/>
    <w:rsid w:val="00EB1147"/>
    <w:rsid w:val="00EC1F8A"/>
    <w:rsid w:val="00ED338F"/>
    <w:rsid w:val="00EE45D8"/>
    <w:rsid w:val="00F004CD"/>
    <w:rsid w:val="00F13155"/>
    <w:rsid w:val="00F22EDA"/>
    <w:rsid w:val="00F3224D"/>
    <w:rsid w:val="00F33E0E"/>
    <w:rsid w:val="00F5664C"/>
    <w:rsid w:val="00F60D99"/>
    <w:rsid w:val="00FB7E80"/>
    <w:rsid w:val="00FC3E38"/>
    <w:rsid w:val="00FD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reet"/>
  <w:smartTagType w:namespaceuri="urn:schemas-microsoft-com:office:smarttags" w:name="address"/>
  <w:shapeDefaults>
    <o:shapedefaults v:ext="edit" spidmax="5121"/>
    <o:shapelayout v:ext="edit">
      <o:idmap v:ext="edit" data="1"/>
    </o:shapelayout>
  </w:shapeDefaults>
  <w:decimalSymbol w:val="."/>
  <w:listSeparator w:val=","/>
  <w14:docId w14:val="08D0E5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2018-07-06T13:03:00Z</dcterms:created>
  <dcterms:modified xsi:type="dcterms:W3CDTF">2018-07-06T13:03:00Z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