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7CA" w:rsidRPr="00AE6DDE" w:rsidRDefault="00A53185" w:rsidP="0050388A">
      <w:pPr>
        <w:jc w:val="center"/>
        <w:rPr>
          <w:rFonts w:ascii="Book Antiqua" w:hAnsi="Book Antiqua" w:cs="Arial"/>
          <w:caps/>
          <w:color w:val="000000"/>
          <w:sz w:val="16"/>
          <w:szCs w:val="16"/>
        </w:rPr>
      </w:pPr>
      <w:r>
        <w:rPr>
          <w:noProof/>
        </w:rPr>
        <w:drawing>
          <wp:inline distT="0" distB="0" distL="0" distR="0" wp14:anchorId="092DEA82" wp14:editId="43B2AF34">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3257CA" w:rsidRPr="002630D9" w:rsidRDefault="003257CA" w:rsidP="002630D9">
      <w:pPr>
        <w:tabs>
          <w:tab w:val="right" w:pos="9720"/>
        </w:tabs>
        <w:spacing w:line="360" w:lineRule="auto"/>
        <w:ind w:right="-82"/>
        <w:rPr>
          <w:rFonts w:cs="Arial"/>
          <w:b/>
          <w:color w:val="000000"/>
        </w:rPr>
      </w:pPr>
      <w:r w:rsidRPr="002630D9">
        <w:rPr>
          <w:rFonts w:cs="Arial"/>
          <w:b/>
          <w:color w:val="000000"/>
        </w:rPr>
        <w:t xml:space="preserve">Upper Tribunal </w:t>
      </w:r>
    </w:p>
    <w:p w:rsidR="003257CA" w:rsidRDefault="003257CA" w:rsidP="002630D9">
      <w:pPr>
        <w:tabs>
          <w:tab w:val="right" w:pos="9720"/>
        </w:tabs>
        <w:spacing w:line="360" w:lineRule="auto"/>
        <w:ind w:right="-82"/>
        <w:rPr>
          <w:rFonts w:cs="Arial"/>
          <w:b/>
          <w:color w:val="000000"/>
        </w:rPr>
      </w:pPr>
      <w:r w:rsidRPr="002630D9">
        <w:rPr>
          <w:rFonts w:cs="Arial"/>
          <w:b/>
          <w:color w:val="000000"/>
        </w:rPr>
        <w:t>(</w:t>
      </w:r>
      <w:r w:rsidR="00624A2F">
        <w:rPr>
          <w:rFonts w:cs="Arial"/>
          <w:b/>
          <w:color w:val="000000"/>
        </w:rPr>
        <w:t xml:space="preserve">Immigration and Asylum </w:t>
      </w:r>
      <w:proofErr w:type="gramStart"/>
      <w:r w:rsidR="00624A2F">
        <w:rPr>
          <w:rFonts w:cs="Arial"/>
          <w:b/>
          <w:color w:val="000000"/>
        </w:rPr>
        <w:t xml:space="preserve">Chamber)   </w:t>
      </w:r>
      <w:proofErr w:type="gramEnd"/>
      <w:r w:rsidR="00624A2F">
        <w:rPr>
          <w:rFonts w:cs="Arial"/>
          <w:b/>
          <w:color w:val="000000"/>
        </w:rPr>
        <w:t xml:space="preserve">                      </w:t>
      </w:r>
      <w:r>
        <w:rPr>
          <w:rFonts w:cs="Arial"/>
          <w:b/>
          <w:color w:val="000000"/>
        </w:rPr>
        <w:t xml:space="preserve">Appeal Number: </w:t>
      </w:r>
      <w:r w:rsidR="007B3613">
        <w:rPr>
          <w:rFonts w:cs="Arial"/>
          <w:b/>
          <w:color w:val="000000"/>
        </w:rPr>
        <w:t>HU/07</w:t>
      </w:r>
      <w:r w:rsidR="00656377">
        <w:rPr>
          <w:rFonts w:cs="Arial"/>
          <w:b/>
          <w:color w:val="000000"/>
        </w:rPr>
        <w:t>828</w:t>
      </w:r>
      <w:r w:rsidR="007B3613">
        <w:rPr>
          <w:rFonts w:cs="Arial"/>
          <w:b/>
          <w:color w:val="000000"/>
        </w:rPr>
        <w:t>/2018</w:t>
      </w:r>
    </w:p>
    <w:p w:rsidR="003257CA" w:rsidRPr="00FB66A9" w:rsidRDefault="00CB6CFF" w:rsidP="00624A2F">
      <w:pPr>
        <w:tabs>
          <w:tab w:val="right" w:pos="9720"/>
        </w:tabs>
        <w:rPr>
          <w:rFonts w:cs="Arial"/>
          <w:b/>
          <w:i/>
          <w:color w:val="000000"/>
        </w:rPr>
      </w:pPr>
      <w:r>
        <w:rPr>
          <w:rFonts w:cs="Arial"/>
          <w:b/>
          <w:color w:val="000000"/>
        </w:rPr>
        <w:t xml:space="preserve">                                                                                                                                                                                                                                                                   </w:t>
      </w:r>
    </w:p>
    <w:p w:rsidR="003257CA" w:rsidRDefault="003257CA" w:rsidP="002630D9">
      <w:pPr>
        <w:spacing w:line="360" w:lineRule="auto"/>
        <w:jc w:val="center"/>
        <w:rPr>
          <w:rFonts w:cs="Arial"/>
          <w:b/>
          <w:color w:val="000000"/>
          <w:u w:val="single"/>
        </w:rPr>
      </w:pPr>
      <w:r w:rsidRPr="00217865">
        <w:rPr>
          <w:rFonts w:cs="Arial"/>
          <w:b/>
          <w:color w:val="000000"/>
          <w:u w:val="single"/>
        </w:rPr>
        <w:t>THE IMMIGRATION ACTS</w:t>
      </w:r>
    </w:p>
    <w:tbl>
      <w:tblPr>
        <w:tblW w:w="0" w:type="auto"/>
        <w:tblLook w:val="01E0" w:firstRow="1" w:lastRow="1" w:firstColumn="1" w:lastColumn="1" w:noHBand="0" w:noVBand="0"/>
      </w:tblPr>
      <w:tblGrid>
        <w:gridCol w:w="5103"/>
        <w:gridCol w:w="4535"/>
      </w:tblGrid>
      <w:tr w:rsidR="003257CA" w:rsidRPr="002630D9" w:rsidTr="00624A2F">
        <w:tc>
          <w:tcPr>
            <w:tcW w:w="5103" w:type="dxa"/>
          </w:tcPr>
          <w:p w:rsidR="003257CA" w:rsidRPr="002630D9" w:rsidRDefault="003257CA" w:rsidP="002630D9">
            <w:pPr>
              <w:spacing w:line="360" w:lineRule="auto"/>
              <w:jc w:val="both"/>
              <w:rPr>
                <w:rFonts w:cs="Arial"/>
                <w:b/>
              </w:rPr>
            </w:pPr>
            <w:r w:rsidRPr="002630D9">
              <w:rPr>
                <w:rFonts w:cs="Arial"/>
                <w:b/>
              </w:rPr>
              <w:t xml:space="preserve">Heard at </w:t>
            </w:r>
            <w:r>
              <w:rPr>
                <w:rFonts w:cs="Arial"/>
                <w:b/>
              </w:rPr>
              <w:t>Field House</w:t>
            </w:r>
          </w:p>
        </w:tc>
        <w:tc>
          <w:tcPr>
            <w:tcW w:w="4535" w:type="dxa"/>
          </w:tcPr>
          <w:p w:rsidR="003257CA" w:rsidRPr="002630D9" w:rsidRDefault="00624A2F" w:rsidP="002630D9">
            <w:pPr>
              <w:spacing w:line="360" w:lineRule="auto"/>
              <w:jc w:val="both"/>
              <w:rPr>
                <w:rFonts w:cs="Arial"/>
                <w:b/>
                <w:color w:val="000000"/>
              </w:rPr>
            </w:pPr>
            <w:r>
              <w:rPr>
                <w:rFonts w:cs="Arial"/>
                <w:b/>
                <w:color w:val="000000"/>
              </w:rPr>
              <w:t xml:space="preserve"> </w:t>
            </w:r>
            <w:r w:rsidR="003257CA" w:rsidRPr="002630D9">
              <w:rPr>
                <w:rFonts w:cs="Arial"/>
                <w:b/>
                <w:color w:val="000000"/>
              </w:rPr>
              <w:t>Decision &amp; Reasons Promulgated</w:t>
            </w:r>
          </w:p>
        </w:tc>
      </w:tr>
      <w:tr w:rsidR="003257CA" w:rsidRPr="002630D9" w:rsidTr="00624A2F">
        <w:tc>
          <w:tcPr>
            <w:tcW w:w="5103" w:type="dxa"/>
          </w:tcPr>
          <w:p w:rsidR="003257CA" w:rsidRPr="002630D9" w:rsidRDefault="003257CA" w:rsidP="002630D9">
            <w:pPr>
              <w:spacing w:line="360" w:lineRule="auto"/>
              <w:jc w:val="both"/>
              <w:rPr>
                <w:rFonts w:cs="Arial"/>
                <w:b/>
              </w:rPr>
            </w:pPr>
            <w:r w:rsidRPr="002630D9">
              <w:rPr>
                <w:rFonts w:cs="Arial"/>
                <w:b/>
              </w:rPr>
              <w:t xml:space="preserve">On </w:t>
            </w:r>
            <w:r w:rsidR="007B3613">
              <w:rPr>
                <w:rFonts w:cs="Arial"/>
                <w:b/>
              </w:rPr>
              <w:t>30 July</w:t>
            </w:r>
            <w:r>
              <w:rPr>
                <w:rFonts w:cs="Arial"/>
                <w:b/>
              </w:rPr>
              <w:t xml:space="preserve"> 2018</w:t>
            </w:r>
          </w:p>
        </w:tc>
        <w:tc>
          <w:tcPr>
            <w:tcW w:w="4535" w:type="dxa"/>
          </w:tcPr>
          <w:p w:rsidR="003257CA" w:rsidRPr="002630D9" w:rsidRDefault="00624A2F" w:rsidP="002630D9">
            <w:pPr>
              <w:spacing w:line="360" w:lineRule="auto"/>
              <w:jc w:val="both"/>
              <w:rPr>
                <w:rFonts w:cs="Arial"/>
                <w:b/>
              </w:rPr>
            </w:pPr>
            <w:r>
              <w:rPr>
                <w:rFonts w:cs="Arial"/>
                <w:b/>
              </w:rPr>
              <w:t xml:space="preserve"> </w:t>
            </w:r>
            <w:r w:rsidR="002417FA">
              <w:rPr>
                <w:rFonts w:cs="Arial"/>
                <w:b/>
              </w:rPr>
              <w:t>On 3 August 2018</w:t>
            </w:r>
          </w:p>
        </w:tc>
      </w:tr>
      <w:tr w:rsidR="003257CA" w:rsidRPr="002630D9" w:rsidTr="00624A2F">
        <w:tc>
          <w:tcPr>
            <w:tcW w:w="5103" w:type="dxa"/>
          </w:tcPr>
          <w:p w:rsidR="003257CA" w:rsidRPr="002630D9" w:rsidRDefault="003257CA" w:rsidP="002630D9">
            <w:pPr>
              <w:spacing w:line="360" w:lineRule="auto"/>
              <w:jc w:val="both"/>
              <w:rPr>
                <w:rFonts w:cs="Arial"/>
                <w:b/>
              </w:rPr>
            </w:pPr>
          </w:p>
        </w:tc>
        <w:tc>
          <w:tcPr>
            <w:tcW w:w="4535" w:type="dxa"/>
          </w:tcPr>
          <w:p w:rsidR="003257CA" w:rsidRPr="002630D9" w:rsidRDefault="003257CA" w:rsidP="002630D9">
            <w:pPr>
              <w:spacing w:line="360" w:lineRule="auto"/>
              <w:jc w:val="both"/>
              <w:rPr>
                <w:rFonts w:cs="Arial"/>
                <w:b/>
              </w:rPr>
            </w:pPr>
          </w:p>
        </w:tc>
      </w:tr>
    </w:tbl>
    <w:p w:rsidR="003257CA" w:rsidRDefault="003257CA" w:rsidP="002630D9">
      <w:pPr>
        <w:spacing w:line="360" w:lineRule="auto"/>
        <w:jc w:val="center"/>
        <w:rPr>
          <w:rFonts w:cs="Arial"/>
          <w:b/>
        </w:rPr>
      </w:pPr>
      <w:r w:rsidRPr="002630D9">
        <w:rPr>
          <w:rFonts w:cs="Arial"/>
          <w:b/>
        </w:rPr>
        <w:t>Before</w:t>
      </w:r>
    </w:p>
    <w:p w:rsidR="006F4D40" w:rsidRPr="002630D9" w:rsidRDefault="006F4D40" w:rsidP="006F4D40">
      <w:pPr>
        <w:jc w:val="center"/>
        <w:rPr>
          <w:rFonts w:cs="Arial"/>
          <w:b/>
        </w:rPr>
      </w:pPr>
    </w:p>
    <w:p w:rsidR="003257CA" w:rsidRDefault="003257CA" w:rsidP="002630D9">
      <w:pPr>
        <w:spacing w:line="360" w:lineRule="auto"/>
        <w:jc w:val="center"/>
        <w:rPr>
          <w:rFonts w:cs="Arial"/>
          <w:b/>
          <w:color w:val="000000"/>
        </w:rPr>
      </w:pPr>
      <w:r w:rsidRPr="002630D9">
        <w:rPr>
          <w:rFonts w:cs="Arial"/>
          <w:b/>
          <w:color w:val="000000"/>
        </w:rPr>
        <w:t>UPPER TRIBUNAL JUDGE FINCH</w:t>
      </w:r>
    </w:p>
    <w:p w:rsidR="006F4D40" w:rsidRPr="002630D9" w:rsidRDefault="006F4D40" w:rsidP="006F4D40">
      <w:pPr>
        <w:jc w:val="center"/>
        <w:rPr>
          <w:rFonts w:cs="Arial"/>
          <w:b/>
          <w:color w:val="000000"/>
        </w:rPr>
      </w:pPr>
    </w:p>
    <w:p w:rsidR="003257CA" w:rsidRDefault="003257CA" w:rsidP="002630D9">
      <w:pPr>
        <w:spacing w:line="360" w:lineRule="auto"/>
        <w:jc w:val="center"/>
        <w:rPr>
          <w:rFonts w:cs="Arial"/>
          <w:b/>
        </w:rPr>
      </w:pPr>
      <w:r w:rsidRPr="002630D9">
        <w:rPr>
          <w:rFonts w:cs="Arial"/>
          <w:b/>
        </w:rPr>
        <w:t>Between</w:t>
      </w:r>
    </w:p>
    <w:p w:rsidR="006F4D40" w:rsidRDefault="006F4D40" w:rsidP="006F4D40">
      <w:pPr>
        <w:jc w:val="center"/>
        <w:rPr>
          <w:rFonts w:cs="Arial"/>
          <w:b/>
        </w:rPr>
      </w:pPr>
      <w:bookmarkStart w:id="0" w:name="_GoBack"/>
      <w:bookmarkEnd w:id="0"/>
    </w:p>
    <w:p w:rsidR="00656377" w:rsidRDefault="00656377" w:rsidP="002630D9">
      <w:pPr>
        <w:spacing w:line="360" w:lineRule="auto"/>
        <w:jc w:val="center"/>
        <w:rPr>
          <w:rFonts w:cs="Arial"/>
          <w:b/>
        </w:rPr>
      </w:pPr>
      <w:r>
        <w:rPr>
          <w:rFonts w:cs="Arial"/>
          <w:b/>
        </w:rPr>
        <w:t>OCSEAN ANDRE ECCLES</w:t>
      </w:r>
    </w:p>
    <w:p w:rsidR="00656377" w:rsidRPr="00624A2F" w:rsidRDefault="00656377" w:rsidP="002630D9">
      <w:pPr>
        <w:spacing w:line="360" w:lineRule="auto"/>
        <w:jc w:val="center"/>
        <w:rPr>
          <w:rFonts w:cs="Arial"/>
          <w:u w:val="single"/>
        </w:rPr>
      </w:pPr>
      <w:r>
        <w:rPr>
          <w:rFonts w:cs="Arial"/>
          <w:b/>
        </w:rPr>
        <w:t xml:space="preserve">                                                           </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sidRPr="00624A2F">
        <w:rPr>
          <w:rFonts w:cs="Arial"/>
          <w:u w:val="single"/>
        </w:rPr>
        <w:t>Appellant</w:t>
      </w:r>
    </w:p>
    <w:p w:rsidR="00656377" w:rsidRDefault="00656377" w:rsidP="002630D9">
      <w:pPr>
        <w:spacing w:line="360" w:lineRule="auto"/>
        <w:jc w:val="center"/>
        <w:rPr>
          <w:rFonts w:cs="Arial"/>
          <w:b/>
        </w:rPr>
      </w:pPr>
      <w:r>
        <w:rPr>
          <w:rFonts w:cs="Arial"/>
          <w:b/>
        </w:rPr>
        <w:t>-and-</w:t>
      </w:r>
    </w:p>
    <w:p w:rsidR="00DD4868" w:rsidRDefault="00DD4868" w:rsidP="002630D9">
      <w:pPr>
        <w:spacing w:line="360" w:lineRule="auto"/>
        <w:jc w:val="center"/>
        <w:rPr>
          <w:rFonts w:cs="Arial"/>
          <w:b/>
        </w:rPr>
      </w:pPr>
      <w:r>
        <w:rPr>
          <w:rFonts w:cs="Arial"/>
          <w:b/>
        </w:rPr>
        <w:t xml:space="preserve">THE SECRETARY OF STATE FOR THE HOME DEPARTMENT </w:t>
      </w:r>
    </w:p>
    <w:p w:rsidR="00DD4868" w:rsidRPr="00624A2F" w:rsidRDefault="00DD4868" w:rsidP="002630D9">
      <w:pPr>
        <w:spacing w:line="360" w:lineRule="auto"/>
        <w:jc w:val="center"/>
        <w:rPr>
          <w:rFonts w:cs="Arial"/>
          <w:u w:val="single"/>
        </w:rPr>
      </w:pPr>
      <w:r w:rsidRPr="00624A2F">
        <w:rPr>
          <w:rFonts w:cs="Arial"/>
        </w:rPr>
        <w:t xml:space="preserve">                                                                                                                                      </w:t>
      </w:r>
      <w:r w:rsidR="00656377" w:rsidRPr="00624A2F">
        <w:rPr>
          <w:rFonts w:cs="Arial"/>
          <w:u w:val="single"/>
        </w:rPr>
        <w:t>Respondent</w:t>
      </w:r>
      <w:r w:rsidRPr="00624A2F">
        <w:rPr>
          <w:rFonts w:cs="Arial"/>
          <w:u w:val="single"/>
        </w:rPr>
        <w:t xml:space="preserve"> </w:t>
      </w:r>
    </w:p>
    <w:p w:rsidR="006630DA" w:rsidRDefault="006630DA" w:rsidP="002630D9">
      <w:pPr>
        <w:spacing w:line="360" w:lineRule="auto"/>
        <w:rPr>
          <w:rFonts w:cs="Arial"/>
          <w:b/>
          <w:u w:val="single"/>
        </w:rPr>
      </w:pPr>
    </w:p>
    <w:p w:rsidR="003257CA" w:rsidRPr="002630D9" w:rsidRDefault="003257CA" w:rsidP="002630D9">
      <w:pPr>
        <w:spacing w:line="360" w:lineRule="auto"/>
        <w:rPr>
          <w:rFonts w:cs="Arial"/>
        </w:rPr>
      </w:pPr>
      <w:r w:rsidRPr="002630D9">
        <w:rPr>
          <w:rFonts w:cs="Arial"/>
          <w:b/>
          <w:u w:val="single"/>
        </w:rPr>
        <w:t>Representation</w:t>
      </w:r>
      <w:r w:rsidRPr="002630D9">
        <w:rPr>
          <w:rFonts w:cs="Arial"/>
          <w:b/>
        </w:rPr>
        <w:t>:</w:t>
      </w:r>
      <w:r>
        <w:rPr>
          <w:rFonts w:cs="Arial"/>
          <w:b/>
        </w:rPr>
        <w:t xml:space="preserve"> </w:t>
      </w:r>
    </w:p>
    <w:p w:rsidR="005D603D" w:rsidRDefault="00624A2F" w:rsidP="00BB79FA">
      <w:pPr>
        <w:tabs>
          <w:tab w:val="left" w:pos="2520"/>
        </w:tabs>
        <w:spacing w:line="360" w:lineRule="auto"/>
        <w:ind w:left="2835" w:hanging="2835"/>
        <w:rPr>
          <w:rFonts w:cs="Arial"/>
        </w:rPr>
      </w:pPr>
      <w:r>
        <w:rPr>
          <w:rFonts w:cs="Arial"/>
        </w:rPr>
        <w:t xml:space="preserve">For the Appellant:        </w:t>
      </w:r>
      <w:r w:rsidR="00BB79FA">
        <w:rPr>
          <w:rFonts w:cs="Arial"/>
        </w:rPr>
        <w:t>Mr. M. Aslam, of counsel, instructed by Greenland Lawyers LLP (London)</w:t>
      </w:r>
    </w:p>
    <w:p w:rsidR="005D603D" w:rsidRPr="002630D9" w:rsidRDefault="003257CA" w:rsidP="005D603D">
      <w:pPr>
        <w:tabs>
          <w:tab w:val="left" w:pos="2520"/>
        </w:tabs>
        <w:spacing w:line="360" w:lineRule="auto"/>
        <w:rPr>
          <w:rFonts w:cs="Arial"/>
        </w:rPr>
      </w:pPr>
      <w:r w:rsidRPr="002630D9">
        <w:rPr>
          <w:rFonts w:cs="Arial"/>
        </w:rPr>
        <w:t>For the Respondent</w:t>
      </w:r>
      <w:r w:rsidR="005D603D">
        <w:rPr>
          <w:rFonts w:cs="Arial"/>
        </w:rPr>
        <w:t>s</w:t>
      </w:r>
      <w:r w:rsidRPr="002630D9">
        <w:rPr>
          <w:rFonts w:cs="Arial"/>
        </w:rPr>
        <w:t>:</w:t>
      </w:r>
      <w:r>
        <w:rPr>
          <w:rFonts w:cs="Arial"/>
        </w:rPr>
        <w:t xml:space="preserve">   </w:t>
      </w:r>
      <w:r w:rsidR="00BB79FA">
        <w:rPr>
          <w:rFonts w:cs="Arial"/>
        </w:rPr>
        <w:t xml:space="preserve">Mr. S. </w:t>
      </w:r>
      <w:proofErr w:type="spellStart"/>
      <w:r w:rsidR="00BB79FA">
        <w:rPr>
          <w:rFonts w:cs="Arial"/>
        </w:rPr>
        <w:t>Kotas</w:t>
      </w:r>
      <w:proofErr w:type="spellEnd"/>
      <w:r w:rsidR="00BB79FA">
        <w:rPr>
          <w:rFonts w:cs="Arial"/>
        </w:rPr>
        <w:t>, Home Office Presenting Officer</w:t>
      </w:r>
    </w:p>
    <w:p w:rsidR="003257CA" w:rsidRPr="002630D9" w:rsidRDefault="003257CA" w:rsidP="002630D9">
      <w:pPr>
        <w:tabs>
          <w:tab w:val="left" w:pos="2520"/>
        </w:tabs>
        <w:spacing w:line="360" w:lineRule="auto"/>
        <w:rPr>
          <w:rFonts w:cs="Arial"/>
        </w:rPr>
      </w:pPr>
    </w:p>
    <w:p w:rsidR="003257CA" w:rsidRDefault="003257CA" w:rsidP="002630D9">
      <w:pPr>
        <w:spacing w:line="360" w:lineRule="auto"/>
        <w:jc w:val="center"/>
        <w:rPr>
          <w:rFonts w:cs="Arial"/>
          <w:b/>
          <w:u w:val="single"/>
        </w:rPr>
      </w:pPr>
      <w:r w:rsidRPr="002630D9">
        <w:rPr>
          <w:rFonts w:cs="Arial"/>
          <w:b/>
          <w:u w:val="single"/>
        </w:rPr>
        <w:t>DECISION AND REASONS</w:t>
      </w:r>
    </w:p>
    <w:p w:rsidR="003257CA" w:rsidRPr="00303BAF" w:rsidRDefault="003257CA" w:rsidP="002630D9">
      <w:pPr>
        <w:spacing w:line="360" w:lineRule="auto"/>
        <w:jc w:val="both"/>
        <w:rPr>
          <w:rFonts w:cs="Arial"/>
          <w:b/>
        </w:rPr>
      </w:pPr>
      <w:r>
        <w:rPr>
          <w:rFonts w:cs="Arial"/>
          <w:b/>
        </w:rPr>
        <w:t xml:space="preserve">                                                                                                                                                                                                                                                                                                                                                                                                                                                            </w:t>
      </w:r>
    </w:p>
    <w:p w:rsidR="003257CA" w:rsidRDefault="003257CA" w:rsidP="002630D9">
      <w:pPr>
        <w:spacing w:line="360" w:lineRule="auto"/>
        <w:jc w:val="both"/>
        <w:rPr>
          <w:rFonts w:cs="Arial"/>
          <w:b/>
        </w:rPr>
      </w:pPr>
      <w:r w:rsidRPr="009D341B">
        <w:rPr>
          <w:rFonts w:cs="Arial"/>
          <w:b/>
        </w:rPr>
        <w:t xml:space="preserve">BACKGROUND TO THE APPEAL </w:t>
      </w:r>
    </w:p>
    <w:p w:rsidR="00D56507" w:rsidRDefault="00D56507" w:rsidP="002630D9">
      <w:pPr>
        <w:spacing w:line="360" w:lineRule="auto"/>
        <w:jc w:val="both"/>
        <w:rPr>
          <w:rFonts w:cs="Arial"/>
          <w:b/>
        </w:rPr>
      </w:pPr>
    </w:p>
    <w:p w:rsidR="003257CA" w:rsidRDefault="003257CA" w:rsidP="002630D9">
      <w:pPr>
        <w:spacing w:line="360" w:lineRule="auto"/>
        <w:ind w:left="567" w:hanging="567"/>
        <w:jc w:val="both"/>
        <w:rPr>
          <w:rFonts w:cs="Arial"/>
        </w:rPr>
      </w:pPr>
      <w:r w:rsidRPr="002630D9">
        <w:rPr>
          <w:rFonts w:cs="Arial"/>
        </w:rPr>
        <w:t>1.</w:t>
      </w:r>
      <w:r w:rsidRPr="002630D9">
        <w:rPr>
          <w:rFonts w:cs="Arial"/>
        </w:rPr>
        <w:tab/>
        <w:t xml:space="preserve">The </w:t>
      </w:r>
      <w:r w:rsidR="006B2C82">
        <w:rPr>
          <w:rFonts w:cs="Arial"/>
        </w:rPr>
        <w:t>Respondent</w:t>
      </w:r>
      <w:r w:rsidR="008130CE">
        <w:rPr>
          <w:rFonts w:cs="Arial"/>
        </w:rPr>
        <w:t xml:space="preserve"> </w:t>
      </w:r>
      <w:r w:rsidR="007B3613">
        <w:rPr>
          <w:rFonts w:cs="Arial"/>
        </w:rPr>
        <w:t xml:space="preserve">is a national of </w:t>
      </w:r>
      <w:r w:rsidR="00656377">
        <w:rPr>
          <w:rFonts w:cs="Arial"/>
        </w:rPr>
        <w:t xml:space="preserve">Jamaica. </w:t>
      </w:r>
      <w:r w:rsidR="007B3613">
        <w:rPr>
          <w:rFonts w:cs="Arial"/>
        </w:rPr>
        <w:t xml:space="preserve">Pakistan. </w:t>
      </w:r>
      <w:r w:rsidR="00656377">
        <w:rPr>
          <w:rFonts w:cs="Arial"/>
        </w:rPr>
        <w:t>He entered the United Kingdom, as a visitor, on 29 July 2001, as a child of 4. On 4 April 2011 his mother applied for leave to remain, including him as her dependent. On 23 May 2011 he was granted discretionary leave to remain until 23 May 2014. He applied for further leave to remain on 26 June 2014.</w:t>
      </w:r>
    </w:p>
    <w:p w:rsidR="003257CA" w:rsidRDefault="003257CA" w:rsidP="002630D9">
      <w:pPr>
        <w:spacing w:line="360" w:lineRule="auto"/>
        <w:ind w:left="567" w:hanging="567"/>
        <w:jc w:val="both"/>
        <w:rPr>
          <w:rFonts w:cs="Arial"/>
        </w:rPr>
      </w:pPr>
    </w:p>
    <w:p w:rsidR="003257CA" w:rsidRDefault="003257CA" w:rsidP="002630D9">
      <w:pPr>
        <w:spacing w:line="360" w:lineRule="auto"/>
        <w:ind w:left="567" w:hanging="567"/>
        <w:jc w:val="both"/>
        <w:rPr>
          <w:rFonts w:cs="Arial"/>
        </w:rPr>
      </w:pPr>
      <w:r>
        <w:rPr>
          <w:rFonts w:cs="Arial"/>
        </w:rPr>
        <w:lastRenderedPageBreak/>
        <w:t>2.</w:t>
      </w:r>
      <w:r>
        <w:rPr>
          <w:rFonts w:cs="Arial"/>
        </w:rPr>
        <w:tab/>
      </w:r>
      <w:r w:rsidR="007B3613">
        <w:rPr>
          <w:rFonts w:cs="Arial"/>
        </w:rPr>
        <w:t xml:space="preserve">On </w:t>
      </w:r>
      <w:r w:rsidR="00656377">
        <w:rPr>
          <w:rFonts w:cs="Arial"/>
        </w:rPr>
        <w:t>18 December 2015</w:t>
      </w:r>
      <w:r w:rsidR="007B3613">
        <w:rPr>
          <w:rFonts w:cs="Arial"/>
        </w:rPr>
        <w:t xml:space="preserve"> the Appellant was convicted </w:t>
      </w:r>
      <w:r w:rsidR="00E63C44">
        <w:rPr>
          <w:rFonts w:cs="Arial"/>
        </w:rPr>
        <w:t xml:space="preserve">of </w:t>
      </w:r>
      <w:r w:rsidR="0089553D">
        <w:rPr>
          <w:rFonts w:cs="Arial"/>
        </w:rPr>
        <w:t xml:space="preserve">one count of </w:t>
      </w:r>
      <w:r w:rsidR="00656377">
        <w:rPr>
          <w:rFonts w:cs="Arial"/>
        </w:rPr>
        <w:t xml:space="preserve">violent disorder and one count of having a bladed instrument in a public place and </w:t>
      </w:r>
      <w:r w:rsidR="00EA1C3F">
        <w:rPr>
          <w:rFonts w:cs="Arial"/>
        </w:rPr>
        <w:t xml:space="preserve">on 8 February 2016 </w:t>
      </w:r>
      <w:r w:rsidR="00656377">
        <w:rPr>
          <w:rFonts w:cs="Arial"/>
        </w:rPr>
        <w:t xml:space="preserve">sentenced to one year and four months imprisonment. </w:t>
      </w:r>
      <w:r w:rsidR="00E63C44">
        <w:rPr>
          <w:rFonts w:cs="Arial"/>
        </w:rPr>
        <w:t xml:space="preserve">He was </w:t>
      </w:r>
      <w:r w:rsidR="007B3613">
        <w:rPr>
          <w:rFonts w:cs="Arial"/>
        </w:rPr>
        <w:t>served with a decision to deport on</w:t>
      </w:r>
      <w:r w:rsidR="00656377">
        <w:rPr>
          <w:rFonts w:cs="Arial"/>
        </w:rPr>
        <w:t xml:space="preserve"> 3 March 2006 and on 19 May 2016 his application for further leave to remain was refused. </w:t>
      </w:r>
      <w:r w:rsidR="008130CE">
        <w:rPr>
          <w:rFonts w:cs="Arial"/>
        </w:rPr>
        <w:t xml:space="preserve"> </w:t>
      </w:r>
      <w:r w:rsidR="00C67EEB">
        <w:rPr>
          <w:rFonts w:cs="Arial"/>
        </w:rPr>
        <w:t xml:space="preserve">On 15 July 2016 he was also </w:t>
      </w:r>
      <w:r w:rsidR="00BB79FA">
        <w:rPr>
          <w:rFonts w:cs="Arial"/>
        </w:rPr>
        <w:t xml:space="preserve">convicted </w:t>
      </w:r>
      <w:r w:rsidR="00C67EEB">
        <w:rPr>
          <w:rFonts w:cs="Arial"/>
        </w:rPr>
        <w:t xml:space="preserve">on one count of assault occasioning actual bodily harm upon a prison officer, whilst on remand prior to his earlier conviction and sentenced to 32 months imprisonment. </w:t>
      </w:r>
    </w:p>
    <w:p w:rsidR="003257CA" w:rsidRDefault="003257CA" w:rsidP="002630D9">
      <w:pPr>
        <w:spacing w:line="360" w:lineRule="auto"/>
        <w:ind w:left="567" w:hanging="567"/>
        <w:jc w:val="both"/>
        <w:rPr>
          <w:rFonts w:cs="Arial"/>
        </w:rPr>
      </w:pPr>
    </w:p>
    <w:p w:rsidR="003257CA" w:rsidRDefault="003257CA" w:rsidP="002630D9">
      <w:pPr>
        <w:spacing w:line="360" w:lineRule="auto"/>
        <w:ind w:left="567" w:hanging="567"/>
        <w:jc w:val="both"/>
        <w:rPr>
          <w:rFonts w:cs="Arial"/>
        </w:rPr>
      </w:pPr>
      <w:r>
        <w:rPr>
          <w:rFonts w:cs="Arial"/>
        </w:rPr>
        <w:t>3.</w:t>
      </w:r>
      <w:r>
        <w:rPr>
          <w:rFonts w:cs="Arial"/>
        </w:rPr>
        <w:tab/>
      </w:r>
      <w:r w:rsidR="00E63C44">
        <w:rPr>
          <w:rFonts w:cs="Arial"/>
        </w:rPr>
        <w:t>On 2</w:t>
      </w:r>
      <w:r w:rsidR="00EA1C3F">
        <w:rPr>
          <w:rFonts w:cs="Arial"/>
        </w:rPr>
        <w:t>9</w:t>
      </w:r>
      <w:r w:rsidR="00E63C44">
        <w:rPr>
          <w:rFonts w:cs="Arial"/>
        </w:rPr>
        <w:t xml:space="preserve"> </w:t>
      </w:r>
      <w:r w:rsidR="00656377">
        <w:rPr>
          <w:rFonts w:cs="Arial"/>
        </w:rPr>
        <w:t>S</w:t>
      </w:r>
      <w:r w:rsidR="00EA1C3F">
        <w:rPr>
          <w:rFonts w:cs="Arial"/>
        </w:rPr>
        <w:t xml:space="preserve">eptember 2016 </w:t>
      </w:r>
      <w:r w:rsidR="00E63C44">
        <w:rPr>
          <w:rFonts w:cs="Arial"/>
        </w:rPr>
        <w:t xml:space="preserve">he was served with a deportation order and </w:t>
      </w:r>
      <w:r w:rsidR="00EA1C3F">
        <w:rPr>
          <w:rFonts w:cs="Arial"/>
        </w:rPr>
        <w:t xml:space="preserve">on 15 August 2017 his legal representatives made further representations on his behalf in the form of a pre-action protocol letter. As a consequence, the Respondent made a decision to refuse his human rights claim on 4 January 2018. He appealed against this decision and in a </w:t>
      </w:r>
      <w:r w:rsidR="008130CE">
        <w:rPr>
          <w:rFonts w:cs="Arial"/>
        </w:rPr>
        <w:t>decision</w:t>
      </w:r>
      <w:r w:rsidR="00BB79FA">
        <w:rPr>
          <w:rFonts w:cs="Arial"/>
        </w:rPr>
        <w:t>,</w:t>
      </w:r>
      <w:r w:rsidR="008130CE">
        <w:rPr>
          <w:rFonts w:cs="Arial"/>
        </w:rPr>
        <w:t xml:space="preserve"> promulgated on </w:t>
      </w:r>
      <w:r w:rsidR="00EA1C3F">
        <w:rPr>
          <w:rFonts w:cs="Arial"/>
        </w:rPr>
        <w:t>1</w:t>
      </w:r>
      <w:r w:rsidR="00E63C44">
        <w:rPr>
          <w:rFonts w:cs="Arial"/>
        </w:rPr>
        <w:t>8 May 2018</w:t>
      </w:r>
      <w:r w:rsidR="008130CE">
        <w:rPr>
          <w:rFonts w:cs="Arial"/>
        </w:rPr>
        <w:t xml:space="preserve">, First-tier Tribunal Judge </w:t>
      </w:r>
      <w:proofErr w:type="spellStart"/>
      <w:r w:rsidR="00EA1C3F">
        <w:rPr>
          <w:rFonts w:cs="Arial"/>
        </w:rPr>
        <w:t>Housego</w:t>
      </w:r>
      <w:proofErr w:type="spellEnd"/>
      <w:r w:rsidR="00EA1C3F">
        <w:rPr>
          <w:rFonts w:cs="Arial"/>
        </w:rPr>
        <w:t xml:space="preserve"> dismissed </w:t>
      </w:r>
      <w:r w:rsidR="00E63C44">
        <w:rPr>
          <w:rFonts w:cs="Arial"/>
        </w:rPr>
        <w:t xml:space="preserve">his </w:t>
      </w:r>
      <w:r w:rsidR="008130CE">
        <w:rPr>
          <w:rFonts w:cs="Arial"/>
        </w:rPr>
        <w:t xml:space="preserve">appeal. The </w:t>
      </w:r>
      <w:r w:rsidR="006B2C82">
        <w:rPr>
          <w:rFonts w:cs="Arial"/>
        </w:rPr>
        <w:t>Appellant</w:t>
      </w:r>
      <w:r w:rsidR="008130CE">
        <w:rPr>
          <w:rFonts w:cs="Arial"/>
        </w:rPr>
        <w:t xml:space="preserve"> </w:t>
      </w:r>
      <w:r w:rsidR="00E63C44">
        <w:rPr>
          <w:rFonts w:cs="Arial"/>
        </w:rPr>
        <w:t xml:space="preserve">sought permission to </w:t>
      </w:r>
      <w:r w:rsidR="008130CE">
        <w:rPr>
          <w:rFonts w:cs="Arial"/>
        </w:rPr>
        <w:t xml:space="preserve">appeal </w:t>
      </w:r>
      <w:r w:rsidR="00BB79FA">
        <w:rPr>
          <w:rFonts w:cs="Arial"/>
        </w:rPr>
        <w:t xml:space="preserve">against this decision </w:t>
      </w:r>
      <w:r w:rsidR="008130CE">
        <w:rPr>
          <w:rFonts w:cs="Arial"/>
        </w:rPr>
        <w:t xml:space="preserve">and First-tier Tribunal Judge </w:t>
      </w:r>
      <w:r w:rsidR="00EA1C3F">
        <w:rPr>
          <w:rFonts w:cs="Arial"/>
        </w:rPr>
        <w:t>Keane</w:t>
      </w:r>
      <w:r w:rsidR="008130CE">
        <w:rPr>
          <w:rFonts w:cs="Arial"/>
        </w:rPr>
        <w:t xml:space="preserve"> granted h</w:t>
      </w:r>
      <w:r w:rsidR="00E63C44">
        <w:rPr>
          <w:rFonts w:cs="Arial"/>
        </w:rPr>
        <w:t>im</w:t>
      </w:r>
      <w:r w:rsidR="008130CE">
        <w:rPr>
          <w:rFonts w:cs="Arial"/>
        </w:rPr>
        <w:t xml:space="preserve"> permission to appeal on </w:t>
      </w:r>
      <w:r w:rsidR="00EA1C3F">
        <w:rPr>
          <w:rFonts w:cs="Arial"/>
        </w:rPr>
        <w:t>11 June</w:t>
      </w:r>
      <w:r w:rsidR="00E63C44">
        <w:rPr>
          <w:rFonts w:cs="Arial"/>
        </w:rPr>
        <w:t xml:space="preserve"> 2018</w:t>
      </w:r>
      <w:r w:rsidR="008130CE">
        <w:rPr>
          <w:rFonts w:cs="Arial"/>
        </w:rPr>
        <w:t xml:space="preserve">. </w:t>
      </w:r>
    </w:p>
    <w:p w:rsidR="003257CA" w:rsidRDefault="003257CA" w:rsidP="002630D9">
      <w:pPr>
        <w:spacing w:line="360" w:lineRule="auto"/>
        <w:ind w:left="567" w:hanging="567"/>
        <w:jc w:val="both"/>
        <w:rPr>
          <w:rFonts w:cs="Arial"/>
        </w:rPr>
      </w:pPr>
      <w:r>
        <w:rPr>
          <w:rFonts w:cs="Arial"/>
        </w:rPr>
        <w:t xml:space="preserve">                                                                                                                                                                                                                                                                                 </w:t>
      </w:r>
    </w:p>
    <w:p w:rsidR="003257CA" w:rsidRPr="009D341B" w:rsidRDefault="003257CA" w:rsidP="002630D9">
      <w:pPr>
        <w:spacing w:line="360" w:lineRule="auto"/>
        <w:ind w:left="567" w:hanging="567"/>
        <w:jc w:val="both"/>
        <w:rPr>
          <w:rFonts w:cs="Arial"/>
          <w:b/>
        </w:rPr>
      </w:pPr>
      <w:r w:rsidRPr="009D341B">
        <w:rPr>
          <w:rFonts w:cs="Arial"/>
          <w:b/>
        </w:rPr>
        <w:t xml:space="preserve">ERROR OF LAW HEARING </w:t>
      </w:r>
    </w:p>
    <w:p w:rsidR="003257CA" w:rsidRDefault="003257CA" w:rsidP="002630D9">
      <w:pPr>
        <w:spacing w:line="360" w:lineRule="auto"/>
        <w:ind w:left="567" w:hanging="567"/>
        <w:jc w:val="both"/>
        <w:rPr>
          <w:rFonts w:cs="Arial"/>
        </w:rPr>
      </w:pPr>
    </w:p>
    <w:p w:rsidR="003257CA" w:rsidRDefault="00DD4868" w:rsidP="002630D9">
      <w:pPr>
        <w:spacing w:line="360" w:lineRule="auto"/>
        <w:ind w:left="567" w:hanging="567"/>
        <w:jc w:val="both"/>
        <w:rPr>
          <w:rFonts w:cs="Arial"/>
        </w:rPr>
      </w:pPr>
      <w:r>
        <w:rPr>
          <w:rFonts w:cs="Arial"/>
        </w:rPr>
        <w:t>4</w:t>
      </w:r>
      <w:r w:rsidR="003257CA">
        <w:rPr>
          <w:rFonts w:cs="Arial"/>
        </w:rPr>
        <w:t>.</w:t>
      </w:r>
      <w:r w:rsidR="003257CA">
        <w:rPr>
          <w:rFonts w:cs="Arial"/>
        </w:rPr>
        <w:tab/>
      </w:r>
      <w:r w:rsidR="00BB79FA">
        <w:rPr>
          <w:rFonts w:cs="Arial"/>
        </w:rPr>
        <w:t xml:space="preserve">Counsel for the Appellant said that previous counsel’s advice had taken the place of grounds of appeal and accepted that such an advice should not have been file and served as it was legally privileged. Counsel and </w:t>
      </w:r>
      <w:r>
        <w:rPr>
          <w:rFonts w:cs="Arial"/>
        </w:rPr>
        <w:t xml:space="preserve">the Home Office Presenting Office </w:t>
      </w:r>
      <w:r w:rsidR="00BB79FA">
        <w:rPr>
          <w:rFonts w:cs="Arial"/>
        </w:rPr>
        <w:t>both made helpful oral submiss</w:t>
      </w:r>
      <w:r w:rsidR="003257CA">
        <w:rPr>
          <w:rFonts w:cs="Arial"/>
        </w:rPr>
        <w:t xml:space="preserve">ions and I have referred to the content of these submissions, where relevant, in my decision below.   </w:t>
      </w:r>
    </w:p>
    <w:p w:rsidR="003257CA" w:rsidRDefault="003257CA" w:rsidP="00590558">
      <w:pPr>
        <w:spacing w:line="360" w:lineRule="auto"/>
        <w:ind w:left="567" w:hanging="567"/>
        <w:jc w:val="both"/>
        <w:rPr>
          <w:rFonts w:cs="Arial"/>
          <w:b/>
        </w:rPr>
      </w:pPr>
    </w:p>
    <w:p w:rsidR="003257CA" w:rsidRDefault="003257CA" w:rsidP="00590558">
      <w:pPr>
        <w:spacing w:line="360" w:lineRule="auto"/>
        <w:ind w:left="567" w:hanging="567"/>
        <w:jc w:val="both"/>
        <w:rPr>
          <w:rFonts w:cs="Arial"/>
          <w:b/>
        </w:rPr>
      </w:pPr>
      <w:r>
        <w:rPr>
          <w:rFonts w:cs="Arial"/>
          <w:b/>
        </w:rPr>
        <w:t xml:space="preserve">ERROR OF LAW </w:t>
      </w:r>
      <w:r w:rsidRPr="009D341B">
        <w:rPr>
          <w:rFonts w:cs="Arial"/>
          <w:b/>
        </w:rPr>
        <w:t xml:space="preserve">DECISION </w:t>
      </w:r>
    </w:p>
    <w:p w:rsidR="003257CA" w:rsidRPr="00590558" w:rsidRDefault="003257CA" w:rsidP="00590558">
      <w:pPr>
        <w:spacing w:line="360" w:lineRule="auto"/>
        <w:ind w:left="567" w:hanging="567"/>
        <w:jc w:val="both"/>
        <w:rPr>
          <w:rFonts w:cs="Arial"/>
          <w:b/>
        </w:rPr>
      </w:pPr>
    </w:p>
    <w:p w:rsidR="005D603D" w:rsidRDefault="006B2C82" w:rsidP="002D56FD">
      <w:pPr>
        <w:spacing w:line="360" w:lineRule="auto"/>
        <w:ind w:left="567" w:hanging="567"/>
        <w:jc w:val="both"/>
        <w:rPr>
          <w:rFonts w:cs="Arial"/>
        </w:rPr>
      </w:pPr>
      <w:r>
        <w:rPr>
          <w:rFonts w:cs="Arial"/>
        </w:rPr>
        <w:t>5.</w:t>
      </w:r>
      <w:r>
        <w:rPr>
          <w:rFonts w:cs="Arial"/>
        </w:rPr>
        <w:tab/>
        <w:t xml:space="preserve">The Respondent was </w:t>
      </w:r>
      <w:r w:rsidR="0089553D">
        <w:rPr>
          <w:rFonts w:cs="Arial"/>
        </w:rPr>
        <w:t xml:space="preserve">sentenced to </w:t>
      </w:r>
      <w:r w:rsidR="00EA1C3F">
        <w:rPr>
          <w:rFonts w:cs="Arial"/>
        </w:rPr>
        <w:t xml:space="preserve">1 year and 4 months </w:t>
      </w:r>
      <w:r w:rsidR="0089553D">
        <w:rPr>
          <w:rFonts w:cs="Arial"/>
        </w:rPr>
        <w:t>imprisonment and</w:t>
      </w:r>
      <w:r w:rsidR="00C67EEB">
        <w:rPr>
          <w:rFonts w:cs="Arial"/>
        </w:rPr>
        <w:t xml:space="preserve"> was later sentenced to 32 months imprisonment. T</w:t>
      </w:r>
      <w:r w:rsidR="0089553D">
        <w:rPr>
          <w:rFonts w:cs="Arial"/>
        </w:rPr>
        <w:t>herefore, he was subject to automatic deportation under section 32 of the UK Borders Act 2007</w:t>
      </w:r>
      <w:r w:rsidR="00C67EEB">
        <w:rPr>
          <w:rFonts w:cs="Arial"/>
        </w:rPr>
        <w:t>, as a result of either conviction</w:t>
      </w:r>
      <w:r w:rsidR="0089553D">
        <w:rPr>
          <w:rFonts w:cs="Arial"/>
        </w:rPr>
        <w:t>.</w:t>
      </w:r>
      <w:r>
        <w:rPr>
          <w:rFonts w:cs="Arial"/>
        </w:rPr>
        <w:t xml:space="preserve"> </w:t>
      </w:r>
    </w:p>
    <w:p w:rsidR="005D603D" w:rsidRDefault="005D603D" w:rsidP="002D56FD">
      <w:pPr>
        <w:spacing w:line="360" w:lineRule="auto"/>
        <w:ind w:left="567" w:hanging="567"/>
        <w:jc w:val="both"/>
        <w:rPr>
          <w:rFonts w:cs="Arial"/>
        </w:rPr>
      </w:pPr>
    </w:p>
    <w:p w:rsidR="002D56FD" w:rsidRDefault="005D603D" w:rsidP="002D56FD">
      <w:pPr>
        <w:spacing w:line="360" w:lineRule="auto"/>
        <w:ind w:left="567" w:hanging="567"/>
        <w:jc w:val="both"/>
        <w:rPr>
          <w:rFonts w:cs="Arial"/>
        </w:rPr>
      </w:pPr>
      <w:r>
        <w:rPr>
          <w:rFonts w:cs="Arial"/>
        </w:rPr>
        <w:t>6.</w:t>
      </w:r>
      <w:r>
        <w:rPr>
          <w:rFonts w:cs="Arial"/>
        </w:rPr>
        <w:tab/>
      </w:r>
      <w:r w:rsidR="0089553D">
        <w:rPr>
          <w:rFonts w:cs="Arial"/>
        </w:rPr>
        <w:t>Paragraph 398 of the Immigration Rules states that:</w:t>
      </w:r>
    </w:p>
    <w:p w:rsidR="0089553D" w:rsidRDefault="0089553D" w:rsidP="002D56FD">
      <w:pPr>
        <w:spacing w:line="360" w:lineRule="auto"/>
        <w:ind w:left="567" w:hanging="567"/>
        <w:jc w:val="both"/>
        <w:rPr>
          <w:rFonts w:cs="Arial"/>
        </w:rPr>
      </w:pPr>
    </w:p>
    <w:p w:rsidR="0089553D" w:rsidRDefault="0089553D" w:rsidP="002D56FD">
      <w:pPr>
        <w:spacing w:line="360" w:lineRule="auto"/>
        <w:ind w:left="567" w:hanging="567"/>
        <w:jc w:val="both"/>
        <w:rPr>
          <w:rFonts w:cs="Arial"/>
        </w:rPr>
      </w:pPr>
      <w:r>
        <w:rPr>
          <w:rFonts w:cs="Arial"/>
        </w:rPr>
        <w:tab/>
        <w:t>“Where a person claims that their deportation would be contrary to the UK’s obligations under Article 8 of the Human Rights Convention, and</w:t>
      </w:r>
    </w:p>
    <w:p w:rsidR="00C67EEB" w:rsidRDefault="00C67EEB" w:rsidP="002D56FD">
      <w:pPr>
        <w:spacing w:line="360" w:lineRule="auto"/>
        <w:ind w:left="567" w:hanging="567"/>
        <w:jc w:val="both"/>
        <w:rPr>
          <w:rFonts w:cs="Arial"/>
        </w:rPr>
      </w:pPr>
    </w:p>
    <w:p w:rsidR="00C67EEB" w:rsidRDefault="00C67EEB" w:rsidP="002D56FD">
      <w:pPr>
        <w:spacing w:line="360" w:lineRule="auto"/>
        <w:ind w:left="567" w:hanging="567"/>
        <w:jc w:val="both"/>
        <w:rPr>
          <w:rFonts w:cs="Arial"/>
        </w:rPr>
      </w:pPr>
      <w:r>
        <w:rPr>
          <w:rFonts w:cs="Arial"/>
        </w:rPr>
        <w:lastRenderedPageBreak/>
        <w:tab/>
        <w:t>(a)</w:t>
      </w:r>
      <w:r>
        <w:rPr>
          <w:rFonts w:cs="Arial"/>
        </w:rPr>
        <w:tab/>
        <w:t>the deportation of the person from the UK is conducive to the public good and in the public interest because they have been convicted of an offence for which they have been sentenced to a period of imprisonment of at least 4 years;</w:t>
      </w:r>
    </w:p>
    <w:p w:rsidR="0089553D" w:rsidRDefault="0089553D" w:rsidP="002D56FD">
      <w:pPr>
        <w:spacing w:line="360" w:lineRule="auto"/>
        <w:ind w:left="567" w:hanging="567"/>
        <w:jc w:val="both"/>
        <w:rPr>
          <w:rFonts w:cs="Arial"/>
        </w:rPr>
      </w:pPr>
    </w:p>
    <w:p w:rsidR="0089553D" w:rsidRDefault="0089553D" w:rsidP="002D56FD">
      <w:pPr>
        <w:spacing w:line="360" w:lineRule="auto"/>
        <w:ind w:left="567" w:hanging="567"/>
        <w:jc w:val="both"/>
        <w:rPr>
          <w:rFonts w:cs="Arial"/>
        </w:rPr>
      </w:pPr>
      <w:r>
        <w:rPr>
          <w:rFonts w:cs="Arial"/>
        </w:rPr>
        <w:tab/>
        <w:t>(b) the deportation of the person from the UK is conducive to the public good and in the public interest because they have been convicted of an offence for which they have been sentenced to a period of imprisonment of less than 4 years but at least 18 months”</w:t>
      </w:r>
      <w:r w:rsidR="00C67EEB">
        <w:rPr>
          <w:rFonts w:cs="Arial"/>
        </w:rPr>
        <w:t>;</w:t>
      </w:r>
    </w:p>
    <w:p w:rsidR="00C67EEB" w:rsidRDefault="00C67EEB" w:rsidP="002D56FD">
      <w:pPr>
        <w:spacing w:line="360" w:lineRule="auto"/>
        <w:ind w:left="567" w:hanging="567"/>
        <w:jc w:val="both"/>
        <w:rPr>
          <w:rFonts w:cs="Arial"/>
        </w:rPr>
      </w:pPr>
      <w:r>
        <w:rPr>
          <w:rFonts w:cs="Arial"/>
        </w:rPr>
        <w:tab/>
        <w:t>…</w:t>
      </w:r>
    </w:p>
    <w:p w:rsidR="00C67EEB" w:rsidRDefault="00C67EEB" w:rsidP="002D56FD">
      <w:pPr>
        <w:spacing w:line="360" w:lineRule="auto"/>
        <w:ind w:left="567" w:hanging="567"/>
        <w:jc w:val="both"/>
        <w:rPr>
          <w:rFonts w:cs="Arial"/>
        </w:rPr>
      </w:pPr>
      <w:r>
        <w:rPr>
          <w:rFonts w:cs="Arial"/>
        </w:rPr>
        <w:tab/>
        <w:t>the Secretary of State in assessing that claim will consider whether paragraph 399 or 399A applies and, if it does not, the public interest in deportation will only be outweighed by other factors where there are very compelling circumstances over and above those described in paragraphs 399 and 399A”.</w:t>
      </w:r>
    </w:p>
    <w:p w:rsidR="0089553D" w:rsidRDefault="0089553D" w:rsidP="002D56FD">
      <w:pPr>
        <w:spacing w:line="360" w:lineRule="auto"/>
        <w:ind w:left="567" w:hanging="567"/>
        <w:jc w:val="both"/>
        <w:rPr>
          <w:rFonts w:cs="Arial"/>
        </w:rPr>
      </w:pPr>
    </w:p>
    <w:p w:rsidR="0089553D" w:rsidRDefault="0089553D" w:rsidP="002D56FD">
      <w:pPr>
        <w:spacing w:line="360" w:lineRule="auto"/>
        <w:ind w:left="567" w:hanging="567"/>
        <w:jc w:val="both"/>
        <w:rPr>
          <w:rFonts w:cs="Arial"/>
        </w:rPr>
      </w:pPr>
      <w:r>
        <w:rPr>
          <w:rFonts w:cs="Arial"/>
        </w:rPr>
        <w:t>7.</w:t>
      </w:r>
      <w:r>
        <w:rPr>
          <w:rFonts w:cs="Arial"/>
        </w:rPr>
        <w:tab/>
        <w:t>Paragraph 399</w:t>
      </w:r>
      <w:r w:rsidR="00812E53">
        <w:rPr>
          <w:rFonts w:cs="Arial"/>
        </w:rPr>
        <w:t>A</w:t>
      </w:r>
      <w:r>
        <w:rPr>
          <w:rFonts w:cs="Arial"/>
        </w:rPr>
        <w:t xml:space="preserve"> of the Immigration Rules states that:</w:t>
      </w:r>
    </w:p>
    <w:p w:rsidR="0089553D" w:rsidRDefault="0089553D" w:rsidP="002D56FD">
      <w:pPr>
        <w:spacing w:line="360" w:lineRule="auto"/>
        <w:ind w:left="567" w:hanging="567"/>
        <w:jc w:val="both"/>
        <w:rPr>
          <w:rFonts w:cs="Arial"/>
        </w:rPr>
      </w:pPr>
    </w:p>
    <w:p w:rsidR="00DE5000" w:rsidRDefault="0089553D" w:rsidP="002D56FD">
      <w:pPr>
        <w:spacing w:line="360" w:lineRule="auto"/>
        <w:ind w:left="567" w:hanging="567"/>
        <w:jc w:val="both"/>
        <w:rPr>
          <w:rFonts w:cs="Arial"/>
        </w:rPr>
      </w:pPr>
      <w:r>
        <w:rPr>
          <w:rFonts w:cs="Arial"/>
        </w:rPr>
        <w:tab/>
        <w:t xml:space="preserve">“This paragraph applies </w:t>
      </w:r>
      <w:r w:rsidR="00812E53">
        <w:rPr>
          <w:rFonts w:cs="Arial"/>
        </w:rPr>
        <w:t>where paragraph (b) or (c) applies if-</w:t>
      </w:r>
    </w:p>
    <w:p w:rsidR="00812E53" w:rsidRDefault="00812E53" w:rsidP="002D56FD">
      <w:pPr>
        <w:spacing w:line="360" w:lineRule="auto"/>
        <w:ind w:left="567" w:hanging="567"/>
        <w:jc w:val="both"/>
        <w:rPr>
          <w:rFonts w:cs="Arial"/>
        </w:rPr>
      </w:pPr>
    </w:p>
    <w:p w:rsidR="00812E53" w:rsidRDefault="00812E53" w:rsidP="002D56FD">
      <w:pPr>
        <w:spacing w:line="360" w:lineRule="auto"/>
        <w:ind w:left="567" w:hanging="567"/>
        <w:jc w:val="both"/>
        <w:rPr>
          <w:rFonts w:cs="Arial"/>
        </w:rPr>
      </w:pPr>
      <w:r>
        <w:rPr>
          <w:rFonts w:cs="Arial"/>
        </w:rPr>
        <w:tab/>
        <w:t>(a)</w:t>
      </w:r>
      <w:r>
        <w:rPr>
          <w:rFonts w:cs="Arial"/>
        </w:rPr>
        <w:tab/>
        <w:t>the person has been lawfully resident in the UK for most of his life; and</w:t>
      </w:r>
    </w:p>
    <w:p w:rsidR="00812E53" w:rsidRDefault="00812E53" w:rsidP="002D56FD">
      <w:pPr>
        <w:spacing w:line="360" w:lineRule="auto"/>
        <w:ind w:left="567" w:hanging="567"/>
        <w:jc w:val="both"/>
        <w:rPr>
          <w:rFonts w:cs="Arial"/>
        </w:rPr>
      </w:pPr>
      <w:r>
        <w:rPr>
          <w:rFonts w:cs="Arial"/>
        </w:rPr>
        <w:tab/>
        <w:t>(b)</w:t>
      </w:r>
      <w:r>
        <w:rPr>
          <w:rFonts w:cs="Arial"/>
        </w:rPr>
        <w:tab/>
        <w:t>he is socially and culturally integrated in the UK; and</w:t>
      </w:r>
    </w:p>
    <w:p w:rsidR="00812E53" w:rsidRDefault="00812E53" w:rsidP="002D56FD">
      <w:pPr>
        <w:spacing w:line="360" w:lineRule="auto"/>
        <w:ind w:left="567" w:hanging="567"/>
        <w:jc w:val="both"/>
        <w:rPr>
          <w:rFonts w:cs="Arial"/>
        </w:rPr>
      </w:pPr>
      <w:r>
        <w:rPr>
          <w:rFonts w:cs="Arial"/>
        </w:rPr>
        <w:tab/>
        <w:t>(c)</w:t>
      </w:r>
      <w:r>
        <w:rPr>
          <w:rFonts w:cs="Arial"/>
        </w:rPr>
        <w:tab/>
      </w:r>
      <w:bookmarkStart w:id="1" w:name="_Hlk520642916"/>
      <w:r>
        <w:rPr>
          <w:rFonts w:cs="Arial"/>
        </w:rPr>
        <w:t xml:space="preserve">there would be very significant obstacles to his integration into the country to which it is </w:t>
      </w:r>
      <w:r>
        <w:rPr>
          <w:rFonts w:cs="Arial"/>
        </w:rPr>
        <w:tab/>
        <w:t>proposed he is deported”.</w:t>
      </w:r>
    </w:p>
    <w:bookmarkEnd w:id="1"/>
    <w:p w:rsidR="00812E53" w:rsidRDefault="00812E53" w:rsidP="002D56FD">
      <w:pPr>
        <w:spacing w:line="360" w:lineRule="auto"/>
        <w:ind w:left="567" w:hanging="567"/>
        <w:jc w:val="both"/>
        <w:rPr>
          <w:rFonts w:cs="Arial"/>
        </w:rPr>
      </w:pPr>
    </w:p>
    <w:p w:rsidR="00DE5000" w:rsidRDefault="00DE5000" w:rsidP="002D56FD">
      <w:pPr>
        <w:spacing w:line="360" w:lineRule="auto"/>
        <w:ind w:left="567" w:hanging="567"/>
        <w:jc w:val="both"/>
        <w:rPr>
          <w:rFonts w:cs="Arial"/>
        </w:rPr>
      </w:pPr>
      <w:r>
        <w:rPr>
          <w:rFonts w:cs="Arial"/>
        </w:rPr>
        <w:t>8.</w:t>
      </w:r>
      <w:r>
        <w:rPr>
          <w:rFonts w:cs="Arial"/>
        </w:rPr>
        <w:tab/>
        <w:t>Section 117C of the Nationality, Immigration and Asylum Act 2002 states that:</w:t>
      </w:r>
    </w:p>
    <w:p w:rsidR="00DE5000" w:rsidRDefault="00DE5000" w:rsidP="002D56FD">
      <w:pPr>
        <w:spacing w:line="360" w:lineRule="auto"/>
        <w:ind w:left="567" w:hanging="567"/>
        <w:jc w:val="both"/>
        <w:rPr>
          <w:rFonts w:cs="Arial"/>
        </w:rPr>
      </w:pPr>
    </w:p>
    <w:p w:rsidR="00DE5000" w:rsidRDefault="00DE5000" w:rsidP="002D56FD">
      <w:pPr>
        <w:spacing w:line="360" w:lineRule="auto"/>
        <w:ind w:left="567" w:hanging="567"/>
        <w:jc w:val="both"/>
        <w:rPr>
          <w:rFonts w:cs="Arial"/>
        </w:rPr>
      </w:pPr>
      <w:r>
        <w:rPr>
          <w:rFonts w:cs="Arial"/>
        </w:rPr>
        <w:tab/>
        <w:t>(1)</w:t>
      </w:r>
      <w:r>
        <w:rPr>
          <w:rFonts w:cs="Arial"/>
        </w:rPr>
        <w:tab/>
        <w:t>The deportation of foreign criminals is in the public interest.</w:t>
      </w:r>
    </w:p>
    <w:p w:rsidR="00DE5000" w:rsidRDefault="00DE5000" w:rsidP="002D56FD">
      <w:pPr>
        <w:spacing w:line="360" w:lineRule="auto"/>
        <w:ind w:left="567" w:hanging="567"/>
        <w:jc w:val="both"/>
        <w:rPr>
          <w:rFonts w:cs="Arial"/>
        </w:rPr>
      </w:pPr>
      <w:r>
        <w:rPr>
          <w:rFonts w:cs="Arial"/>
        </w:rPr>
        <w:tab/>
        <w:t>(2)</w:t>
      </w:r>
      <w:r>
        <w:rPr>
          <w:rFonts w:cs="Arial"/>
        </w:rPr>
        <w:tab/>
        <w:t xml:space="preserve">The more serious the offence committed by a foreign criminal, the greater is the public </w:t>
      </w:r>
      <w:r>
        <w:rPr>
          <w:rFonts w:cs="Arial"/>
        </w:rPr>
        <w:tab/>
        <w:t>interest in deportation of the criminal.</w:t>
      </w:r>
    </w:p>
    <w:p w:rsidR="00DE5000" w:rsidRDefault="00DE5000" w:rsidP="002D56FD">
      <w:pPr>
        <w:spacing w:line="360" w:lineRule="auto"/>
        <w:ind w:left="567" w:hanging="567"/>
        <w:jc w:val="both"/>
        <w:rPr>
          <w:rFonts w:cs="Arial"/>
        </w:rPr>
      </w:pPr>
      <w:r>
        <w:rPr>
          <w:rFonts w:cs="Arial"/>
        </w:rPr>
        <w:tab/>
        <w:t>(3)</w:t>
      </w:r>
      <w:r>
        <w:rPr>
          <w:rFonts w:cs="Arial"/>
        </w:rPr>
        <w:tab/>
        <w:t xml:space="preserve">In the case of a foreign criminal (“C”) who has not been sentenced to a period of </w:t>
      </w:r>
      <w:r>
        <w:rPr>
          <w:rFonts w:cs="Arial"/>
        </w:rPr>
        <w:tab/>
        <w:t xml:space="preserve">imprisonment of four years or more, the public interest requires C’s deportation unless </w:t>
      </w:r>
      <w:r>
        <w:rPr>
          <w:rFonts w:cs="Arial"/>
        </w:rPr>
        <w:tab/>
        <w:t>Exception 1 or Exception 2 applies.</w:t>
      </w:r>
    </w:p>
    <w:p w:rsidR="00812E53" w:rsidRDefault="00812E53" w:rsidP="002D56FD">
      <w:pPr>
        <w:spacing w:line="360" w:lineRule="auto"/>
        <w:ind w:left="567" w:hanging="567"/>
        <w:jc w:val="both"/>
        <w:rPr>
          <w:rFonts w:cs="Arial"/>
        </w:rPr>
      </w:pPr>
      <w:r>
        <w:rPr>
          <w:rFonts w:cs="Arial"/>
        </w:rPr>
        <w:tab/>
        <w:t>(4)</w:t>
      </w:r>
      <w:r>
        <w:rPr>
          <w:rFonts w:cs="Arial"/>
        </w:rPr>
        <w:tab/>
        <w:t>Exception 1 applies where-</w:t>
      </w:r>
    </w:p>
    <w:p w:rsidR="00812E53" w:rsidRDefault="00812E53" w:rsidP="00812E53">
      <w:pPr>
        <w:spacing w:line="360" w:lineRule="auto"/>
        <w:ind w:left="567" w:hanging="567"/>
        <w:jc w:val="both"/>
        <w:rPr>
          <w:rFonts w:cs="Arial"/>
        </w:rPr>
      </w:pPr>
      <w:r>
        <w:rPr>
          <w:rFonts w:cs="Arial"/>
        </w:rPr>
        <w:tab/>
      </w:r>
      <w:r>
        <w:rPr>
          <w:rFonts w:cs="Arial"/>
        </w:rPr>
        <w:tab/>
        <w:t>(a)</w:t>
      </w:r>
      <w:r>
        <w:rPr>
          <w:rFonts w:cs="Arial"/>
        </w:rPr>
        <w:tab/>
        <w:t>C has been lawfully resident in the UK for most of his life; and</w:t>
      </w:r>
    </w:p>
    <w:p w:rsidR="00812E53" w:rsidRDefault="00812E53" w:rsidP="00812E53">
      <w:pPr>
        <w:spacing w:line="360" w:lineRule="auto"/>
        <w:ind w:left="567" w:hanging="567"/>
        <w:jc w:val="both"/>
        <w:rPr>
          <w:rFonts w:cs="Arial"/>
        </w:rPr>
      </w:pPr>
      <w:r>
        <w:rPr>
          <w:rFonts w:cs="Arial"/>
        </w:rPr>
        <w:tab/>
      </w:r>
      <w:r>
        <w:rPr>
          <w:rFonts w:cs="Arial"/>
        </w:rPr>
        <w:tab/>
        <w:t>(b)</w:t>
      </w:r>
      <w:r>
        <w:rPr>
          <w:rFonts w:cs="Arial"/>
        </w:rPr>
        <w:tab/>
        <w:t>C is socially and culturally integrated in the UK; and</w:t>
      </w:r>
    </w:p>
    <w:p w:rsidR="00812E53" w:rsidRDefault="00812E53" w:rsidP="00812E53">
      <w:pPr>
        <w:spacing w:line="360" w:lineRule="auto"/>
        <w:ind w:left="567" w:hanging="567"/>
        <w:jc w:val="both"/>
        <w:rPr>
          <w:rFonts w:cs="Arial"/>
        </w:rPr>
      </w:pPr>
      <w:r>
        <w:rPr>
          <w:rFonts w:cs="Arial"/>
        </w:rPr>
        <w:lastRenderedPageBreak/>
        <w:tab/>
        <w:t>(c)</w:t>
      </w:r>
      <w:r>
        <w:rPr>
          <w:rFonts w:cs="Arial"/>
        </w:rPr>
        <w:tab/>
        <w:t xml:space="preserve">there would be very significant obstacles to his integration into the country to which C is </w:t>
      </w:r>
      <w:r>
        <w:rPr>
          <w:rFonts w:cs="Arial"/>
        </w:rPr>
        <w:tab/>
        <w:t>proposed to be deported”.</w:t>
      </w:r>
    </w:p>
    <w:p w:rsidR="00DE5000" w:rsidRDefault="00B23D2D" w:rsidP="002D56FD">
      <w:pPr>
        <w:spacing w:line="360" w:lineRule="auto"/>
        <w:ind w:left="567" w:hanging="567"/>
        <w:jc w:val="both"/>
        <w:rPr>
          <w:rFonts w:cs="Arial"/>
        </w:rPr>
      </w:pPr>
      <w:r>
        <w:rPr>
          <w:rFonts w:cs="Arial"/>
        </w:rPr>
        <w:t xml:space="preserve">                              </w:t>
      </w:r>
    </w:p>
    <w:p w:rsidR="00B23D2D" w:rsidRDefault="00B23D2D" w:rsidP="002D56FD">
      <w:pPr>
        <w:spacing w:line="360" w:lineRule="auto"/>
        <w:ind w:left="567" w:hanging="567"/>
        <w:jc w:val="both"/>
        <w:rPr>
          <w:rFonts w:cs="Arial"/>
        </w:rPr>
      </w:pPr>
      <w:r>
        <w:rPr>
          <w:rFonts w:cs="Arial"/>
        </w:rPr>
        <w:t>9.</w:t>
      </w:r>
      <w:r>
        <w:rPr>
          <w:rFonts w:cs="Arial"/>
        </w:rPr>
        <w:tab/>
      </w:r>
      <w:r w:rsidR="00812E53">
        <w:rPr>
          <w:rFonts w:cs="Arial"/>
        </w:rPr>
        <w:t xml:space="preserve">At the </w:t>
      </w:r>
      <w:r w:rsidR="00BB79FA">
        <w:rPr>
          <w:rFonts w:cs="Arial"/>
        </w:rPr>
        <w:t xml:space="preserve">First-tier Tribunal </w:t>
      </w:r>
      <w:r w:rsidR="00812E53">
        <w:rPr>
          <w:rFonts w:cs="Arial"/>
        </w:rPr>
        <w:t>hearing the Respondent submitted</w:t>
      </w:r>
      <w:r w:rsidR="006B30DC">
        <w:rPr>
          <w:rFonts w:cs="Arial"/>
        </w:rPr>
        <w:t>,</w:t>
      </w:r>
      <w:r w:rsidR="00812E53">
        <w:rPr>
          <w:rFonts w:cs="Arial"/>
        </w:rPr>
        <w:t xml:space="preserve"> and First-tier Tribunal Judge </w:t>
      </w:r>
      <w:proofErr w:type="spellStart"/>
      <w:r w:rsidR="00812E53">
        <w:rPr>
          <w:rFonts w:cs="Arial"/>
        </w:rPr>
        <w:t>Housego</w:t>
      </w:r>
      <w:proofErr w:type="spellEnd"/>
      <w:r w:rsidR="00812E53">
        <w:rPr>
          <w:rFonts w:cs="Arial"/>
        </w:rPr>
        <w:t xml:space="preserve"> accepted</w:t>
      </w:r>
      <w:r w:rsidR="006B30DC">
        <w:rPr>
          <w:rFonts w:cs="Arial"/>
        </w:rPr>
        <w:t>,</w:t>
      </w:r>
      <w:r w:rsidR="00812E53">
        <w:rPr>
          <w:rFonts w:cs="Arial"/>
        </w:rPr>
        <w:t xml:space="preserve"> that the Appellant had been </w:t>
      </w:r>
      <w:r w:rsidR="006D568A">
        <w:rPr>
          <w:rFonts w:cs="Arial"/>
        </w:rPr>
        <w:t>sentenced to more than four years imprisonment and that, therefore, paragraph 399A of the Immigration Rules and section 117</w:t>
      </w:r>
      <w:proofErr w:type="gramStart"/>
      <w:r w:rsidR="006D568A">
        <w:rPr>
          <w:rFonts w:cs="Arial"/>
        </w:rPr>
        <w:t>C(</w:t>
      </w:r>
      <w:proofErr w:type="gramEnd"/>
      <w:r w:rsidR="006D568A">
        <w:rPr>
          <w:rFonts w:cs="Arial"/>
        </w:rPr>
        <w:t>4) did not apply to him.  In particular, in paragraph 35 of his decision, the First-tier Tribunal Judge found that “on the first sentenci</w:t>
      </w:r>
      <w:r w:rsidR="00BB79FA">
        <w:rPr>
          <w:rFonts w:cs="Arial"/>
        </w:rPr>
        <w:t>ng occasion there had been a 12-</w:t>
      </w:r>
      <w:r w:rsidR="006D568A">
        <w:rPr>
          <w:rFonts w:cs="Arial"/>
        </w:rPr>
        <w:t>month sentence and a four</w:t>
      </w:r>
      <w:r w:rsidR="006B30DC">
        <w:rPr>
          <w:rFonts w:cs="Arial"/>
        </w:rPr>
        <w:t>-</w:t>
      </w:r>
      <w:r w:rsidR="006D568A">
        <w:rPr>
          <w:rFonts w:cs="Arial"/>
        </w:rPr>
        <w:t>month sentence consecutive to it. The next conviction had been for an offence committed, tried and sentenced while the appellant was serving that sentence and was for 32 months consecutive to the other sentences”.</w:t>
      </w:r>
    </w:p>
    <w:p w:rsidR="00B23D2D" w:rsidRDefault="00B23D2D" w:rsidP="002D56FD">
      <w:pPr>
        <w:spacing w:line="360" w:lineRule="auto"/>
        <w:ind w:left="567" w:hanging="567"/>
        <w:jc w:val="both"/>
        <w:rPr>
          <w:rFonts w:cs="Arial"/>
        </w:rPr>
      </w:pPr>
    </w:p>
    <w:p w:rsidR="006D568A" w:rsidRDefault="00B23D2D" w:rsidP="002D56FD">
      <w:pPr>
        <w:spacing w:line="360" w:lineRule="auto"/>
        <w:ind w:left="567" w:hanging="567"/>
        <w:jc w:val="both"/>
        <w:rPr>
          <w:rFonts w:cs="Arial"/>
        </w:rPr>
      </w:pPr>
      <w:r>
        <w:rPr>
          <w:rFonts w:cs="Arial"/>
        </w:rPr>
        <w:t>10.</w:t>
      </w:r>
      <w:r>
        <w:rPr>
          <w:rFonts w:cs="Arial"/>
        </w:rPr>
        <w:tab/>
      </w:r>
      <w:r w:rsidR="006D568A">
        <w:rPr>
          <w:rFonts w:cs="Arial"/>
        </w:rPr>
        <w:t xml:space="preserve">However, the sentencing remarks made at the Inner London Crown Court on 15 July 2016 </w:t>
      </w:r>
      <w:r w:rsidR="00BB79FA">
        <w:rPr>
          <w:rFonts w:cs="Arial"/>
        </w:rPr>
        <w:t>clearly state</w:t>
      </w:r>
      <w:r w:rsidR="006D568A">
        <w:rPr>
          <w:rFonts w:cs="Arial"/>
        </w:rPr>
        <w:t xml:space="preserve"> on page 5:</w:t>
      </w:r>
    </w:p>
    <w:p w:rsidR="006D568A" w:rsidRDefault="006D568A" w:rsidP="002D56FD">
      <w:pPr>
        <w:spacing w:line="360" w:lineRule="auto"/>
        <w:ind w:left="567" w:hanging="567"/>
        <w:jc w:val="both"/>
        <w:rPr>
          <w:rFonts w:cs="Arial"/>
        </w:rPr>
      </w:pPr>
    </w:p>
    <w:p w:rsidR="006D568A" w:rsidRDefault="006D568A" w:rsidP="002D56FD">
      <w:pPr>
        <w:spacing w:line="360" w:lineRule="auto"/>
        <w:ind w:left="567" w:hanging="567"/>
        <w:jc w:val="both"/>
        <w:rPr>
          <w:rFonts w:cs="Arial"/>
        </w:rPr>
      </w:pPr>
      <w:r>
        <w:rPr>
          <w:rFonts w:cs="Arial"/>
        </w:rPr>
        <w:tab/>
        <w:t>“Eccles, giving you credit, full credit for your plea of guilty, the sentence is 32 months. In your case that will run concurrent to the present sentence that you are serving because it is an offence which pre-dates the offence for which your received that sentence and you are certainly not in breach or any suspended sentence of imprisonment”.</w:t>
      </w:r>
    </w:p>
    <w:p w:rsidR="006D568A" w:rsidRDefault="006D568A" w:rsidP="002D56FD">
      <w:pPr>
        <w:spacing w:line="360" w:lineRule="auto"/>
        <w:ind w:left="567" w:hanging="567"/>
        <w:jc w:val="both"/>
        <w:rPr>
          <w:rFonts w:cs="Arial"/>
        </w:rPr>
      </w:pPr>
    </w:p>
    <w:p w:rsidR="00461697" w:rsidRDefault="006D568A" w:rsidP="002D56FD">
      <w:pPr>
        <w:spacing w:line="360" w:lineRule="auto"/>
        <w:ind w:left="567" w:hanging="567"/>
        <w:jc w:val="both"/>
        <w:rPr>
          <w:rFonts w:cs="Arial"/>
        </w:rPr>
      </w:pPr>
      <w:r>
        <w:rPr>
          <w:rFonts w:cs="Arial"/>
        </w:rPr>
        <w:t>11.</w:t>
      </w:r>
      <w:r>
        <w:rPr>
          <w:rFonts w:cs="Arial"/>
        </w:rPr>
        <w:tab/>
        <w:t>This statement is not completely clear but it is correct that the offence of assault pre-dated his conviction for violent disorder and having a bladed instrument in a public place, as it occurred when he was on remand. In addition, the sentences were to run concurrently not conse</w:t>
      </w:r>
      <w:r w:rsidR="00461697">
        <w:rPr>
          <w:rFonts w:cs="Arial"/>
        </w:rPr>
        <w:t>cutively and, therefore, the total time he had to serve could not have been in excess of four years.</w:t>
      </w:r>
    </w:p>
    <w:p w:rsidR="00461697" w:rsidRDefault="00461697" w:rsidP="002D56FD">
      <w:pPr>
        <w:spacing w:line="360" w:lineRule="auto"/>
        <w:ind w:left="567" w:hanging="567"/>
        <w:jc w:val="both"/>
        <w:rPr>
          <w:rFonts w:cs="Arial"/>
        </w:rPr>
      </w:pPr>
    </w:p>
    <w:p w:rsidR="000C7E4D" w:rsidRDefault="00461697" w:rsidP="002D56FD">
      <w:pPr>
        <w:spacing w:line="360" w:lineRule="auto"/>
        <w:ind w:left="567" w:hanging="567"/>
        <w:jc w:val="both"/>
        <w:rPr>
          <w:rFonts w:cs="Arial"/>
        </w:rPr>
      </w:pPr>
      <w:r>
        <w:rPr>
          <w:rFonts w:cs="Arial"/>
        </w:rPr>
        <w:t>12.</w:t>
      </w:r>
      <w:r>
        <w:rPr>
          <w:rFonts w:cs="Arial"/>
        </w:rPr>
        <w:tab/>
        <w:t>Furthermore, I find that the proper construction of the phrase “sentenced to a period of imprisonment of four years or more” indicates that it is a reference to being sentenced on one occasion to a period of imprisonment of more than four years</w:t>
      </w:r>
      <w:r w:rsidR="00BB79FA">
        <w:rPr>
          <w:rFonts w:cs="Arial"/>
        </w:rPr>
        <w:t>, as the singular “a” is used</w:t>
      </w:r>
      <w:r>
        <w:rPr>
          <w:rFonts w:cs="Arial"/>
        </w:rPr>
        <w:t xml:space="preserve">. </w:t>
      </w:r>
    </w:p>
    <w:p w:rsidR="00461697" w:rsidRDefault="00461697" w:rsidP="002D56FD">
      <w:pPr>
        <w:spacing w:line="360" w:lineRule="auto"/>
        <w:ind w:left="567" w:hanging="567"/>
        <w:jc w:val="both"/>
        <w:rPr>
          <w:rFonts w:cs="Arial"/>
        </w:rPr>
      </w:pPr>
    </w:p>
    <w:p w:rsidR="00CD42F5" w:rsidRDefault="00BB79FA" w:rsidP="002D56FD">
      <w:pPr>
        <w:spacing w:line="360" w:lineRule="auto"/>
        <w:ind w:left="567" w:hanging="567"/>
        <w:jc w:val="both"/>
        <w:rPr>
          <w:rFonts w:cs="Arial"/>
        </w:rPr>
      </w:pPr>
      <w:r>
        <w:rPr>
          <w:rFonts w:cs="Arial"/>
        </w:rPr>
        <w:t>1</w:t>
      </w:r>
      <w:r w:rsidR="006B30DC">
        <w:rPr>
          <w:rFonts w:cs="Arial"/>
        </w:rPr>
        <w:t>3</w:t>
      </w:r>
      <w:r>
        <w:rPr>
          <w:rFonts w:cs="Arial"/>
        </w:rPr>
        <w:t>.</w:t>
      </w:r>
      <w:r>
        <w:rPr>
          <w:rFonts w:cs="Arial"/>
        </w:rPr>
        <w:tab/>
        <w:t xml:space="preserve">The Home Office Presenting Officer accepted that that First-tier Tribunal Judge </w:t>
      </w:r>
      <w:proofErr w:type="spellStart"/>
      <w:r>
        <w:rPr>
          <w:rFonts w:cs="Arial"/>
        </w:rPr>
        <w:t>Housego</w:t>
      </w:r>
      <w:proofErr w:type="spellEnd"/>
      <w:r>
        <w:rPr>
          <w:rFonts w:cs="Arial"/>
        </w:rPr>
        <w:t xml:space="preserve"> had erred in law when finding that </w:t>
      </w:r>
      <w:r w:rsidR="00CD42F5">
        <w:rPr>
          <w:rFonts w:cs="Arial"/>
        </w:rPr>
        <w:t>the Appellant had been sentenced to “a” period of imprisonment in excess of four years. In particular, he relied on section 117D(4)(b) of the Nationality, Immigration and Asylum Act 2002 which stated that:</w:t>
      </w:r>
    </w:p>
    <w:p w:rsidR="00CD42F5" w:rsidRDefault="00CD42F5" w:rsidP="002D56FD">
      <w:pPr>
        <w:spacing w:line="360" w:lineRule="auto"/>
        <w:ind w:left="567" w:hanging="567"/>
        <w:jc w:val="both"/>
        <w:rPr>
          <w:rFonts w:cs="Arial"/>
        </w:rPr>
      </w:pPr>
    </w:p>
    <w:p w:rsidR="00CD42F5" w:rsidRDefault="00CD42F5" w:rsidP="002D56FD">
      <w:pPr>
        <w:spacing w:line="360" w:lineRule="auto"/>
        <w:ind w:left="567" w:hanging="567"/>
        <w:jc w:val="both"/>
        <w:rPr>
          <w:rFonts w:cs="Arial"/>
        </w:rPr>
      </w:pPr>
      <w:r>
        <w:rPr>
          <w:rFonts w:cs="Arial"/>
        </w:rPr>
        <w:lastRenderedPageBreak/>
        <w:tab/>
        <w:t>“In this part, references to a person who has been sentenced to a period of imprisonment of a certain length of time-</w:t>
      </w:r>
    </w:p>
    <w:p w:rsidR="00CD42F5" w:rsidRDefault="00CD42F5" w:rsidP="002D56FD">
      <w:pPr>
        <w:spacing w:line="360" w:lineRule="auto"/>
        <w:ind w:left="567" w:hanging="567"/>
        <w:jc w:val="both"/>
        <w:rPr>
          <w:rFonts w:cs="Arial"/>
        </w:rPr>
      </w:pPr>
      <w:r>
        <w:rPr>
          <w:rFonts w:cs="Arial"/>
        </w:rPr>
        <w:tab/>
        <w:t>(b)</w:t>
      </w:r>
      <w:r>
        <w:rPr>
          <w:rFonts w:cs="Arial"/>
        </w:rPr>
        <w:tab/>
        <w:t>do not include a person who has been sentenced to a period of imprisonment of that length of time only by virtue of being sentenced to consecutive sentences amounting to that length of time only by virtue of being sentenced to consecutive sentences amounting in aggregate to that length of time”.</w:t>
      </w:r>
    </w:p>
    <w:p w:rsidR="00CD42F5" w:rsidRDefault="00CD42F5" w:rsidP="002D56FD">
      <w:pPr>
        <w:spacing w:line="360" w:lineRule="auto"/>
        <w:ind w:left="567" w:hanging="567"/>
        <w:jc w:val="both"/>
        <w:rPr>
          <w:rFonts w:cs="Arial"/>
        </w:rPr>
      </w:pPr>
    </w:p>
    <w:p w:rsidR="00506529" w:rsidRDefault="00CD42F5" w:rsidP="002D56FD">
      <w:pPr>
        <w:spacing w:line="360" w:lineRule="auto"/>
        <w:ind w:left="567" w:hanging="567"/>
        <w:jc w:val="both"/>
        <w:rPr>
          <w:rFonts w:cs="Arial"/>
        </w:rPr>
      </w:pPr>
      <w:r>
        <w:rPr>
          <w:rFonts w:cs="Arial"/>
        </w:rPr>
        <w:t>1</w:t>
      </w:r>
      <w:r w:rsidR="001735ED">
        <w:rPr>
          <w:rFonts w:cs="Arial"/>
        </w:rPr>
        <w:t>4</w:t>
      </w:r>
      <w:r>
        <w:rPr>
          <w:rFonts w:cs="Arial"/>
        </w:rPr>
        <w:t>.</w:t>
      </w:r>
      <w:r>
        <w:rPr>
          <w:rFonts w:cs="Arial"/>
        </w:rPr>
        <w:tab/>
        <w:t>However, he submitted that the error made by the First-tier Tribunal Judge was not material to his decision</w:t>
      </w:r>
      <w:r w:rsidR="001735ED">
        <w:rPr>
          <w:rFonts w:cs="Arial"/>
        </w:rPr>
        <w:t>,</w:t>
      </w:r>
      <w:r>
        <w:rPr>
          <w:rFonts w:cs="Arial"/>
        </w:rPr>
        <w:t xml:space="preserve"> as the Appellant could not have succeeded on the evidence even if the Judge had accepted that he had been sentenced to a period of time which was more than 12 months but less than four years. </w:t>
      </w:r>
      <w:r w:rsidR="00506529">
        <w:rPr>
          <w:rFonts w:cs="Arial"/>
        </w:rPr>
        <w:t xml:space="preserve">In particular, he noted that the Appellant did not have a partner or child in the United Kingdom and was not integrated into society here because of his offending behaviour. </w:t>
      </w:r>
    </w:p>
    <w:p w:rsidR="00506529" w:rsidRDefault="00506529" w:rsidP="002D56FD">
      <w:pPr>
        <w:spacing w:line="360" w:lineRule="auto"/>
        <w:ind w:left="567" w:hanging="567"/>
        <w:jc w:val="both"/>
        <w:rPr>
          <w:rFonts w:cs="Arial"/>
        </w:rPr>
      </w:pPr>
    </w:p>
    <w:p w:rsidR="00BB79FA" w:rsidRDefault="00506529" w:rsidP="002D56FD">
      <w:pPr>
        <w:spacing w:line="360" w:lineRule="auto"/>
        <w:ind w:left="567" w:hanging="567"/>
        <w:jc w:val="both"/>
        <w:rPr>
          <w:rFonts w:cs="Arial"/>
        </w:rPr>
      </w:pPr>
      <w:r>
        <w:rPr>
          <w:rFonts w:cs="Arial"/>
        </w:rPr>
        <w:t>1</w:t>
      </w:r>
      <w:r w:rsidR="001735ED">
        <w:rPr>
          <w:rFonts w:cs="Arial"/>
        </w:rPr>
        <w:t>5</w:t>
      </w:r>
      <w:r>
        <w:rPr>
          <w:rFonts w:cs="Arial"/>
        </w:rPr>
        <w:t>.</w:t>
      </w:r>
      <w:r>
        <w:rPr>
          <w:rFonts w:cs="Arial"/>
        </w:rPr>
        <w:tab/>
        <w:t xml:space="preserve">He also relied on the finding by the First-tier Tribunal Judge in paragraph 44 of his decision that the Appellant did not enjoy a family life with his mother. Counsel for the Appellant submitted that the Judge had failed to give sufficient reasons for his findings in this paragraph given that the Appellant had continued to live with his mother once he became an adult and had been dependent upon her since his arrival here. It is my view that the Judge did fail to give sufficient reasons in relation to the existence of a family life. </w:t>
      </w:r>
      <w:r w:rsidR="00CD42F5">
        <w:rPr>
          <w:rFonts w:cs="Arial"/>
        </w:rPr>
        <w:t xml:space="preserve"> </w:t>
      </w:r>
    </w:p>
    <w:p w:rsidR="00461697" w:rsidRDefault="00461697" w:rsidP="002D56FD">
      <w:pPr>
        <w:spacing w:line="360" w:lineRule="auto"/>
        <w:ind w:left="567" w:hanging="567"/>
        <w:jc w:val="both"/>
        <w:rPr>
          <w:rFonts w:cs="Arial"/>
        </w:rPr>
      </w:pPr>
    </w:p>
    <w:p w:rsidR="00461697" w:rsidRDefault="00461697" w:rsidP="002D56FD">
      <w:pPr>
        <w:spacing w:line="360" w:lineRule="auto"/>
        <w:ind w:left="567" w:hanging="567"/>
        <w:jc w:val="both"/>
        <w:rPr>
          <w:rFonts w:cs="Arial"/>
        </w:rPr>
      </w:pPr>
      <w:r>
        <w:rPr>
          <w:rFonts w:cs="Arial"/>
        </w:rPr>
        <w:t>1</w:t>
      </w:r>
      <w:r w:rsidR="001735ED">
        <w:rPr>
          <w:rFonts w:cs="Arial"/>
        </w:rPr>
        <w:t>6</w:t>
      </w:r>
      <w:r>
        <w:rPr>
          <w:rFonts w:cs="Arial"/>
        </w:rPr>
        <w:t>.</w:t>
      </w:r>
      <w:r>
        <w:rPr>
          <w:rFonts w:cs="Arial"/>
        </w:rPr>
        <w:tab/>
      </w:r>
      <w:r w:rsidR="00506529">
        <w:rPr>
          <w:rFonts w:cs="Arial"/>
        </w:rPr>
        <w:t>I also agree with counsel for the Appellant that the failure to correctly categorise the Appellant for the purposes of section 117A-D of the Nationality, Immigration and Asylum Act 2002 and the corresponding provisions in the Immigration Rules will have undermined the First-tier Tribunal Judge’s ability to give sufficient scrutiny to the evidence before him in the context of p</w:t>
      </w:r>
      <w:r>
        <w:rPr>
          <w:rFonts w:cs="Arial"/>
        </w:rPr>
        <w:t>aragraph 399A of the Immigration Rules and section 117</w:t>
      </w:r>
      <w:proofErr w:type="gramStart"/>
      <w:r>
        <w:rPr>
          <w:rFonts w:cs="Arial"/>
        </w:rPr>
        <w:t>C(</w:t>
      </w:r>
      <w:proofErr w:type="gramEnd"/>
      <w:r>
        <w:rPr>
          <w:rFonts w:cs="Arial"/>
        </w:rPr>
        <w:t>4) of the Nationality, Immigration and Asylum Act 2002.</w:t>
      </w:r>
    </w:p>
    <w:p w:rsidR="001735ED" w:rsidRDefault="001735ED" w:rsidP="002D56FD">
      <w:pPr>
        <w:spacing w:line="360" w:lineRule="auto"/>
        <w:ind w:left="567" w:hanging="567"/>
        <w:jc w:val="both"/>
        <w:rPr>
          <w:rFonts w:cs="Arial"/>
        </w:rPr>
      </w:pPr>
    </w:p>
    <w:p w:rsidR="001735ED" w:rsidRDefault="001735ED" w:rsidP="001735ED">
      <w:pPr>
        <w:spacing w:line="360" w:lineRule="auto"/>
        <w:ind w:left="567" w:hanging="567"/>
        <w:jc w:val="both"/>
        <w:rPr>
          <w:rFonts w:cs="Arial"/>
        </w:rPr>
      </w:pPr>
      <w:r>
        <w:rPr>
          <w:rFonts w:cs="Arial"/>
        </w:rPr>
        <w:t>17.</w:t>
      </w:r>
      <w:r>
        <w:rPr>
          <w:rFonts w:cs="Arial"/>
        </w:rPr>
        <w:tab/>
        <w:t>In paragraph 52 of his decision, the First-tier Tribunal Judge dealt very briefly with what would have been the outcome if he had not been sentenced to a term of imprisonment of more than four years.  However, no reasons were given for finding that he would not be able to meet the test contained in Exception 1 and no weight was given to the length of time he had been here without leave on account of being a child dependent upon applications made by his mother.</w:t>
      </w:r>
    </w:p>
    <w:p w:rsidR="001735ED" w:rsidRDefault="001735ED" w:rsidP="001735ED">
      <w:pPr>
        <w:spacing w:line="360" w:lineRule="auto"/>
        <w:ind w:left="567" w:hanging="567"/>
        <w:jc w:val="both"/>
        <w:rPr>
          <w:rFonts w:cs="Arial"/>
        </w:rPr>
      </w:pPr>
    </w:p>
    <w:p w:rsidR="00461697" w:rsidRDefault="00461697" w:rsidP="002D56FD">
      <w:pPr>
        <w:spacing w:line="360" w:lineRule="auto"/>
        <w:ind w:left="567" w:hanging="567"/>
        <w:jc w:val="both"/>
        <w:rPr>
          <w:rFonts w:cs="Arial"/>
        </w:rPr>
      </w:pPr>
      <w:r>
        <w:rPr>
          <w:rFonts w:cs="Arial"/>
        </w:rPr>
        <w:lastRenderedPageBreak/>
        <w:t>1</w:t>
      </w:r>
      <w:r w:rsidR="001735ED">
        <w:rPr>
          <w:rFonts w:cs="Arial"/>
        </w:rPr>
        <w:t>8</w:t>
      </w:r>
      <w:r>
        <w:rPr>
          <w:rFonts w:cs="Arial"/>
        </w:rPr>
        <w:t>.</w:t>
      </w:r>
      <w:r>
        <w:rPr>
          <w:rFonts w:cs="Arial"/>
        </w:rPr>
        <w:tab/>
        <w:t xml:space="preserve">In addition, </w:t>
      </w:r>
      <w:r w:rsidR="00506529">
        <w:rPr>
          <w:rFonts w:cs="Arial"/>
        </w:rPr>
        <w:t xml:space="preserve">although </w:t>
      </w:r>
      <w:r>
        <w:rPr>
          <w:rFonts w:cs="Arial"/>
        </w:rPr>
        <w:t>the First-tier Tribunal Judge accepted in paragraph 47 of his decision, that the Appellant was entitled to leave to remain under paragraph 276ADE(1)(v)</w:t>
      </w:r>
      <w:r w:rsidR="00506529">
        <w:rPr>
          <w:rFonts w:cs="Arial"/>
        </w:rPr>
        <w:t xml:space="preserve">, he failed to </w:t>
      </w:r>
      <w:r w:rsidR="001735ED">
        <w:rPr>
          <w:rFonts w:cs="Arial"/>
        </w:rPr>
        <w:t xml:space="preserve">give any weight this factor or the fact that this would have been relevant to any consideration of the Appellant’s period of lawful residence here. </w:t>
      </w:r>
      <w:r w:rsidR="00F92BC5">
        <w:rPr>
          <w:rFonts w:cs="Arial"/>
        </w:rPr>
        <w:t xml:space="preserve"> </w:t>
      </w:r>
    </w:p>
    <w:p w:rsidR="001735ED" w:rsidRDefault="001735ED" w:rsidP="002D56FD">
      <w:pPr>
        <w:spacing w:line="360" w:lineRule="auto"/>
        <w:ind w:left="567" w:hanging="567"/>
        <w:jc w:val="both"/>
        <w:rPr>
          <w:rFonts w:cs="Arial"/>
        </w:rPr>
      </w:pPr>
    </w:p>
    <w:p w:rsidR="001735ED" w:rsidRDefault="001735ED" w:rsidP="002D56FD">
      <w:pPr>
        <w:spacing w:line="360" w:lineRule="auto"/>
        <w:ind w:left="567" w:hanging="567"/>
        <w:jc w:val="both"/>
        <w:rPr>
          <w:rFonts w:cs="Arial"/>
        </w:rPr>
      </w:pPr>
      <w:r>
        <w:rPr>
          <w:rFonts w:cs="Arial"/>
        </w:rPr>
        <w:t>19.</w:t>
      </w:r>
      <w:r>
        <w:rPr>
          <w:rFonts w:cs="Arial"/>
        </w:rPr>
        <w:tab/>
        <w:t xml:space="preserve">It is also the case that the outcome of the appeal may have been different if the First-tier Tribunal Judges had applied the very significant obstacles test to his removal, in contrast to the very compelling circumstances test. </w:t>
      </w:r>
    </w:p>
    <w:p w:rsidR="00496AC7" w:rsidRDefault="00496AC7" w:rsidP="002D56FD">
      <w:pPr>
        <w:spacing w:line="360" w:lineRule="auto"/>
        <w:ind w:left="567" w:hanging="567"/>
        <w:jc w:val="both"/>
        <w:rPr>
          <w:rFonts w:cs="Arial"/>
        </w:rPr>
      </w:pPr>
    </w:p>
    <w:p w:rsidR="00002FE6" w:rsidRPr="0068707D" w:rsidRDefault="001735ED" w:rsidP="002D56FD">
      <w:pPr>
        <w:spacing w:line="360" w:lineRule="auto"/>
        <w:ind w:left="567" w:hanging="567"/>
        <w:jc w:val="both"/>
        <w:rPr>
          <w:rFonts w:cs="Arial"/>
        </w:rPr>
      </w:pPr>
      <w:r>
        <w:rPr>
          <w:rFonts w:cs="Arial"/>
        </w:rPr>
        <w:t>20</w:t>
      </w:r>
      <w:r w:rsidR="00002FE6">
        <w:rPr>
          <w:rFonts w:cs="Arial"/>
        </w:rPr>
        <w:t>.</w:t>
      </w:r>
      <w:r w:rsidR="00002FE6">
        <w:rPr>
          <w:rFonts w:cs="Arial"/>
        </w:rPr>
        <w:tab/>
        <w:t>As a consequence, the</w:t>
      </w:r>
      <w:r w:rsidR="0018739D">
        <w:rPr>
          <w:rFonts w:cs="Arial"/>
        </w:rPr>
        <w:t xml:space="preserve">re were errors of law in First-tier Tribunal Judge </w:t>
      </w:r>
      <w:proofErr w:type="spellStart"/>
      <w:r w:rsidR="00496AC7">
        <w:rPr>
          <w:rFonts w:cs="Arial"/>
        </w:rPr>
        <w:t>Housego</w:t>
      </w:r>
      <w:r w:rsidR="0018739D">
        <w:rPr>
          <w:rFonts w:cs="Arial"/>
        </w:rPr>
        <w:t>’</w:t>
      </w:r>
      <w:r>
        <w:rPr>
          <w:rFonts w:cs="Arial"/>
        </w:rPr>
        <w:t>s</w:t>
      </w:r>
      <w:proofErr w:type="spellEnd"/>
      <w:r w:rsidR="0018739D">
        <w:rPr>
          <w:rFonts w:cs="Arial"/>
        </w:rPr>
        <w:t xml:space="preserve"> </w:t>
      </w:r>
      <w:r w:rsidR="00002FE6">
        <w:rPr>
          <w:rFonts w:cs="Arial"/>
        </w:rPr>
        <w:t xml:space="preserve">decision. </w:t>
      </w:r>
    </w:p>
    <w:p w:rsidR="00DB032D" w:rsidRDefault="00DB032D" w:rsidP="002D56FD">
      <w:pPr>
        <w:spacing w:line="360" w:lineRule="auto"/>
        <w:ind w:left="567" w:hanging="567"/>
        <w:jc w:val="both"/>
        <w:rPr>
          <w:rFonts w:cs="Arial"/>
        </w:rPr>
      </w:pPr>
    </w:p>
    <w:p w:rsidR="00DB032D" w:rsidRPr="00DB032D" w:rsidRDefault="00DB032D" w:rsidP="00DB032D">
      <w:pPr>
        <w:spacing w:line="360" w:lineRule="auto"/>
        <w:ind w:left="1134" w:hanging="1134"/>
        <w:jc w:val="both"/>
        <w:rPr>
          <w:rFonts w:cs="Arial"/>
        </w:rPr>
      </w:pPr>
      <w:r>
        <w:rPr>
          <w:rFonts w:cs="Arial"/>
        </w:rPr>
        <w:t xml:space="preserve"> </w:t>
      </w:r>
    </w:p>
    <w:p w:rsidR="003257CA" w:rsidRPr="00C027FD" w:rsidRDefault="003257CA" w:rsidP="00B478BC">
      <w:pPr>
        <w:spacing w:line="360" w:lineRule="auto"/>
        <w:ind w:left="567" w:hanging="567"/>
        <w:jc w:val="both"/>
        <w:rPr>
          <w:rFonts w:ascii="Book Antiqua" w:hAnsi="Book Antiqua" w:cs="Arial"/>
          <w:b/>
        </w:rPr>
      </w:pPr>
      <w:r w:rsidRPr="00C027FD">
        <w:rPr>
          <w:rFonts w:ascii="Book Antiqua" w:hAnsi="Book Antiqua" w:cs="Arial"/>
          <w:b/>
        </w:rPr>
        <w:t xml:space="preserve">DECISION </w:t>
      </w:r>
    </w:p>
    <w:p w:rsidR="003257CA" w:rsidRPr="00C027FD" w:rsidRDefault="003257CA" w:rsidP="00026E39">
      <w:pPr>
        <w:ind w:left="567" w:hanging="567"/>
        <w:jc w:val="both"/>
        <w:rPr>
          <w:rFonts w:ascii="Book Antiqua" w:hAnsi="Book Antiqua" w:cs="Arial"/>
          <w:b/>
        </w:rPr>
      </w:pPr>
    </w:p>
    <w:p w:rsidR="003257CA" w:rsidRDefault="003257CA" w:rsidP="00E25D2E">
      <w:pPr>
        <w:spacing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t>The Appellant’s appeal is allowed</w:t>
      </w:r>
      <w:r w:rsidR="006B2C82">
        <w:rPr>
          <w:rFonts w:ascii="Book Antiqua" w:hAnsi="Book Antiqua" w:cs="Arial"/>
        </w:rPr>
        <w:t>.</w:t>
      </w:r>
    </w:p>
    <w:p w:rsidR="001735ED" w:rsidRDefault="001735ED" w:rsidP="00E25D2E">
      <w:pPr>
        <w:spacing w:line="360" w:lineRule="auto"/>
        <w:ind w:left="567" w:hanging="567"/>
        <w:jc w:val="both"/>
        <w:rPr>
          <w:rFonts w:ascii="Book Antiqua" w:hAnsi="Book Antiqua" w:cs="Arial"/>
        </w:rPr>
      </w:pPr>
    </w:p>
    <w:p w:rsidR="001735ED" w:rsidRDefault="001735ED" w:rsidP="00E25D2E">
      <w:pPr>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 xml:space="preserve">First-tier Tribunal Judge </w:t>
      </w:r>
      <w:proofErr w:type="spellStart"/>
      <w:r>
        <w:rPr>
          <w:rFonts w:ascii="Book Antiqua" w:hAnsi="Book Antiqua" w:cs="Arial"/>
        </w:rPr>
        <w:t>Housego’s</w:t>
      </w:r>
      <w:proofErr w:type="spellEnd"/>
      <w:r>
        <w:rPr>
          <w:rFonts w:ascii="Book Antiqua" w:hAnsi="Book Antiqua" w:cs="Arial"/>
        </w:rPr>
        <w:t xml:space="preserve"> decision is set aside. </w:t>
      </w:r>
    </w:p>
    <w:p w:rsidR="003257CA" w:rsidRDefault="003257CA" w:rsidP="00E25D2E">
      <w:pPr>
        <w:spacing w:line="360" w:lineRule="auto"/>
        <w:ind w:left="567" w:hanging="567"/>
        <w:jc w:val="both"/>
        <w:rPr>
          <w:rFonts w:ascii="Book Antiqua" w:hAnsi="Book Antiqua" w:cs="Arial"/>
        </w:rPr>
      </w:pPr>
    </w:p>
    <w:p w:rsidR="003257CA" w:rsidRDefault="003257CA" w:rsidP="00026E3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6B2C82">
        <w:rPr>
          <w:rFonts w:ascii="Book Antiqua" w:hAnsi="Book Antiqua" w:cs="Arial"/>
        </w:rPr>
        <w:t xml:space="preserve">The appeal is remitted to the First-tier Tribunal to be heard </w:t>
      </w:r>
      <w:r w:rsidR="006B2C82">
        <w:rPr>
          <w:rFonts w:ascii="Book Antiqua" w:hAnsi="Book Antiqua" w:cs="Arial"/>
          <w:i/>
        </w:rPr>
        <w:t xml:space="preserve">de novo </w:t>
      </w:r>
      <w:r w:rsidR="006B2C82">
        <w:rPr>
          <w:rFonts w:ascii="Book Antiqua" w:hAnsi="Book Antiqua" w:cs="Arial"/>
        </w:rPr>
        <w:t xml:space="preserve">before a First-tier Tribunal Judge </w:t>
      </w:r>
      <w:r w:rsidR="0068695E">
        <w:rPr>
          <w:rFonts w:ascii="Book Antiqua" w:hAnsi="Book Antiqua" w:cs="Arial"/>
        </w:rPr>
        <w:t xml:space="preserve">at Taylor House </w:t>
      </w:r>
      <w:r w:rsidR="006B2C82">
        <w:rPr>
          <w:rFonts w:ascii="Book Antiqua" w:hAnsi="Book Antiqua" w:cs="Arial"/>
        </w:rPr>
        <w:t xml:space="preserve">other than First-tier Tribunal Judge </w:t>
      </w:r>
      <w:proofErr w:type="spellStart"/>
      <w:r w:rsidR="00496AC7">
        <w:rPr>
          <w:rFonts w:ascii="Book Antiqua" w:hAnsi="Book Antiqua" w:cs="Arial"/>
        </w:rPr>
        <w:t>Housego</w:t>
      </w:r>
      <w:proofErr w:type="spellEnd"/>
      <w:r w:rsidR="006B2C82">
        <w:rPr>
          <w:rFonts w:ascii="Book Antiqua" w:hAnsi="Book Antiqua" w:cs="Arial"/>
        </w:rPr>
        <w:t>.</w:t>
      </w:r>
      <w:r>
        <w:rPr>
          <w:rFonts w:ascii="Book Antiqua" w:hAnsi="Book Antiqua" w:cs="Arial"/>
        </w:rPr>
        <w:t xml:space="preserve">   </w:t>
      </w:r>
    </w:p>
    <w:p w:rsidR="003257CA" w:rsidRDefault="003257CA" w:rsidP="00026E39">
      <w:pPr>
        <w:ind w:left="567" w:hanging="567"/>
        <w:jc w:val="both"/>
        <w:rPr>
          <w:rFonts w:ascii="Book Antiqua" w:hAnsi="Book Antiqua" w:cs="Arial"/>
        </w:rPr>
      </w:pPr>
    </w:p>
    <w:p w:rsidR="003257CA" w:rsidRDefault="003257CA" w:rsidP="00026E39">
      <w:pPr>
        <w:ind w:left="567" w:hanging="567"/>
        <w:jc w:val="both"/>
        <w:rPr>
          <w:rFonts w:ascii="Book Antiqua" w:hAnsi="Book Antiqua" w:cs="Arial"/>
        </w:rPr>
      </w:pPr>
    </w:p>
    <w:p w:rsidR="003257CA" w:rsidRDefault="003257CA" w:rsidP="00026E39">
      <w:pPr>
        <w:ind w:left="567" w:hanging="567"/>
        <w:jc w:val="both"/>
        <w:rPr>
          <w:rFonts w:ascii="Book Antiqua" w:hAnsi="Book Antiqua" w:cs="Arial"/>
        </w:rPr>
      </w:pPr>
    </w:p>
    <w:p w:rsidR="003257CA" w:rsidRPr="00725575" w:rsidRDefault="003257CA" w:rsidP="00026E39">
      <w:pPr>
        <w:jc w:val="both"/>
        <w:rPr>
          <w:rFonts w:ascii="Lucida Handwriting" w:hAnsi="Lucida Handwriting" w:cs="Arial"/>
          <w:sz w:val="40"/>
        </w:rPr>
      </w:pPr>
      <w:r>
        <w:rPr>
          <w:rFonts w:ascii="Lucida Handwriting" w:hAnsi="Lucida Handwriting" w:cs="Arial"/>
          <w:sz w:val="40"/>
        </w:rPr>
        <w:t>Nadine Finch</w:t>
      </w:r>
    </w:p>
    <w:p w:rsidR="003257CA" w:rsidRDefault="003257CA" w:rsidP="00026E39">
      <w:pPr>
        <w:jc w:val="both"/>
        <w:rPr>
          <w:rFonts w:ascii="Book Antiqua" w:hAnsi="Book Antiqua" w:cs="Arial"/>
        </w:rPr>
      </w:pPr>
    </w:p>
    <w:p w:rsidR="003257CA" w:rsidRPr="00162CB6" w:rsidRDefault="003257CA" w:rsidP="00026E39">
      <w:pPr>
        <w:ind w:left="567" w:hanging="567"/>
        <w:jc w:val="both"/>
        <w:rPr>
          <w:rFonts w:ascii="Book Antiqua" w:hAnsi="Book Antiqua" w:cs="Arial"/>
        </w:rPr>
      </w:pPr>
    </w:p>
    <w:p w:rsidR="003257CA" w:rsidRDefault="003257CA"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007B3613">
        <w:rPr>
          <w:rFonts w:ascii="Book Antiqua" w:hAnsi="Book Antiqua" w:cs="Arial"/>
        </w:rPr>
        <w:t>30 July</w:t>
      </w:r>
      <w:r>
        <w:rPr>
          <w:rFonts w:ascii="Book Antiqua" w:hAnsi="Book Antiqua" w:cs="Arial"/>
        </w:rPr>
        <w:t xml:space="preserve"> 2018</w:t>
      </w:r>
    </w:p>
    <w:p w:rsidR="003257CA" w:rsidRDefault="003257CA" w:rsidP="00847259">
      <w:pPr>
        <w:jc w:val="both"/>
        <w:rPr>
          <w:rFonts w:ascii="Book Antiqua" w:hAnsi="Book Antiqua" w:cs="Arial"/>
        </w:rPr>
      </w:pPr>
    </w:p>
    <w:p w:rsidR="003257CA" w:rsidRDefault="003257CA" w:rsidP="00847259">
      <w:pPr>
        <w:jc w:val="both"/>
        <w:rPr>
          <w:rFonts w:ascii="Book Antiqua" w:hAnsi="Book Antiqua" w:cs="Arial"/>
          <w:color w:val="000000"/>
        </w:rPr>
      </w:pPr>
      <w:r>
        <w:rPr>
          <w:rFonts w:ascii="Book Antiqua" w:hAnsi="Book Antiqua" w:cs="Arial"/>
          <w:color w:val="000000"/>
        </w:rPr>
        <w:t xml:space="preserve">Upper Tribunal Judge Finch </w:t>
      </w:r>
    </w:p>
    <w:p w:rsidR="003257CA" w:rsidRDefault="003257CA" w:rsidP="00847259">
      <w:pPr>
        <w:jc w:val="both"/>
        <w:rPr>
          <w:rFonts w:ascii="Book Antiqua" w:hAnsi="Book Antiqua" w:cs="Arial"/>
          <w:color w:val="000000"/>
        </w:rPr>
      </w:pPr>
    </w:p>
    <w:p w:rsidR="003257CA" w:rsidRDefault="003257CA" w:rsidP="00847259">
      <w:pPr>
        <w:jc w:val="both"/>
        <w:rPr>
          <w:rFonts w:ascii="Book Antiqua" w:hAnsi="Book Antiqua" w:cs="Arial"/>
          <w:color w:val="000000"/>
        </w:rPr>
      </w:pPr>
    </w:p>
    <w:sectPr w:rsidR="003257CA" w:rsidSect="00624A2F">
      <w:headerReference w:type="default" r:id="rId8"/>
      <w:footerReference w:type="default" r:id="rId9"/>
      <w:footerReference w:type="first" r:id="rId10"/>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427" w:rsidRDefault="007F2427">
      <w:r>
        <w:separator/>
      </w:r>
    </w:p>
  </w:endnote>
  <w:endnote w:type="continuationSeparator" w:id="0">
    <w:p w:rsidR="007F2427" w:rsidRDefault="007F2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06221574"/>
      <w:docPartObj>
        <w:docPartGallery w:val="Page Numbers (Bottom of Page)"/>
        <w:docPartUnique/>
      </w:docPartObj>
    </w:sdtPr>
    <w:sdtEndPr>
      <w:rPr>
        <w:noProof/>
        <w:sz w:val="24"/>
        <w:szCs w:val="24"/>
      </w:rPr>
    </w:sdtEndPr>
    <w:sdtContent>
      <w:p w:rsidR="00B80AE4" w:rsidRPr="006F4D40" w:rsidRDefault="00B80AE4">
        <w:pPr>
          <w:pStyle w:val="Footer"/>
          <w:jc w:val="center"/>
        </w:pPr>
        <w:r w:rsidRPr="006F4D40">
          <w:fldChar w:fldCharType="begin"/>
        </w:r>
        <w:r w:rsidRPr="006F4D40">
          <w:instrText xml:space="preserve"> PAGE   \* MERGEFORMAT </w:instrText>
        </w:r>
        <w:r w:rsidRPr="006F4D40">
          <w:fldChar w:fldCharType="separate"/>
        </w:r>
        <w:r w:rsidR="005A4280">
          <w:rPr>
            <w:noProof/>
          </w:rPr>
          <w:t>6</w:t>
        </w:r>
        <w:r w:rsidRPr="006F4D40">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9B7433" w:rsidRDefault="003257CA" w:rsidP="00A82254">
    <w:pPr>
      <w:jc w:val="center"/>
      <w:rPr>
        <w:rFonts w:ascii="Book Antiqua" w:hAnsi="Book Antiqua" w:cs="Arial"/>
        <w:b/>
      </w:rPr>
    </w:pPr>
    <w:r w:rsidRPr="009B7433">
      <w:rPr>
        <w:rFonts w:ascii="Book Antiqua" w:hAnsi="Book Antiqua" w:cs="Arial"/>
        <w:b/>
        <w:spacing w:val="-6"/>
      </w:rPr>
      <w:t>©</w:t>
    </w:r>
    <w:r w:rsidR="00B80AE4">
      <w:rPr>
        <w:rFonts w:ascii="Book Antiqua" w:hAnsi="Book Antiqua" w:cs="Arial"/>
        <w:b/>
      </w:rPr>
      <w:t xml:space="preserve"> CROWN COPYRIGHT 2018</w:t>
    </w:r>
  </w:p>
  <w:p w:rsidR="003257CA" w:rsidRDefault="00325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427" w:rsidRDefault="007F2427">
      <w:r>
        <w:separator/>
      </w:r>
    </w:p>
  </w:footnote>
  <w:footnote w:type="continuationSeparator" w:id="0">
    <w:p w:rsidR="007F2427" w:rsidRDefault="007F2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Default="003257CA" w:rsidP="00B80AE4">
    <w:pPr>
      <w:jc w:val="right"/>
      <w:rPr>
        <w:rFonts w:cs="Arial"/>
        <w:color w:val="000000"/>
        <w:sz w:val="16"/>
        <w:szCs w:val="16"/>
      </w:rPr>
    </w:pPr>
    <w:r w:rsidRPr="006F4D40">
      <w:rPr>
        <w:rFonts w:cs="Arial"/>
        <w:color w:val="000000"/>
        <w:sz w:val="16"/>
        <w:szCs w:val="16"/>
      </w:rPr>
      <w:t>Appeal Numbe</w:t>
    </w:r>
    <w:r w:rsidR="00CB6CFF" w:rsidRPr="006F4D40">
      <w:rPr>
        <w:rFonts w:cs="Arial"/>
        <w:color w:val="000000"/>
        <w:sz w:val="16"/>
        <w:szCs w:val="16"/>
      </w:rPr>
      <w:t>r</w:t>
    </w:r>
    <w:r w:rsidR="007B3613" w:rsidRPr="006F4D40">
      <w:rPr>
        <w:rFonts w:cs="Arial"/>
        <w:color w:val="000000"/>
        <w:sz w:val="16"/>
        <w:szCs w:val="16"/>
      </w:rPr>
      <w:t xml:space="preserve"> HU/0</w:t>
    </w:r>
    <w:r w:rsidR="00656377" w:rsidRPr="006F4D40">
      <w:rPr>
        <w:rFonts w:cs="Arial"/>
        <w:color w:val="000000"/>
        <w:sz w:val="16"/>
        <w:szCs w:val="16"/>
      </w:rPr>
      <w:t>7828</w:t>
    </w:r>
    <w:r w:rsidR="007B3613" w:rsidRPr="006F4D40">
      <w:rPr>
        <w:rFonts w:cs="Arial"/>
        <w:color w:val="000000"/>
        <w:sz w:val="16"/>
        <w:szCs w:val="16"/>
      </w:rPr>
      <w:t>/2018</w:t>
    </w:r>
  </w:p>
  <w:p w:rsidR="006F4D40" w:rsidRPr="006F4D40" w:rsidRDefault="006F4D40" w:rsidP="00B80AE4">
    <w:pPr>
      <w:jc w:val="right"/>
      <w:rPr>
        <w:rFonts w:cs="Arial"/>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4"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7"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5C5B"/>
    <w:rsid w:val="00011C5D"/>
    <w:rsid w:val="00013EFF"/>
    <w:rsid w:val="00014893"/>
    <w:rsid w:val="00016BC5"/>
    <w:rsid w:val="00025E48"/>
    <w:rsid w:val="00026E39"/>
    <w:rsid w:val="00033D3D"/>
    <w:rsid w:val="0003772C"/>
    <w:rsid w:val="00040A6C"/>
    <w:rsid w:val="000428C0"/>
    <w:rsid w:val="00045E7E"/>
    <w:rsid w:val="00046575"/>
    <w:rsid w:val="00052233"/>
    <w:rsid w:val="00062F02"/>
    <w:rsid w:val="00071A7E"/>
    <w:rsid w:val="000746C0"/>
    <w:rsid w:val="0007473F"/>
    <w:rsid w:val="000747FB"/>
    <w:rsid w:val="00074D1D"/>
    <w:rsid w:val="00081F3E"/>
    <w:rsid w:val="00087721"/>
    <w:rsid w:val="00092429"/>
    <w:rsid w:val="00092551"/>
    <w:rsid w:val="00092580"/>
    <w:rsid w:val="00093D4D"/>
    <w:rsid w:val="000A3D14"/>
    <w:rsid w:val="000A3F67"/>
    <w:rsid w:val="000A5B67"/>
    <w:rsid w:val="000B024E"/>
    <w:rsid w:val="000B0381"/>
    <w:rsid w:val="000B24F7"/>
    <w:rsid w:val="000B51C2"/>
    <w:rsid w:val="000B5402"/>
    <w:rsid w:val="000B6640"/>
    <w:rsid w:val="000C00D4"/>
    <w:rsid w:val="000C2CDE"/>
    <w:rsid w:val="000C3CB0"/>
    <w:rsid w:val="000C4CC2"/>
    <w:rsid w:val="000C7E4D"/>
    <w:rsid w:val="000D4BC9"/>
    <w:rsid w:val="000D5D94"/>
    <w:rsid w:val="000E3A77"/>
    <w:rsid w:val="000F1A0E"/>
    <w:rsid w:val="0010028C"/>
    <w:rsid w:val="00100617"/>
    <w:rsid w:val="001069F9"/>
    <w:rsid w:val="00106C24"/>
    <w:rsid w:val="001107AD"/>
    <w:rsid w:val="00111206"/>
    <w:rsid w:val="00111800"/>
    <w:rsid w:val="0011268F"/>
    <w:rsid w:val="0011302C"/>
    <w:rsid w:val="00114C50"/>
    <w:rsid w:val="001165A7"/>
    <w:rsid w:val="00120A12"/>
    <w:rsid w:val="00121A51"/>
    <w:rsid w:val="001222AE"/>
    <w:rsid w:val="00124BCD"/>
    <w:rsid w:val="001263DC"/>
    <w:rsid w:val="00135190"/>
    <w:rsid w:val="001430C7"/>
    <w:rsid w:val="00144A8F"/>
    <w:rsid w:val="0014653D"/>
    <w:rsid w:val="00151509"/>
    <w:rsid w:val="001521D5"/>
    <w:rsid w:val="00161D7A"/>
    <w:rsid w:val="00162CB6"/>
    <w:rsid w:val="00166E37"/>
    <w:rsid w:val="00167D3A"/>
    <w:rsid w:val="001735ED"/>
    <w:rsid w:val="00173946"/>
    <w:rsid w:val="00174D95"/>
    <w:rsid w:val="00176B08"/>
    <w:rsid w:val="00183704"/>
    <w:rsid w:val="0018739D"/>
    <w:rsid w:val="001971C8"/>
    <w:rsid w:val="001A19A9"/>
    <w:rsid w:val="001A2558"/>
    <w:rsid w:val="001A3082"/>
    <w:rsid w:val="001B091F"/>
    <w:rsid w:val="001B186A"/>
    <w:rsid w:val="001B2F75"/>
    <w:rsid w:val="001B5021"/>
    <w:rsid w:val="001B6A67"/>
    <w:rsid w:val="001B768F"/>
    <w:rsid w:val="001C74AC"/>
    <w:rsid w:val="001F245E"/>
    <w:rsid w:val="001F2716"/>
    <w:rsid w:val="00200BD4"/>
    <w:rsid w:val="00203467"/>
    <w:rsid w:val="002035ED"/>
    <w:rsid w:val="00206D4A"/>
    <w:rsid w:val="00207617"/>
    <w:rsid w:val="0021618E"/>
    <w:rsid w:val="002165E3"/>
    <w:rsid w:val="00217865"/>
    <w:rsid w:val="00224D49"/>
    <w:rsid w:val="0023134B"/>
    <w:rsid w:val="002367B0"/>
    <w:rsid w:val="00236A9B"/>
    <w:rsid w:val="002376E5"/>
    <w:rsid w:val="002417FA"/>
    <w:rsid w:val="00243EF7"/>
    <w:rsid w:val="00251979"/>
    <w:rsid w:val="00251A86"/>
    <w:rsid w:val="00253110"/>
    <w:rsid w:val="00253D70"/>
    <w:rsid w:val="002540F1"/>
    <w:rsid w:val="00254DBC"/>
    <w:rsid w:val="00256EEF"/>
    <w:rsid w:val="002630D9"/>
    <w:rsid w:val="00264D85"/>
    <w:rsid w:val="00266099"/>
    <w:rsid w:val="00267EBB"/>
    <w:rsid w:val="00271A88"/>
    <w:rsid w:val="002809C0"/>
    <w:rsid w:val="00283659"/>
    <w:rsid w:val="00287C9C"/>
    <w:rsid w:val="002946D1"/>
    <w:rsid w:val="002A5013"/>
    <w:rsid w:val="002A78E2"/>
    <w:rsid w:val="002B342D"/>
    <w:rsid w:val="002B3709"/>
    <w:rsid w:val="002C6BD4"/>
    <w:rsid w:val="002D083B"/>
    <w:rsid w:val="002D0E6D"/>
    <w:rsid w:val="002D56FD"/>
    <w:rsid w:val="002D68BF"/>
    <w:rsid w:val="002D6C34"/>
    <w:rsid w:val="002E475D"/>
    <w:rsid w:val="002E7EA9"/>
    <w:rsid w:val="002F0F14"/>
    <w:rsid w:val="002F6B98"/>
    <w:rsid w:val="002F7BBB"/>
    <w:rsid w:val="00300D36"/>
    <w:rsid w:val="00300EFA"/>
    <w:rsid w:val="00303BAF"/>
    <w:rsid w:val="00321375"/>
    <w:rsid w:val="00322667"/>
    <w:rsid w:val="003257CA"/>
    <w:rsid w:val="003343B2"/>
    <w:rsid w:val="00335737"/>
    <w:rsid w:val="00336CBF"/>
    <w:rsid w:val="00343FE3"/>
    <w:rsid w:val="0034796B"/>
    <w:rsid w:val="00353B0E"/>
    <w:rsid w:val="003546C8"/>
    <w:rsid w:val="003626A1"/>
    <w:rsid w:val="00363410"/>
    <w:rsid w:val="0037519F"/>
    <w:rsid w:val="00376618"/>
    <w:rsid w:val="00376763"/>
    <w:rsid w:val="003817B4"/>
    <w:rsid w:val="00384748"/>
    <w:rsid w:val="003863F7"/>
    <w:rsid w:val="00390A01"/>
    <w:rsid w:val="00394E67"/>
    <w:rsid w:val="00395C30"/>
    <w:rsid w:val="003A0375"/>
    <w:rsid w:val="003A7CF2"/>
    <w:rsid w:val="003C5CE5"/>
    <w:rsid w:val="003D3F1E"/>
    <w:rsid w:val="003D461D"/>
    <w:rsid w:val="003D549E"/>
    <w:rsid w:val="003E267B"/>
    <w:rsid w:val="003E3C30"/>
    <w:rsid w:val="003E7CC8"/>
    <w:rsid w:val="003E7CD1"/>
    <w:rsid w:val="003F4C61"/>
    <w:rsid w:val="00401DA1"/>
    <w:rsid w:val="00402B9E"/>
    <w:rsid w:val="00404B61"/>
    <w:rsid w:val="00415CC5"/>
    <w:rsid w:val="00420216"/>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6060F"/>
    <w:rsid w:val="00461697"/>
    <w:rsid w:val="00464DE1"/>
    <w:rsid w:val="004672C1"/>
    <w:rsid w:val="00471E3C"/>
    <w:rsid w:val="00473BE7"/>
    <w:rsid w:val="00477193"/>
    <w:rsid w:val="00484940"/>
    <w:rsid w:val="004931D1"/>
    <w:rsid w:val="00496AC7"/>
    <w:rsid w:val="004A00B4"/>
    <w:rsid w:val="004A1848"/>
    <w:rsid w:val="004A1985"/>
    <w:rsid w:val="004A34EE"/>
    <w:rsid w:val="004A6F4A"/>
    <w:rsid w:val="004B2449"/>
    <w:rsid w:val="004B5275"/>
    <w:rsid w:val="004B66BF"/>
    <w:rsid w:val="004B7E8C"/>
    <w:rsid w:val="004C1D93"/>
    <w:rsid w:val="004C5D11"/>
    <w:rsid w:val="004C6EC3"/>
    <w:rsid w:val="004E1E3A"/>
    <w:rsid w:val="004E4717"/>
    <w:rsid w:val="004F3592"/>
    <w:rsid w:val="004F55F8"/>
    <w:rsid w:val="004F672C"/>
    <w:rsid w:val="004F74EC"/>
    <w:rsid w:val="005016E0"/>
    <w:rsid w:val="0050334D"/>
    <w:rsid w:val="0050388A"/>
    <w:rsid w:val="00506529"/>
    <w:rsid w:val="00507FEC"/>
    <w:rsid w:val="00510339"/>
    <w:rsid w:val="00510F0E"/>
    <w:rsid w:val="00511050"/>
    <w:rsid w:val="0051653A"/>
    <w:rsid w:val="00516A49"/>
    <w:rsid w:val="005171BD"/>
    <w:rsid w:val="00537E50"/>
    <w:rsid w:val="005420FD"/>
    <w:rsid w:val="00543D39"/>
    <w:rsid w:val="00547222"/>
    <w:rsid w:val="005473D4"/>
    <w:rsid w:val="005479E1"/>
    <w:rsid w:val="00553E0A"/>
    <w:rsid w:val="00556B0D"/>
    <w:rsid w:val="005570FD"/>
    <w:rsid w:val="005575EA"/>
    <w:rsid w:val="005611D9"/>
    <w:rsid w:val="005630AD"/>
    <w:rsid w:val="0056365B"/>
    <w:rsid w:val="00563CFD"/>
    <w:rsid w:val="00565359"/>
    <w:rsid w:val="005661A7"/>
    <w:rsid w:val="0056624B"/>
    <w:rsid w:val="00571979"/>
    <w:rsid w:val="0057790C"/>
    <w:rsid w:val="00590558"/>
    <w:rsid w:val="00593795"/>
    <w:rsid w:val="00595102"/>
    <w:rsid w:val="00596130"/>
    <w:rsid w:val="005A11EA"/>
    <w:rsid w:val="005A4280"/>
    <w:rsid w:val="005A6895"/>
    <w:rsid w:val="005A75FF"/>
    <w:rsid w:val="005B7413"/>
    <w:rsid w:val="005C2B9C"/>
    <w:rsid w:val="005C720F"/>
    <w:rsid w:val="005D0062"/>
    <w:rsid w:val="005D10AB"/>
    <w:rsid w:val="005D603D"/>
    <w:rsid w:val="005E34E2"/>
    <w:rsid w:val="005E3B61"/>
    <w:rsid w:val="005E64E1"/>
    <w:rsid w:val="005F3EB4"/>
    <w:rsid w:val="005F7557"/>
    <w:rsid w:val="00601D8F"/>
    <w:rsid w:val="00602C67"/>
    <w:rsid w:val="00602FB3"/>
    <w:rsid w:val="0060435A"/>
    <w:rsid w:val="00604A30"/>
    <w:rsid w:val="00606611"/>
    <w:rsid w:val="00610B20"/>
    <w:rsid w:val="0062078F"/>
    <w:rsid w:val="00624A2F"/>
    <w:rsid w:val="00627B05"/>
    <w:rsid w:val="0063325D"/>
    <w:rsid w:val="00636BB7"/>
    <w:rsid w:val="006408F7"/>
    <w:rsid w:val="00643D0C"/>
    <w:rsid w:val="00643F31"/>
    <w:rsid w:val="00646D54"/>
    <w:rsid w:val="006479DD"/>
    <w:rsid w:val="00652381"/>
    <w:rsid w:val="00653E97"/>
    <w:rsid w:val="00656377"/>
    <w:rsid w:val="006630DA"/>
    <w:rsid w:val="006705BC"/>
    <w:rsid w:val="00672884"/>
    <w:rsid w:val="00681052"/>
    <w:rsid w:val="00684A74"/>
    <w:rsid w:val="0068695E"/>
    <w:rsid w:val="0068707D"/>
    <w:rsid w:val="00690B8A"/>
    <w:rsid w:val="00693BA8"/>
    <w:rsid w:val="006A7540"/>
    <w:rsid w:val="006B2C82"/>
    <w:rsid w:val="006B30DC"/>
    <w:rsid w:val="006B3E15"/>
    <w:rsid w:val="006C0A52"/>
    <w:rsid w:val="006C2275"/>
    <w:rsid w:val="006C5055"/>
    <w:rsid w:val="006C7066"/>
    <w:rsid w:val="006D091B"/>
    <w:rsid w:val="006D568A"/>
    <w:rsid w:val="006E47C4"/>
    <w:rsid w:val="006F2CF1"/>
    <w:rsid w:val="006F4D40"/>
    <w:rsid w:val="006F73F1"/>
    <w:rsid w:val="00701A03"/>
    <w:rsid w:val="00702792"/>
    <w:rsid w:val="00702B91"/>
    <w:rsid w:val="00703184"/>
    <w:rsid w:val="007038ED"/>
    <w:rsid w:val="00703BC3"/>
    <w:rsid w:val="00704B61"/>
    <w:rsid w:val="00705AFB"/>
    <w:rsid w:val="00724968"/>
    <w:rsid w:val="00725575"/>
    <w:rsid w:val="007276FF"/>
    <w:rsid w:val="00727FFD"/>
    <w:rsid w:val="007326A3"/>
    <w:rsid w:val="00744073"/>
    <w:rsid w:val="00745C27"/>
    <w:rsid w:val="00747519"/>
    <w:rsid w:val="007552A9"/>
    <w:rsid w:val="00761858"/>
    <w:rsid w:val="00767019"/>
    <w:rsid w:val="00767D59"/>
    <w:rsid w:val="00772B71"/>
    <w:rsid w:val="007736D2"/>
    <w:rsid w:val="00776E97"/>
    <w:rsid w:val="00780F86"/>
    <w:rsid w:val="00782593"/>
    <w:rsid w:val="007827A0"/>
    <w:rsid w:val="00787AC3"/>
    <w:rsid w:val="007912AD"/>
    <w:rsid w:val="0079216A"/>
    <w:rsid w:val="007A0794"/>
    <w:rsid w:val="007A5C26"/>
    <w:rsid w:val="007B0824"/>
    <w:rsid w:val="007B0DDF"/>
    <w:rsid w:val="007B2BD6"/>
    <w:rsid w:val="007B3613"/>
    <w:rsid w:val="007B4374"/>
    <w:rsid w:val="007B5330"/>
    <w:rsid w:val="007B5D3C"/>
    <w:rsid w:val="007C0095"/>
    <w:rsid w:val="007C6FA5"/>
    <w:rsid w:val="007D4375"/>
    <w:rsid w:val="007D63FF"/>
    <w:rsid w:val="007E2895"/>
    <w:rsid w:val="007F2427"/>
    <w:rsid w:val="007F2534"/>
    <w:rsid w:val="007F339D"/>
    <w:rsid w:val="00804815"/>
    <w:rsid w:val="008052EF"/>
    <w:rsid w:val="00806A73"/>
    <w:rsid w:val="0080713D"/>
    <w:rsid w:val="00812E53"/>
    <w:rsid w:val="008130CE"/>
    <w:rsid w:val="00813153"/>
    <w:rsid w:val="00821B72"/>
    <w:rsid w:val="00823EF2"/>
    <w:rsid w:val="00826B2A"/>
    <w:rsid w:val="00827025"/>
    <w:rsid w:val="008303B8"/>
    <w:rsid w:val="00830810"/>
    <w:rsid w:val="00831918"/>
    <w:rsid w:val="00831E27"/>
    <w:rsid w:val="00833D8D"/>
    <w:rsid w:val="00833DCE"/>
    <w:rsid w:val="00841072"/>
    <w:rsid w:val="00847259"/>
    <w:rsid w:val="008478F6"/>
    <w:rsid w:val="008516F1"/>
    <w:rsid w:val="008537F9"/>
    <w:rsid w:val="00854534"/>
    <w:rsid w:val="00854894"/>
    <w:rsid w:val="008566D0"/>
    <w:rsid w:val="0086738E"/>
    <w:rsid w:val="00871063"/>
    <w:rsid w:val="00871D34"/>
    <w:rsid w:val="00874D45"/>
    <w:rsid w:val="0087528C"/>
    <w:rsid w:val="00877198"/>
    <w:rsid w:val="00881860"/>
    <w:rsid w:val="00891016"/>
    <w:rsid w:val="0089348F"/>
    <w:rsid w:val="0089553D"/>
    <w:rsid w:val="00897C8C"/>
    <w:rsid w:val="008A2695"/>
    <w:rsid w:val="008A7E3E"/>
    <w:rsid w:val="008B270C"/>
    <w:rsid w:val="008B2F0F"/>
    <w:rsid w:val="008B5078"/>
    <w:rsid w:val="008C12BC"/>
    <w:rsid w:val="008C3D3D"/>
    <w:rsid w:val="008D1135"/>
    <w:rsid w:val="008D4131"/>
    <w:rsid w:val="008E0286"/>
    <w:rsid w:val="008E7B93"/>
    <w:rsid w:val="008F1932"/>
    <w:rsid w:val="008F1BDC"/>
    <w:rsid w:val="008F48D0"/>
    <w:rsid w:val="008F4C67"/>
    <w:rsid w:val="008F6C0F"/>
    <w:rsid w:val="00901A46"/>
    <w:rsid w:val="00920EC0"/>
    <w:rsid w:val="00921062"/>
    <w:rsid w:val="00922444"/>
    <w:rsid w:val="009239B0"/>
    <w:rsid w:val="00924D93"/>
    <w:rsid w:val="009276B8"/>
    <w:rsid w:val="009324B2"/>
    <w:rsid w:val="00947565"/>
    <w:rsid w:val="00950F7D"/>
    <w:rsid w:val="009530C8"/>
    <w:rsid w:val="00953E15"/>
    <w:rsid w:val="00956C43"/>
    <w:rsid w:val="009604E6"/>
    <w:rsid w:val="00961434"/>
    <w:rsid w:val="009617A1"/>
    <w:rsid w:val="00963E6D"/>
    <w:rsid w:val="00963F7F"/>
    <w:rsid w:val="00965C3E"/>
    <w:rsid w:val="009722BC"/>
    <w:rsid w:val="009727A3"/>
    <w:rsid w:val="00974225"/>
    <w:rsid w:val="009771B1"/>
    <w:rsid w:val="00980665"/>
    <w:rsid w:val="00984B68"/>
    <w:rsid w:val="00984E64"/>
    <w:rsid w:val="00987774"/>
    <w:rsid w:val="0099516E"/>
    <w:rsid w:val="009A11E8"/>
    <w:rsid w:val="009A244B"/>
    <w:rsid w:val="009A6060"/>
    <w:rsid w:val="009B0A37"/>
    <w:rsid w:val="009B443B"/>
    <w:rsid w:val="009B7433"/>
    <w:rsid w:val="009C0687"/>
    <w:rsid w:val="009D1EA3"/>
    <w:rsid w:val="009D341B"/>
    <w:rsid w:val="009E7D56"/>
    <w:rsid w:val="009F45F1"/>
    <w:rsid w:val="009F5220"/>
    <w:rsid w:val="009F6F01"/>
    <w:rsid w:val="009F7540"/>
    <w:rsid w:val="00A0236C"/>
    <w:rsid w:val="00A11735"/>
    <w:rsid w:val="00A11B3C"/>
    <w:rsid w:val="00A13119"/>
    <w:rsid w:val="00A15234"/>
    <w:rsid w:val="00A201AB"/>
    <w:rsid w:val="00A2642D"/>
    <w:rsid w:val="00A31C8B"/>
    <w:rsid w:val="00A32CD1"/>
    <w:rsid w:val="00A40BC5"/>
    <w:rsid w:val="00A46E02"/>
    <w:rsid w:val="00A509FA"/>
    <w:rsid w:val="00A53185"/>
    <w:rsid w:val="00A54BD6"/>
    <w:rsid w:val="00A564E3"/>
    <w:rsid w:val="00A575DA"/>
    <w:rsid w:val="00A57B5D"/>
    <w:rsid w:val="00A6017F"/>
    <w:rsid w:val="00A61FE2"/>
    <w:rsid w:val="00A6486B"/>
    <w:rsid w:val="00A659B5"/>
    <w:rsid w:val="00A743D3"/>
    <w:rsid w:val="00A759FF"/>
    <w:rsid w:val="00A75BCD"/>
    <w:rsid w:val="00A80595"/>
    <w:rsid w:val="00A82254"/>
    <w:rsid w:val="00A845DC"/>
    <w:rsid w:val="00A872EE"/>
    <w:rsid w:val="00A92942"/>
    <w:rsid w:val="00AA14AD"/>
    <w:rsid w:val="00AA557A"/>
    <w:rsid w:val="00AA708B"/>
    <w:rsid w:val="00AA77BE"/>
    <w:rsid w:val="00AB0C35"/>
    <w:rsid w:val="00AB20E4"/>
    <w:rsid w:val="00AC217A"/>
    <w:rsid w:val="00AC6CDD"/>
    <w:rsid w:val="00AD5231"/>
    <w:rsid w:val="00AD7BB2"/>
    <w:rsid w:val="00AE1861"/>
    <w:rsid w:val="00AE47FD"/>
    <w:rsid w:val="00AE6DDE"/>
    <w:rsid w:val="00AE7D0A"/>
    <w:rsid w:val="00AE7D4D"/>
    <w:rsid w:val="00AF6109"/>
    <w:rsid w:val="00B03D62"/>
    <w:rsid w:val="00B04B47"/>
    <w:rsid w:val="00B04BD3"/>
    <w:rsid w:val="00B14A0F"/>
    <w:rsid w:val="00B14DB5"/>
    <w:rsid w:val="00B23D2D"/>
    <w:rsid w:val="00B25CB9"/>
    <w:rsid w:val="00B26AA2"/>
    <w:rsid w:val="00B30647"/>
    <w:rsid w:val="00B34549"/>
    <w:rsid w:val="00B3524D"/>
    <w:rsid w:val="00B354CC"/>
    <w:rsid w:val="00B40F69"/>
    <w:rsid w:val="00B40FFF"/>
    <w:rsid w:val="00B46616"/>
    <w:rsid w:val="00B478BC"/>
    <w:rsid w:val="00B50946"/>
    <w:rsid w:val="00B515A8"/>
    <w:rsid w:val="00B5248D"/>
    <w:rsid w:val="00B601E0"/>
    <w:rsid w:val="00B62149"/>
    <w:rsid w:val="00B7040A"/>
    <w:rsid w:val="00B73518"/>
    <w:rsid w:val="00B80AE4"/>
    <w:rsid w:val="00B83391"/>
    <w:rsid w:val="00B84192"/>
    <w:rsid w:val="00B84A71"/>
    <w:rsid w:val="00B87C01"/>
    <w:rsid w:val="00B93154"/>
    <w:rsid w:val="00B95326"/>
    <w:rsid w:val="00B97CED"/>
    <w:rsid w:val="00BA295F"/>
    <w:rsid w:val="00BB5234"/>
    <w:rsid w:val="00BB79FA"/>
    <w:rsid w:val="00BB7A60"/>
    <w:rsid w:val="00BB7C68"/>
    <w:rsid w:val="00BC042A"/>
    <w:rsid w:val="00BC4F9B"/>
    <w:rsid w:val="00BD4196"/>
    <w:rsid w:val="00BE0FBA"/>
    <w:rsid w:val="00BE10F9"/>
    <w:rsid w:val="00BE2D7D"/>
    <w:rsid w:val="00BE6E17"/>
    <w:rsid w:val="00BF023D"/>
    <w:rsid w:val="00BF21F8"/>
    <w:rsid w:val="00BF22CA"/>
    <w:rsid w:val="00BF23BB"/>
    <w:rsid w:val="00BF4F4A"/>
    <w:rsid w:val="00BF55CC"/>
    <w:rsid w:val="00BF66E5"/>
    <w:rsid w:val="00BF6E43"/>
    <w:rsid w:val="00C00C8D"/>
    <w:rsid w:val="00C027FD"/>
    <w:rsid w:val="00C044C5"/>
    <w:rsid w:val="00C06CD7"/>
    <w:rsid w:val="00C13AB5"/>
    <w:rsid w:val="00C15C10"/>
    <w:rsid w:val="00C17D15"/>
    <w:rsid w:val="00C222E1"/>
    <w:rsid w:val="00C26032"/>
    <w:rsid w:val="00C32F37"/>
    <w:rsid w:val="00C33454"/>
    <w:rsid w:val="00C345E1"/>
    <w:rsid w:val="00C355A8"/>
    <w:rsid w:val="00C43662"/>
    <w:rsid w:val="00C43BFD"/>
    <w:rsid w:val="00C53074"/>
    <w:rsid w:val="00C63FCE"/>
    <w:rsid w:val="00C67EEB"/>
    <w:rsid w:val="00C74B35"/>
    <w:rsid w:val="00C87A30"/>
    <w:rsid w:val="00C942F8"/>
    <w:rsid w:val="00C94635"/>
    <w:rsid w:val="00CA10DE"/>
    <w:rsid w:val="00CB4AB2"/>
    <w:rsid w:val="00CB5088"/>
    <w:rsid w:val="00CB575C"/>
    <w:rsid w:val="00CB5C75"/>
    <w:rsid w:val="00CB6CFF"/>
    <w:rsid w:val="00CB6E35"/>
    <w:rsid w:val="00CC295A"/>
    <w:rsid w:val="00CD3634"/>
    <w:rsid w:val="00CD3B1E"/>
    <w:rsid w:val="00CD3E3A"/>
    <w:rsid w:val="00CD42F5"/>
    <w:rsid w:val="00CD58CE"/>
    <w:rsid w:val="00CD59AC"/>
    <w:rsid w:val="00CD643A"/>
    <w:rsid w:val="00CD7CCB"/>
    <w:rsid w:val="00CE1A46"/>
    <w:rsid w:val="00CE3602"/>
    <w:rsid w:val="00CF20B6"/>
    <w:rsid w:val="00D01A25"/>
    <w:rsid w:val="00D06C8C"/>
    <w:rsid w:val="00D11C22"/>
    <w:rsid w:val="00D20757"/>
    <w:rsid w:val="00D22636"/>
    <w:rsid w:val="00D27055"/>
    <w:rsid w:val="00D33AF2"/>
    <w:rsid w:val="00D3569D"/>
    <w:rsid w:val="00D40687"/>
    <w:rsid w:val="00D40FD9"/>
    <w:rsid w:val="00D42BE3"/>
    <w:rsid w:val="00D45631"/>
    <w:rsid w:val="00D53769"/>
    <w:rsid w:val="00D558B3"/>
    <w:rsid w:val="00D56507"/>
    <w:rsid w:val="00D576FD"/>
    <w:rsid w:val="00D57890"/>
    <w:rsid w:val="00D67C17"/>
    <w:rsid w:val="00D76EB4"/>
    <w:rsid w:val="00D80907"/>
    <w:rsid w:val="00D834A0"/>
    <w:rsid w:val="00D858C5"/>
    <w:rsid w:val="00D85C13"/>
    <w:rsid w:val="00D87AF7"/>
    <w:rsid w:val="00D9111A"/>
    <w:rsid w:val="00D91BE3"/>
    <w:rsid w:val="00D9291A"/>
    <w:rsid w:val="00D9445B"/>
    <w:rsid w:val="00D94AFC"/>
    <w:rsid w:val="00DA31CD"/>
    <w:rsid w:val="00DA7299"/>
    <w:rsid w:val="00DB032D"/>
    <w:rsid w:val="00DB0FA2"/>
    <w:rsid w:val="00DB2824"/>
    <w:rsid w:val="00DB4CF2"/>
    <w:rsid w:val="00DB6169"/>
    <w:rsid w:val="00DB70AE"/>
    <w:rsid w:val="00DC1BD4"/>
    <w:rsid w:val="00DC39E7"/>
    <w:rsid w:val="00DC6179"/>
    <w:rsid w:val="00DC719A"/>
    <w:rsid w:val="00DD1BBC"/>
    <w:rsid w:val="00DD228A"/>
    <w:rsid w:val="00DD4014"/>
    <w:rsid w:val="00DD4868"/>
    <w:rsid w:val="00DD5071"/>
    <w:rsid w:val="00DD5C39"/>
    <w:rsid w:val="00DE5000"/>
    <w:rsid w:val="00DE6345"/>
    <w:rsid w:val="00DE7DB7"/>
    <w:rsid w:val="00DF01B2"/>
    <w:rsid w:val="00DF09E9"/>
    <w:rsid w:val="00DF0EC0"/>
    <w:rsid w:val="00DF7CE2"/>
    <w:rsid w:val="00E00973"/>
    <w:rsid w:val="00E00A0A"/>
    <w:rsid w:val="00E03875"/>
    <w:rsid w:val="00E066DE"/>
    <w:rsid w:val="00E07F57"/>
    <w:rsid w:val="00E142AF"/>
    <w:rsid w:val="00E14C03"/>
    <w:rsid w:val="00E17463"/>
    <w:rsid w:val="00E17E24"/>
    <w:rsid w:val="00E25182"/>
    <w:rsid w:val="00E25D2E"/>
    <w:rsid w:val="00E30683"/>
    <w:rsid w:val="00E412E3"/>
    <w:rsid w:val="00E453D8"/>
    <w:rsid w:val="00E47401"/>
    <w:rsid w:val="00E50BCE"/>
    <w:rsid w:val="00E51F18"/>
    <w:rsid w:val="00E52B70"/>
    <w:rsid w:val="00E574BF"/>
    <w:rsid w:val="00E57959"/>
    <w:rsid w:val="00E61292"/>
    <w:rsid w:val="00E61AB9"/>
    <w:rsid w:val="00E63C44"/>
    <w:rsid w:val="00E6703A"/>
    <w:rsid w:val="00E67616"/>
    <w:rsid w:val="00E75E86"/>
    <w:rsid w:val="00E77C4D"/>
    <w:rsid w:val="00E81D01"/>
    <w:rsid w:val="00E83B41"/>
    <w:rsid w:val="00E841E4"/>
    <w:rsid w:val="00E845A5"/>
    <w:rsid w:val="00E848CE"/>
    <w:rsid w:val="00E85E57"/>
    <w:rsid w:val="00E95E09"/>
    <w:rsid w:val="00EA1C3F"/>
    <w:rsid w:val="00EA4A5B"/>
    <w:rsid w:val="00EA53CE"/>
    <w:rsid w:val="00EB5DB7"/>
    <w:rsid w:val="00EB5FC7"/>
    <w:rsid w:val="00EB71D2"/>
    <w:rsid w:val="00EB772A"/>
    <w:rsid w:val="00EC0100"/>
    <w:rsid w:val="00EC3926"/>
    <w:rsid w:val="00ED345E"/>
    <w:rsid w:val="00ED5594"/>
    <w:rsid w:val="00ED56AC"/>
    <w:rsid w:val="00ED5C52"/>
    <w:rsid w:val="00ED7C65"/>
    <w:rsid w:val="00EE1E3E"/>
    <w:rsid w:val="00EE45D8"/>
    <w:rsid w:val="00EF488C"/>
    <w:rsid w:val="00EF49CF"/>
    <w:rsid w:val="00F040D9"/>
    <w:rsid w:val="00F115EC"/>
    <w:rsid w:val="00F15CE3"/>
    <w:rsid w:val="00F17890"/>
    <w:rsid w:val="00F179F0"/>
    <w:rsid w:val="00F22EDA"/>
    <w:rsid w:val="00F246FD"/>
    <w:rsid w:val="00F301F6"/>
    <w:rsid w:val="00F34B59"/>
    <w:rsid w:val="00F41E63"/>
    <w:rsid w:val="00F563E7"/>
    <w:rsid w:val="00F63267"/>
    <w:rsid w:val="00F729E6"/>
    <w:rsid w:val="00F74FA7"/>
    <w:rsid w:val="00F75D7A"/>
    <w:rsid w:val="00F760DA"/>
    <w:rsid w:val="00F84B01"/>
    <w:rsid w:val="00F85BA0"/>
    <w:rsid w:val="00F92BC5"/>
    <w:rsid w:val="00F97364"/>
    <w:rsid w:val="00FA040C"/>
    <w:rsid w:val="00FA1DB5"/>
    <w:rsid w:val="00FA608B"/>
    <w:rsid w:val="00FB05E3"/>
    <w:rsid w:val="00FB66A9"/>
    <w:rsid w:val="00FB6DB1"/>
    <w:rsid w:val="00FC244D"/>
    <w:rsid w:val="00FC4DDB"/>
    <w:rsid w:val="00FD3222"/>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DF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1777</Words>
  <Characters>9996</Characters>
  <Application>Microsoft Office Word</Application>
  <DocSecurity>0</DocSecurity>
  <Lines>83</Lines>
  <Paragraphs>23</Paragraphs>
  <ScaleCrop>false</ScaleCrop>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2018-08-20T13:00:00Z</dcterms:created>
  <dcterms:modified xsi:type="dcterms:W3CDTF">2018-08-20T13:00:00Z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