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D43068" w:rsidRDefault="0076691B" w:rsidP="00F97703">
      <w:pPr>
        <w:jc w:val="center"/>
        <w:rPr>
          <w:rFonts w:ascii="Sylfaen" w:hAnsi="Sylfaen" w:cs="Arial"/>
          <w:color w:val="000000"/>
          <w:sz w:val="16"/>
          <w:szCs w:val="16"/>
        </w:rPr>
      </w:pPr>
      <w:r w:rsidRPr="00D43068">
        <w:rPr>
          <w:rFonts w:ascii="Sylfaen" w:hAnsi="Sylfaen"/>
          <w:noProof/>
          <w:sz w:val="16"/>
          <w:szCs w:val="16"/>
        </w:rPr>
        <w:drawing>
          <wp:inline distT="0" distB="0" distL="0" distR="0">
            <wp:extent cx="1498600" cy="113474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4745"/>
                    </a:xfrm>
                    <a:prstGeom prst="rect">
                      <a:avLst/>
                    </a:prstGeom>
                    <a:noFill/>
                    <a:ln>
                      <a:noFill/>
                    </a:ln>
                  </pic:spPr>
                </pic:pic>
              </a:graphicData>
            </a:graphic>
          </wp:inline>
        </w:drawing>
      </w:r>
    </w:p>
    <w:p w:rsidR="00D43068" w:rsidRPr="00D43068" w:rsidRDefault="00D43068" w:rsidP="00D43068">
      <w:pPr>
        <w:rPr>
          <w:rFonts w:ascii="Sylfaen" w:hAnsi="Sylfaen" w:cs="Arial"/>
          <w:color w:val="000000"/>
          <w:sz w:val="16"/>
          <w:szCs w:val="16"/>
        </w:rPr>
      </w:pPr>
    </w:p>
    <w:p w:rsidR="00F97703" w:rsidRPr="00A544A8" w:rsidRDefault="00611011" w:rsidP="00780F86">
      <w:pPr>
        <w:tabs>
          <w:tab w:val="right" w:pos="9720"/>
        </w:tabs>
        <w:ind w:right="-82"/>
        <w:rPr>
          <w:rFonts w:ascii="Sylfaen" w:hAnsi="Sylfaen" w:cs="Arial"/>
          <w:b/>
          <w:color w:val="000000"/>
        </w:rPr>
      </w:pPr>
      <w:r w:rsidRPr="00A544A8">
        <w:rPr>
          <w:rFonts w:ascii="Sylfaen" w:hAnsi="Sylfaen" w:cs="Arial"/>
          <w:b/>
          <w:color w:val="000000"/>
        </w:rPr>
        <w:t>Upper</w:t>
      </w:r>
      <w:r w:rsidR="00F97703" w:rsidRPr="00A544A8">
        <w:rPr>
          <w:rFonts w:ascii="Sylfaen" w:hAnsi="Sylfaen" w:cs="Arial"/>
          <w:b/>
          <w:color w:val="000000"/>
        </w:rPr>
        <w:t xml:space="preserve"> Tribunal </w:t>
      </w:r>
    </w:p>
    <w:p w:rsidR="007B0824" w:rsidRPr="00A544A8" w:rsidRDefault="00F97703" w:rsidP="00780F86">
      <w:pPr>
        <w:tabs>
          <w:tab w:val="right" w:pos="9720"/>
        </w:tabs>
        <w:ind w:right="-82"/>
        <w:rPr>
          <w:rFonts w:ascii="Sylfaen" w:hAnsi="Sylfaen" w:cs="Arial"/>
          <w:color w:val="000000"/>
        </w:rPr>
      </w:pPr>
      <w:r w:rsidRPr="00A544A8">
        <w:rPr>
          <w:rFonts w:ascii="Sylfaen" w:hAnsi="Sylfaen" w:cs="Arial"/>
          <w:b/>
          <w:color w:val="000000"/>
        </w:rPr>
        <w:t>(Immigration and Asylum Chamber)</w:t>
      </w:r>
      <w:r w:rsidR="00DB70AE" w:rsidRPr="00A544A8">
        <w:rPr>
          <w:rFonts w:ascii="Sylfaen" w:hAnsi="Sylfaen" w:cs="Arial"/>
          <w:b/>
          <w:color w:val="000000"/>
        </w:rPr>
        <w:tab/>
      </w:r>
      <w:r w:rsidR="00B3524D" w:rsidRPr="00A544A8">
        <w:rPr>
          <w:rFonts w:ascii="Sylfaen" w:hAnsi="Sylfaen" w:cs="Arial"/>
          <w:color w:val="000000"/>
        </w:rPr>
        <w:t>Appeal</w:t>
      </w:r>
      <w:r w:rsidR="00BD3A9C">
        <w:rPr>
          <w:rFonts w:ascii="Sylfaen" w:hAnsi="Sylfaen" w:cs="Arial"/>
          <w:color w:val="000000"/>
        </w:rPr>
        <w:t xml:space="preserve"> no</w:t>
      </w:r>
      <w:r w:rsidR="00D53769" w:rsidRPr="00A544A8">
        <w:rPr>
          <w:rFonts w:ascii="Sylfaen" w:hAnsi="Sylfaen" w:cs="Arial"/>
          <w:color w:val="000000"/>
        </w:rPr>
        <w:t>:</w:t>
      </w:r>
      <w:r w:rsidR="00B3524D" w:rsidRPr="00A544A8">
        <w:rPr>
          <w:rFonts w:ascii="Sylfaen" w:hAnsi="Sylfaen" w:cs="Arial"/>
          <w:color w:val="000000"/>
        </w:rPr>
        <w:t xml:space="preserve"> </w:t>
      </w:r>
      <w:bookmarkStart w:id="0" w:name="_GoBack"/>
      <w:r w:rsidR="009749AD">
        <w:rPr>
          <w:rFonts w:ascii="Sylfaen" w:hAnsi="Sylfaen" w:cs="Arial"/>
          <w:b/>
          <w:caps/>
          <w:color w:val="000000"/>
        </w:rPr>
        <w:t>HU</w:t>
      </w:r>
      <w:r w:rsidR="008C1A5D">
        <w:rPr>
          <w:rFonts w:ascii="Sylfaen" w:hAnsi="Sylfaen" w:cs="Arial"/>
          <w:b/>
          <w:caps/>
          <w:color w:val="000000"/>
        </w:rPr>
        <w:t>/08082/20</w:t>
      </w:r>
      <w:r w:rsidR="009749AD">
        <w:rPr>
          <w:rFonts w:ascii="Sylfaen" w:hAnsi="Sylfaen" w:cs="Arial"/>
          <w:b/>
          <w:caps/>
          <w:color w:val="000000"/>
        </w:rPr>
        <w:t>17</w:t>
      </w:r>
      <w:bookmarkEnd w:id="0"/>
    </w:p>
    <w:p w:rsidR="00C345E1" w:rsidRDefault="00C345E1" w:rsidP="00C345E1">
      <w:pPr>
        <w:jc w:val="center"/>
        <w:rPr>
          <w:rFonts w:ascii="Sylfaen" w:hAnsi="Sylfaen" w:cs="Arial"/>
          <w:color w:val="000000"/>
        </w:rPr>
      </w:pPr>
    </w:p>
    <w:p w:rsidR="00D43068" w:rsidRPr="00A544A8" w:rsidRDefault="00D43068" w:rsidP="00C345E1">
      <w:pPr>
        <w:jc w:val="center"/>
        <w:rPr>
          <w:rFonts w:ascii="Sylfaen" w:hAnsi="Sylfaen" w:cs="Arial"/>
          <w:color w:val="000000"/>
        </w:rPr>
      </w:pPr>
    </w:p>
    <w:p w:rsidR="00C345E1" w:rsidRPr="00A544A8" w:rsidRDefault="00C345E1" w:rsidP="00C345E1">
      <w:pPr>
        <w:jc w:val="center"/>
        <w:rPr>
          <w:rFonts w:ascii="Sylfaen" w:hAnsi="Sylfaen" w:cs="Arial"/>
          <w:b/>
          <w:color w:val="000000"/>
          <w:u w:val="single"/>
        </w:rPr>
      </w:pPr>
      <w:r w:rsidRPr="00A544A8">
        <w:rPr>
          <w:rFonts w:ascii="Sylfaen" w:hAnsi="Sylfaen" w:cs="Arial"/>
          <w:b/>
          <w:color w:val="000000"/>
          <w:u w:val="single"/>
        </w:rPr>
        <w:t>THE IMMIGRATION ACTS</w:t>
      </w:r>
    </w:p>
    <w:p w:rsidR="00C345E1" w:rsidRDefault="00C345E1" w:rsidP="00C345E1">
      <w:pPr>
        <w:jc w:val="center"/>
        <w:rPr>
          <w:rFonts w:ascii="Sylfaen" w:hAnsi="Sylfaen" w:cs="Arial"/>
          <w:b/>
          <w:u w:val="single"/>
        </w:rPr>
      </w:pPr>
    </w:p>
    <w:p w:rsidR="00D43068" w:rsidRPr="00A544A8" w:rsidRDefault="00D43068" w:rsidP="00C345E1">
      <w:pPr>
        <w:jc w:val="center"/>
        <w:rPr>
          <w:rFonts w:ascii="Sylfaen" w:hAnsi="Sylfaen" w:cs="Arial"/>
          <w:b/>
          <w:u w:val="single"/>
        </w:rPr>
      </w:pPr>
    </w:p>
    <w:tbl>
      <w:tblPr>
        <w:tblW w:w="0" w:type="auto"/>
        <w:tblLook w:val="01E0" w:firstRow="1" w:lastRow="1" w:firstColumn="1" w:lastColumn="1" w:noHBand="0" w:noVBand="0"/>
      </w:tblPr>
      <w:tblGrid>
        <w:gridCol w:w="5211"/>
        <w:gridCol w:w="4427"/>
      </w:tblGrid>
      <w:tr w:rsidR="00D22636" w:rsidRPr="007A7CEE" w:rsidTr="0076691B">
        <w:tc>
          <w:tcPr>
            <w:tcW w:w="5353" w:type="dxa"/>
            <w:shd w:val="clear" w:color="auto" w:fill="auto"/>
          </w:tcPr>
          <w:p w:rsidR="00D22636" w:rsidRPr="007A7CEE" w:rsidRDefault="00BD3A9C" w:rsidP="007A7CEE">
            <w:pPr>
              <w:ind w:left="540" w:hanging="540"/>
              <w:jc w:val="both"/>
              <w:rPr>
                <w:rFonts w:ascii="Sylfaen" w:hAnsi="Sylfaen" w:cs="Arial"/>
                <w:b/>
              </w:rPr>
            </w:pPr>
            <w:r w:rsidRPr="007A7CEE">
              <w:rPr>
                <w:rFonts w:ascii="Sylfaen" w:hAnsi="Sylfaen" w:cs="Arial"/>
              </w:rPr>
              <w:t>At</w:t>
            </w:r>
            <w:r w:rsidRPr="007A7CEE">
              <w:rPr>
                <w:rFonts w:ascii="Sylfaen" w:hAnsi="Sylfaen" w:cs="Arial"/>
                <w:b/>
              </w:rPr>
              <w:t xml:space="preserve">    </w:t>
            </w:r>
            <w:r w:rsidR="009749AD">
              <w:rPr>
                <w:rFonts w:ascii="Sylfaen" w:hAnsi="Sylfaen" w:cs="Arial"/>
                <w:b/>
              </w:rPr>
              <w:t>Royal Courts of Justice, Belfast</w:t>
            </w:r>
          </w:p>
        </w:tc>
        <w:tc>
          <w:tcPr>
            <w:tcW w:w="4475" w:type="dxa"/>
            <w:shd w:val="clear" w:color="auto" w:fill="auto"/>
          </w:tcPr>
          <w:p w:rsidR="00D22636" w:rsidRPr="007A7CEE" w:rsidRDefault="0076691B" w:rsidP="0076691B">
            <w:pPr>
              <w:jc w:val="both"/>
              <w:rPr>
                <w:rFonts w:ascii="Sylfaen" w:hAnsi="Sylfaen" w:cs="Arial"/>
                <w:b/>
                <w:color w:val="000000"/>
              </w:rPr>
            </w:pPr>
            <w:r>
              <w:rPr>
                <w:rFonts w:ascii="Sylfaen" w:hAnsi="Sylfaen" w:cs="Arial"/>
                <w:color w:val="000000"/>
              </w:rPr>
              <w:t>Decision &amp; Reasons Promulgated</w:t>
            </w:r>
          </w:p>
        </w:tc>
      </w:tr>
      <w:tr w:rsidR="00D22636" w:rsidRPr="007A7CEE" w:rsidTr="0076691B">
        <w:tc>
          <w:tcPr>
            <w:tcW w:w="5353" w:type="dxa"/>
            <w:shd w:val="clear" w:color="auto" w:fill="auto"/>
          </w:tcPr>
          <w:p w:rsidR="00D22636" w:rsidRPr="007A7CEE" w:rsidRDefault="00BD3A9C" w:rsidP="007A7CEE">
            <w:pPr>
              <w:jc w:val="both"/>
              <w:rPr>
                <w:rFonts w:ascii="Sylfaen" w:hAnsi="Sylfaen" w:cs="Arial"/>
                <w:b/>
              </w:rPr>
            </w:pPr>
            <w:r w:rsidRPr="007A7CEE">
              <w:rPr>
                <w:rFonts w:ascii="Sylfaen" w:hAnsi="Sylfaen" w:cs="Arial"/>
              </w:rPr>
              <w:t>on</w:t>
            </w:r>
            <w:r w:rsidRPr="007A7CEE">
              <w:rPr>
                <w:rFonts w:ascii="Sylfaen" w:hAnsi="Sylfaen" w:cs="Arial"/>
                <w:b/>
              </w:rPr>
              <w:t xml:space="preserve">    </w:t>
            </w:r>
            <w:r w:rsidR="009749AD">
              <w:rPr>
                <w:rFonts w:ascii="Sylfaen" w:hAnsi="Sylfaen" w:cs="Arial"/>
                <w:b/>
              </w:rPr>
              <w:t>24.07.2018</w:t>
            </w:r>
            <w:r w:rsidR="0076691B">
              <w:rPr>
                <w:rFonts w:ascii="Sylfaen" w:hAnsi="Sylfaen" w:cs="Arial"/>
                <w:b/>
              </w:rPr>
              <w:t xml:space="preserve"> Signed on 29.07.2018</w:t>
            </w:r>
          </w:p>
        </w:tc>
        <w:tc>
          <w:tcPr>
            <w:tcW w:w="4475" w:type="dxa"/>
            <w:shd w:val="clear" w:color="auto" w:fill="auto"/>
          </w:tcPr>
          <w:p w:rsidR="00D22636" w:rsidRPr="007A7CEE" w:rsidRDefault="0076691B" w:rsidP="007A7CEE">
            <w:pPr>
              <w:ind w:left="1872" w:hanging="1872"/>
              <w:jc w:val="both"/>
              <w:rPr>
                <w:rFonts w:ascii="Sylfaen" w:hAnsi="Sylfaen" w:cs="Arial"/>
                <w:b/>
              </w:rPr>
            </w:pPr>
            <w:r>
              <w:rPr>
                <w:rFonts w:ascii="Sylfaen" w:hAnsi="Sylfaen" w:cs="Arial"/>
                <w:color w:val="000000"/>
              </w:rPr>
              <w:t>on 02.08.2018</w:t>
            </w:r>
          </w:p>
        </w:tc>
      </w:tr>
    </w:tbl>
    <w:p w:rsidR="00F07170" w:rsidRDefault="00F07170" w:rsidP="00BD3A9C">
      <w:pPr>
        <w:rPr>
          <w:rFonts w:ascii="Sylfaen" w:hAnsi="Sylfaen" w:cs="Arial"/>
          <w:b/>
        </w:rPr>
      </w:pPr>
    </w:p>
    <w:p w:rsidR="00D43068" w:rsidRDefault="00D43068" w:rsidP="00BD3A9C">
      <w:pPr>
        <w:rPr>
          <w:rFonts w:ascii="Sylfaen" w:hAnsi="Sylfaen" w:cs="Arial"/>
        </w:rPr>
      </w:pPr>
    </w:p>
    <w:p w:rsidR="00A15234" w:rsidRPr="003860CF" w:rsidRDefault="00207617" w:rsidP="00BD3A9C">
      <w:pPr>
        <w:rPr>
          <w:rFonts w:ascii="Sylfaen" w:hAnsi="Sylfaen" w:cs="Arial"/>
        </w:rPr>
      </w:pPr>
      <w:r w:rsidRPr="003860CF">
        <w:rPr>
          <w:rFonts w:ascii="Sylfaen" w:hAnsi="Sylfaen" w:cs="Arial"/>
        </w:rPr>
        <w:t>Befo</w:t>
      </w:r>
      <w:r w:rsidR="00A15234" w:rsidRPr="003860CF">
        <w:rPr>
          <w:rFonts w:ascii="Sylfaen" w:hAnsi="Sylfaen" w:cs="Arial"/>
        </w:rPr>
        <w:t>re</w:t>
      </w:r>
      <w:r w:rsidR="00BD3A9C" w:rsidRPr="003860CF">
        <w:rPr>
          <w:rFonts w:ascii="Sylfaen" w:hAnsi="Sylfaen" w:cs="Arial"/>
        </w:rPr>
        <w:t>:</w:t>
      </w:r>
    </w:p>
    <w:p w:rsidR="00D20757" w:rsidRPr="003860CF" w:rsidRDefault="00BA334F" w:rsidP="00A15234">
      <w:pPr>
        <w:jc w:val="center"/>
        <w:rPr>
          <w:rFonts w:ascii="Sylfaen" w:hAnsi="Sylfaen" w:cs="Arial"/>
          <w:color w:val="000000"/>
        </w:rPr>
      </w:pPr>
      <w:r>
        <w:rPr>
          <w:rFonts w:ascii="Sylfaen" w:hAnsi="Sylfaen" w:cs="Arial"/>
          <w:color w:val="000000"/>
        </w:rPr>
        <w:t>Upper Tribunal Ju</w:t>
      </w:r>
      <w:r w:rsidRPr="003860CF">
        <w:rPr>
          <w:rFonts w:ascii="Sylfaen" w:hAnsi="Sylfaen" w:cs="Arial"/>
          <w:color w:val="000000"/>
        </w:rPr>
        <w:t xml:space="preserve">dge </w:t>
      </w:r>
    </w:p>
    <w:p w:rsidR="00A544A8" w:rsidRPr="00A544A8" w:rsidRDefault="00A544A8" w:rsidP="00A544A8">
      <w:pPr>
        <w:jc w:val="center"/>
        <w:rPr>
          <w:rFonts w:ascii="Sylfaen" w:hAnsi="Sylfaen" w:cs="Arial"/>
          <w:b/>
          <w:color w:val="000000"/>
        </w:rPr>
      </w:pPr>
      <w:r w:rsidRPr="00A544A8">
        <w:rPr>
          <w:rFonts w:ascii="Sylfaen" w:hAnsi="Sylfaen" w:cs="Arial"/>
          <w:b/>
          <w:color w:val="000000"/>
        </w:rPr>
        <w:t>John FREEMAN</w:t>
      </w:r>
    </w:p>
    <w:p w:rsidR="00A845DC" w:rsidRPr="003860CF" w:rsidRDefault="00A845DC" w:rsidP="00BD3A9C">
      <w:pPr>
        <w:rPr>
          <w:rFonts w:ascii="Sylfaen" w:hAnsi="Sylfaen" w:cs="Arial"/>
        </w:rPr>
      </w:pPr>
      <w:r w:rsidRPr="003860CF">
        <w:rPr>
          <w:rFonts w:ascii="Sylfaen" w:hAnsi="Sylfaen" w:cs="Arial"/>
        </w:rPr>
        <w:t>Between</w:t>
      </w:r>
      <w:r w:rsidR="00BD3A9C" w:rsidRPr="003860CF">
        <w:rPr>
          <w:rFonts w:ascii="Sylfaen" w:hAnsi="Sylfaen" w:cs="Arial"/>
        </w:rPr>
        <w:t>:</w:t>
      </w:r>
    </w:p>
    <w:p w:rsidR="00704B61" w:rsidRPr="00A544A8" w:rsidRDefault="009749AD" w:rsidP="00A15234">
      <w:pPr>
        <w:jc w:val="center"/>
        <w:rPr>
          <w:rFonts w:ascii="Sylfaen" w:hAnsi="Sylfaen" w:cs="Arial"/>
          <w:b/>
        </w:rPr>
      </w:pPr>
      <w:r>
        <w:rPr>
          <w:rFonts w:ascii="Sylfaen" w:hAnsi="Sylfaen" w:cs="Arial"/>
          <w:b/>
          <w:caps/>
        </w:rPr>
        <w:t xml:space="preserve">YU </w:t>
      </w:r>
      <w:proofErr w:type="spellStart"/>
      <w:r>
        <w:rPr>
          <w:rFonts w:ascii="Sylfaen" w:hAnsi="Sylfaen" w:cs="Arial"/>
          <w:b/>
        </w:rPr>
        <w:t>Jianbo</w:t>
      </w:r>
      <w:proofErr w:type="spellEnd"/>
    </w:p>
    <w:p w:rsidR="00704B61" w:rsidRPr="003860CF" w:rsidRDefault="00BD3A9C" w:rsidP="00704B61">
      <w:pPr>
        <w:jc w:val="right"/>
        <w:rPr>
          <w:rFonts w:ascii="Sylfaen" w:hAnsi="Sylfaen" w:cs="Arial"/>
        </w:rPr>
      </w:pPr>
      <w:r w:rsidRPr="003860CF">
        <w:rPr>
          <w:rFonts w:ascii="Sylfaen" w:hAnsi="Sylfaen" w:cs="Arial"/>
        </w:rPr>
        <w:t>appellant</w:t>
      </w:r>
    </w:p>
    <w:p w:rsidR="00704B61" w:rsidRPr="00A544A8" w:rsidRDefault="00DD5071" w:rsidP="00704B61">
      <w:pPr>
        <w:jc w:val="center"/>
        <w:rPr>
          <w:rFonts w:ascii="Sylfaen" w:hAnsi="Sylfaen" w:cs="Arial"/>
          <w:b/>
        </w:rPr>
      </w:pPr>
      <w:r w:rsidRPr="00A544A8">
        <w:rPr>
          <w:rFonts w:ascii="Sylfaen" w:hAnsi="Sylfaen" w:cs="Arial"/>
          <w:b/>
        </w:rPr>
        <w:t>and</w:t>
      </w:r>
    </w:p>
    <w:p w:rsidR="00DD5071" w:rsidRPr="00A544A8" w:rsidRDefault="00DD5071" w:rsidP="00704B61">
      <w:pPr>
        <w:jc w:val="center"/>
        <w:rPr>
          <w:rFonts w:ascii="Sylfaen" w:hAnsi="Sylfaen" w:cs="Arial"/>
          <w:b/>
        </w:rPr>
      </w:pPr>
    </w:p>
    <w:bookmarkStart w:id="1" w:name="Dropdown1"/>
    <w:p w:rsidR="00DD5071" w:rsidRPr="00A544A8" w:rsidRDefault="00A544A8" w:rsidP="00704B61">
      <w:pPr>
        <w:jc w:val="center"/>
        <w:rPr>
          <w:rFonts w:ascii="Sylfaen" w:hAnsi="Sylfaen" w:cs="Arial"/>
          <w:b/>
        </w:rPr>
      </w:pPr>
      <w:r w:rsidRPr="00A544A8">
        <w:rPr>
          <w:rFonts w:ascii="Sylfaen" w:hAnsi="Sylfaen" w:cs="Arial"/>
          <w:b/>
        </w:rPr>
        <w:fldChar w:fldCharType="begin">
          <w:ffData>
            <w:name w:val="Dropdown1"/>
            <w:enabled/>
            <w:calcOnExit w:val="0"/>
            <w:ddList>
              <w:listEntry w:val="Secretary of State for the Home Department"/>
              <w:listEntry w:val="Entry Clearance Officer,"/>
              <w:listEntry w:val="Immigration Officer, "/>
            </w:ddList>
          </w:ffData>
        </w:fldChar>
      </w:r>
      <w:r w:rsidRPr="00A544A8">
        <w:rPr>
          <w:rFonts w:ascii="Sylfaen" w:hAnsi="Sylfaen" w:cs="Arial"/>
          <w:b/>
        </w:rPr>
        <w:instrText xml:space="preserve"> FORMDROPDOWN </w:instrText>
      </w:r>
      <w:r w:rsidR="005B7DA5">
        <w:rPr>
          <w:rFonts w:ascii="Sylfaen" w:hAnsi="Sylfaen" w:cs="Arial"/>
          <w:b/>
        </w:rPr>
      </w:r>
      <w:r w:rsidR="005B7DA5">
        <w:rPr>
          <w:rFonts w:ascii="Sylfaen" w:hAnsi="Sylfaen" w:cs="Arial"/>
          <w:b/>
        </w:rPr>
        <w:fldChar w:fldCharType="separate"/>
      </w:r>
      <w:r w:rsidRPr="00A544A8">
        <w:rPr>
          <w:rFonts w:ascii="Sylfaen" w:hAnsi="Sylfaen" w:cs="Arial"/>
          <w:b/>
        </w:rPr>
        <w:fldChar w:fldCharType="end"/>
      </w:r>
      <w:bookmarkEnd w:id="1"/>
      <w:r w:rsidR="009E30EE">
        <w:rPr>
          <w:rFonts w:ascii="Sylfaen" w:hAnsi="Sylfaen" w:cs="Arial"/>
          <w:b/>
        </w:rPr>
        <w:t xml:space="preserve"> </w:t>
      </w:r>
      <w:r w:rsidR="009E30EE">
        <w:rPr>
          <w:rFonts w:ascii="Sylfaen" w:hAnsi="Sylfaen" w:cs="Arial"/>
          <w:b/>
        </w:rPr>
        <w:fldChar w:fldCharType="begin">
          <w:ffData>
            <w:name w:val="Text34"/>
            <w:enabled/>
            <w:calcOnExit w:val="0"/>
            <w:textInput/>
          </w:ffData>
        </w:fldChar>
      </w:r>
      <w:bookmarkStart w:id="2" w:name="Text34"/>
      <w:r w:rsidR="009E30EE">
        <w:rPr>
          <w:rFonts w:ascii="Sylfaen" w:hAnsi="Sylfaen" w:cs="Arial"/>
          <w:b/>
        </w:rPr>
        <w:instrText xml:space="preserve"> FORMTEXT </w:instrText>
      </w:r>
      <w:r w:rsidR="009E30EE">
        <w:rPr>
          <w:rFonts w:ascii="Sylfaen" w:hAnsi="Sylfaen" w:cs="Arial"/>
          <w:b/>
        </w:rPr>
      </w:r>
      <w:r w:rsidR="009E30EE">
        <w:rPr>
          <w:rFonts w:ascii="Sylfaen" w:hAnsi="Sylfaen" w:cs="Arial"/>
          <w:b/>
        </w:rPr>
        <w:fldChar w:fldCharType="separate"/>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9E30EE">
        <w:rPr>
          <w:rFonts w:ascii="Sylfaen" w:hAnsi="Sylfaen" w:cs="Arial"/>
          <w:b/>
        </w:rPr>
        <w:fldChar w:fldCharType="end"/>
      </w:r>
      <w:bookmarkEnd w:id="2"/>
    </w:p>
    <w:p w:rsidR="00DD5071" w:rsidRPr="003860CF" w:rsidRDefault="00BD3A9C" w:rsidP="00DD5071">
      <w:pPr>
        <w:jc w:val="right"/>
        <w:rPr>
          <w:rFonts w:ascii="Sylfaen" w:hAnsi="Sylfaen" w:cs="Arial"/>
        </w:rPr>
      </w:pPr>
      <w:r w:rsidRPr="003860CF">
        <w:rPr>
          <w:rFonts w:ascii="Sylfaen" w:hAnsi="Sylfaen" w:cs="Arial"/>
        </w:rPr>
        <w:t>respondent</w:t>
      </w:r>
    </w:p>
    <w:p w:rsidR="00D43068" w:rsidRDefault="00D43068" w:rsidP="00DD5071">
      <w:pPr>
        <w:rPr>
          <w:rFonts w:ascii="Sylfaen" w:hAnsi="Sylfaen" w:cs="Arial"/>
          <w:u w:val="single"/>
        </w:rPr>
      </w:pPr>
    </w:p>
    <w:p w:rsidR="00DD5071" w:rsidRPr="003860CF" w:rsidRDefault="00DE7DB7" w:rsidP="00DD5071">
      <w:pPr>
        <w:rPr>
          <w:rFonts w:ascii="Sylfaen" w:hAnsi="Sylfaen" w:cs="Arial"/>
        </w:rPr>
      </w:pPr>
      <w:r w:rsidRPr="003860CF">
        <w:rPr>
          <w:rFonts w:ascii="Sylfaen" w:hAnsi="Sylfaen" w:cs="Arial"/>
          <w:u w:val="single"/>
        </w:rPr>
        <w:t>Representation</w:t>
      </w:r>
      <w:r w:rsidRPr="003860CF">
        <w:rPr>
          <w:rFonts w:ascii="Sylfaen" w:hAnsi="Sylfaen" w:cs="Arial"/>
        </w:rPr>
        <w:t>:</w:t>
      </w:r>
    </w:p>
    <w:p w:rsidR="00DE7DB7" w:rsidRPr="009749AD" w:rsidRDefault="00DE7DB7" w:rsidP="00D43068">
      <w:pPr>
        <w:tabs>
          <w:tab w:val="left" w:pos="2552"/>
        </w:tabs>
        <w:rPr>
          <w:rFonts w:ascii="Sylfaen" w:hAnsi="Sylfaen" w:cs="Arial"/>
        </w:rPr>
      </w:pPr>
      <w:r w:rsidRPr="00A544A8">
        <w:rPr>
          <w:rFonts w:ascii="Sylfaen" w:hAnsi="Sylfaen" w:cs="Arial"/>
        </w:rPr>
        <w:t xml:space="preserve">For the </w:t>
      </w:r>
      <w:r w:rsidR="00A544A8" w:rsidRPr="00A544A8">
        <w:rPr>
          <w:rFonts w:ascii="Sylfaen" w:hAnsi="Sylfaen" w:cs="Arial"/>
        </w:rPr>
        <w:t>appellant</w:t>
      </w:r>
      <w:r w:rsidRPr="00A544A8">
        <w:rPr>
          <w:rFonts w:ascii="Sylfaen" w:hAnsi="Sylfaen" w:cs="Arial"/>
        </w:rPr>
        <w:t>:</w:t>
      </w:r>
      <w:r w:rsidR="00D43068">
        <w:rPr>
          <w:rFonts w:ascii="Sylfaen" w:hAnsi="Sylfaen" w:cs="Arial"/>
        </w:rPr>
        <w:tab/>
      </w:r>
      <w:r w:rsidR="009749AD">
        <w:rPr>
          <w:rFonts w:ascii="Sylfaen" w:hAnsi="Sylfaen" w:cs="Arial"/>
          <w:i/>
        </w:rPr>
        <w:t xml:space="preserve">Stuart McTaggart </w:t>
      </w:r>
      <w:r w:rsidR="009749AD">
        <w:rPr>
          <w:rFonts w:ascii="Sylfaen" w:hAnsi="Sylfaen" w:cs="Arial"/>
        </w:rPr>
        <w:t>(counsel instructed by RP Crawford &amp; Co)</w:t>
      </w:r>
    </w:p>
    <w:p w:rsidR="00DE7DB7" w:rsidRPr="00A544A8" w:rsidRDefault="00DE7DB7" w:rsidP="00D43068">
      <w:pPr>
        <w:tabs>
          <w:tab w:val="left" w:pos="2552"/>
        </w:tabs>
        <w:rPr>
          <w:rFonts w:ascii="Sylfaen" w:hAnsi="Sylfaen" w:cs="Arial"/>
        </w:rPr>
      </w:pPr>
      <w:r w:rsidRPr="00A544A8">
        <w:rPr>
          <w:rFonts w:ascii="Sylfaen" w:hAnsi="Sylfaen" w:cs="Arial"/>
        </w:rPr>
        <w:t xml:space="preserve">For the </w:t>
      </w:r>
      <w:r w:rsidR="00A544A8" w:rsidRPr="00A544A8">
        <w:rPr>
          <w:rFonts w:ascii="Sylfaen" w:hAnsi="Sylfaen" w:cs="Arial"/>
        </w:rPr>
        <w:t>respondent</w:t>
      </w:r>
      <w:r w:rsidRPr="00A544A8">
        <w:rPr>
          <w:rFonts w:ascii="Sylfaen" w:hAnsi="Sylfaen" w:cs="Arial"/>
        </w:rPr>
        <w:t>:</w:t>
      </w:r>
      <w:r w:rsidR="00D43068">
        <w:rPr>
          <w:rFonts w:ascii="Sylfaen" w:hAnsi="Sylfaen" w:cs="Arial"/>
        </w:rPr>
        <w:tab/>
      </w:r>
      <w:r w:rsidR="009749AD">
        <w:rPr>
          <w:rFonts w:ascii="Sylfaen" w:hAnsi="Sylfaen" w:cs="Arial"/>
        </w:rPr>
        <w:t xml:space="preserve">Mr A </w:t>
      </w:r>
      <w:proofErr w:type="spellStart"/>
      <w:r w:rsidR="009749AD">
        <w:rPr>
          <w:rFonts w:ascii="Sylfaen" w:hAnsi="Sylfaen" w:cs="Arial"/>
        </w:rPr>
        <w:t>McVeety</w:t>
      </w:r>
      <w:proofErr w:type="spellEnd"/>
    </w:p>
    <w:p w:rsidR="00DE7DB7" w:rsidRPr="00A544A8" w:rsidRDefault="00DE7DB7" w:rsidP="00402B9E">
      <w:pPr>
        <w:tabs>
          <w:tab w:val="left" w:pos="2520"/>
        </w:tabs>
        <w:jc w:val="center"/>
        <w:rPr>
          <w:rFonts w:ascii="Sylfaen" w:hAnsi="Sylfaen" w:cs="Arial"/>
        </w:rPr>
      </w:pPr>
    </w:p>
    <w:p w:rsidR="00DE7DB7" w:rsidRPr="00A544A8" w:rsidRDefault="00402B9E" w:rsidP="00BD3A9C">
      <w:pPr>
        <w:tabs>
          <w:tab w:val="left" w:pos="2520"/>
        </w:tabs>
        <w:spacing w:after="120"/>
        <w:jc w:val="center"/>
        <w:rPr>
          <w:rFonts w:ascii="Sylfaen" w:hAnsi="Sylfaen" w:cs="Arial"/>
        </w:rPr>
      </w:pPr>
      <w:r w:rsidRPr="00A544A8">
        <w:rPr>
          <w:rFonts w:ascii="Sylfaen" w:hAnsi="Sylfaen" w:cs="Arial"/>
          <w:b/>
          <w:u w:val="single"/>
        </w:rPr>
        <w:t>DETERMINATION AND REASONS</w:t>
      </w:r>
    </w:p>
    <w:p w:rsidR="00BF23BB" w:rsidRPr="00A544A8" w:rsidRDefault="00402B9E" w:rsidP="00BD3A9C">
      <w:pPr>
        <w:tabs>
          <w:tab w:val="left" w:pos="567"/>
        </w:tabs>
        <w:spacing w:after="120"/>
        <w:ind w:left="567" w:hanging="567"/>
        <w:jc w:val="both"/>
        <w:rPr>
          <w:rFonts w:ascii="Sylfaen" w:hAnsi="Sylfaen" w:cs="Arial"/>
        </w:rPr>
      </w:pPr>
      <w:r w:rsidRPr="00A544A8">
        <w:rPr>
          <w:rFonts w:ascii="Sylfaen" w:hAnsi="Sylfaen" w:cs="Arial"/>
        </w:rPr>
        <w:tab/>
      </w:r>
      <w:r w:rsidR="00FE4D99">
        <w:rPr>
          <w:rFonts w:ascii="Sylfaen" w:hAnsi="Sylfaen" w:cs="Arial"/>
        </w:rPr>
        <w:t>This is an appeal</w:t>
      </w:r>
      <w:r w:rsidR="00DF392C">
        <w:rPr>
          <w:rFonts w:ascii="Sylfaen" w:hAnsi="Sylfaen" w:cs="Arial"/>
        </w:rPr>
        <w:t>,</w:t>
      </w:r>
      <w:r w:rsidR="00FE4D99">
        <w:rPr>
          <w:rFonts w:ascii="Sylfaen" w:hAnsi="Sylfaen" w:cs="Arial"/>
        </w:rPr>
        <w:t xml:space="preserve"> by</w:t>
      </w:r>
      <w:r w:rsidR="00DE20CE">
        <w:rPr>
          <w:rFonts w:ascii="Sylfaen" w:hAnsi="Sylfaen" w:cs="Arial"/>
        </w:rPr>
        <w:t xml:space="preserve"> the </w:t>
      </w:r>
      <w:r w:rsidR="009749AD">
        <w:rPr>
          <w:rFonts w:ascii="Sylfaen" w:hAnsi="Sylfaen" w:cs="Arial"/>
        </w:rPr>
        <w:fldChar w:fldCharType="begin">
          <w:ffData>
            <w:name w:val="Dropdown4"/>
            <w:enabled/>
            <w:calcOnExit w:val="0"/>
            <w:ddList>
              <w:listEntry w:val="respondent to the original appeal"/>
              <w:listEntry w:val="appellant"/>
              <w:listEntry w:val="appellants"/>
            </w:ddList>
          </w:ffData>
        </w:fldChar>
      </w:r>
      <w:bookmarkStart w:id="3" w:name="Dropdown4"/>
      <w:r w:rsidR="009749AD">
        <w:rPr>
          <w:rFonts w:ascii="Sylfaen" w:hAnsi="Sylfaen" w:cs="Arial"/>
        </w:rPr>
        <w:instrText xml:space="preserve"> FORMDROPDOWN </w:instrText>
      </w:r>
      <w:r w:rsidR="005B7DA5">
        <w:rPr>
          <w:rFonts w:ascii="Sylfaen" w:hAnsi="Sylfaen" w:cs="Arial"/>
        </w:rPr>
      </w:r>
      <w:r w:rsidR="005B7DA5">
        <w:rPr>
          <w:rFonts w:ascii="Sylfaen" w:hAnsi="Sylfaen" w:cs="Arial"/>
        </w:rPr>
        <w:fldChar w:fldCharType="separate"/>
      </w:r>
      <w:r w:rsidR="009749AD">
        <w:rPr>
          <w:rFonts w:ascii="Sylfaen" w:hAnsi="Sylfaen" w:cs="Arial"/>
        </w:rPr>
        <w:fldChar w:fldCharType="end"/>
      </w:r>
      <w:bookmarkEnd w:id="3"/>
      <w:r w:rsidR="00DF392C">
        <w:rPr>
          <w:rFonts w:ascii="Sylfaen" w:hAnsi="Sylfaen" w:cs="Arial"/>
        </w:rPr>
        <w:t>,</w:t>
      </w:r>
      <w:r w:rsidR="00FE4D99">
        <w:rPr>
          <w:rFonts w:ascii="Sylfaen" w:hAnsi="Sylfaen" w:cs="Arial"/>
        </w:rPr>
        <w:t xml:space="preserve"> against the decision of </w:t>
      </w:r>
      <w:r w:rsidR="00194E6E">
        <w:rPr>
          <w:rFonts w:ascii="Sylfaen" w:hAnsi="Sylfaen" w:cs="Arial"/>
        </w:rPr>
        <w:t>the First-tier Tribunal</w:t>
      </w:r>
      <w:r w:rsidR="00FE4D99">
        <w:rPr>
          <w:rFonts w:ascii="Sylfaen" w:hAnsi="Sylfaen" w:cs="Arial"/>
        </w:rPr>
        <w:t xml:space="preserve"> </w:t>
      </w:r>
      <w:r w:rsidR="00194E6E">
        <w:rPr>
          <w:rFonts w:ascii="Sylfaen" w:hAnsi="Sylfaen" w:cs="Arial"/>
        </w:rPr>
        <w:t>(</w:t>
      </w:r>
      <w:r w:rsidR="00FE4D99">
        <w:rPr>
          <w:rFonts w:ascii="Sylfaen" w:hAnsi="Sylfaen" w:cs="Arial"/>
        </w:rPr>
        <w:t xml:space="preserve">Judge </w:t>
      </w:r>
      <w:r w:rsidR="009749AD">
        <w:rPr>
          <w:rFonts w:ascii="Sylfaen" w:hAnsi="Sylfaen" w:cs="Arial"/>
        </w:rPr>
        <w:t>Moira Hutchinson</w:t>
      </w:r>
      <w:r w:rsidR="00194E6E">
        <w:rPr>
          <w:rFonts w:ascii="Sylfaen" w:hAnsi="Sylfaen" w:cs="Arial"/>
        </w:rPr>
        <w:t>)</w:t>
      </w:r>
      <w:r w:rsidR="00FE4D99">
        <w:rPr>
          <w:rFonts w:ascii="Sylfaen" w:hAnsi="Sylfaen" w:cs="Arial"/>
        </w:rPr>
        <w:t xml:space="preserve">, sitting at </w:t>
      </w:r>
      <w:r w:rsidR="009749AD">
        <w:rPr>
          <w:rFonts w:ascii="Sylfaen" w:hAnsi="Sylfaen" w:cs="Arial"/>
        </w:rPr>
        <w:t>Belfast</w:t>
      </w:r>
      <w:r w:rsidR="00FE4D99">
        <w:rPr>
          <w:rFonts w:ascii="Sylfaen" w:hAnsi="Sylfaen" w:cs="Arial"/>
        </w:rPr>
        <w:t xml:space="preserve"> on </w:t>
      </w:r>
      <w:r w:rsidR="009749AD">
        <w:rPr>
          <w:rFonts w:ascii="Sylfaen" w:hAnsi="Sylfaen" w:cs="Arial"/>
        </w:rPr>
        <w:t>23 November 2017</w:t>
      </w:r>
      <w:r w:rsidR="00FE4D99">
        <w:rPr>
          <w:rFonts w:ascii="Sylfaen" w:hAnsi="Sylfaen" w:cs="Arial"/>
        </w:rPr>
        <w:t xml:space="preserve">, to </w:t>
      </w:r>
      <w:r w:rsidR="009749AD">
        <w:rPr>
          <w:rFonts w:ascii="Sylfaen" w:hAnsi="Sylfaen" w:cs="Arial"/>
        </w:rPr>
        <w:fldChar w:fldCharType="begin">
          <w:ffData>
            <w:name w:val="Dropdown2"/>
            <w:enabled/>
            <w:calcOnExit w:val="0"/>
            <w:ddList>
              <w:listEntry w:val="allow"/>
              <w:listEntry w:val="dismiss"/>
            </w:ddList>
          </w:ffData>
        </w:fldChar>
      </w:r>
      <w:bookmarkStart w:id="4" w:name="Dropdown2"/>
      <w:r w:rsidR="009749AD">
        <w:rPr>
          <w:rFonts w:ascii="Sylfaen" w:hAnsi="Sylfaen" w:cs="Arial"/>
        </w:rPr>
        <w:instrText xml:space="preserve"> FORMDROPDOWN </w:instrText>
      </w:r>
      <w:r w:rsidR="005B7DA5">
        <w:rPr>
          <w:rFonts w:ascii="Sylfaen" w:hAnsi="Sylfaen" w:cs="Arial"/>
        </w:rPr>
      </w:r>
      <w:r w:rsidR="005B7DA5">
        <w:rPr>
          <w:rFonts w:ascii="Sylfaen" w:hAnsi="Sylfaen" w:cs="Arial"/>
        </w:rPr>
        <w:fldChar w:fldCharType="separate"/>
      </w:r>
      <w:r w:rsidR="009749AD">
        <w:rPr>
          <w:rFonts w:ascii="Sylfaen" w:hAnsi="Sylfaen" w:cs="Arial"/>
        </w:rPr>
        <w:fldChar w:fldCharType="end"/>
      </w:r>
      <w:bookmarkEnd w:id="4"/>
      <w:r w:rsidR="00FE4D99">
        <w:rPr>
          <w:rFonts w:ascii="Sylfaen" w:hAnsi="Sylfaen" w:cs="Arial"/>
        </w:rPr>
        <w:t xml:space="preserve"> </w:t>
      </w:r>
      <w:r w:rsidR="009749AD">
        <w:rPr>
          <w:rFonts w:ascii="Sylfaen" w:hAnsi="Sylfaen" w:cs="Arial"/>
        </w:rPr>
        <w:t>a</w:t>
      </w:r>
      <w:r w:rsidR="00FE4D99">
        <w:rPr>
          <w:rFonts w:ascii="Sylfaen" w:hAnsi="Sylfaen" w:cs="Arial"/>
        </w:rPr>
        <w:t xml:space="preserve"> </w:t>
      </w:r>
      <w:r w:rsidR="009749AD">
        <w:rPr>
          <w:rFonts w:ascii="Sylfaen" w:hAnsi="Sylfaen" w:cs="Arial"/>
        </w:rPr>
        <w:t xml:space="preserve">deportation </w:t>
      </w:r>
      <w:r w:rsidR="00FE4D99">
        <w:rPr>
          <w:rFonts w:ascii="Sylfaen" w:hAnsi="Sylfaen" w:cs="Arial"/>
        </w:rPr>
        <w:t xml:space="preserve">appeal by a citizen of </w:t>
      </w:r>
      <w:r w:rsidR="009749AD">
        <w:rPr>
          <w:rFonts w:ascii="Sylfaen" w:hAnsi="Sylfaen" w:cs="Arial"/>
        </w:rPr>
        <w:t>China</w:t>
      </w:r>
      <w:r w:rsidR="00102EBC">
        <w:rPr>
          <w:rFonts w:ascii="Sylfaen" w:hAnsi="Sylfaen" w:cs="Arial"/>
        </w:rPr>
        <w:t xml:space="preserve">, born </w:t>
      </w:r>
      <w:r w:rsidR="009749AD">
        <w:rPr>
          <w:rFonts w:ascii="Sylfaen" w:hAnsi="Sylfaen" w:cs="Arial"/>
        </w:rPr>
        <w:t>1979</w:t>
      </w:r>
      <w:r w:rsidR="00FE4D99">
        <w:rPr>
          <w:rFonts w:ascii="Sylfaen" w:hAnsi="Sylfaen" w:cs="Arial"/>
        </w:rPr>
        <w:t>.</w:t>
      </w:r>
    </w:p>
    <w:p w:rsidR="00D81575" w:rsidRPr="00014DCB" w:rsidRDefault="00D81575" w:rsidP="00BD3A9C">
      <w:pPr>
        <w:numPr>
          <w:ilvl w:val="0"/>
          <w:numId w:val="1"/>
        </w:numPr>
        <w:tabs>
          <w:tab w:val="clear" w:pos="757"/>
        </w:tabs>
        <w:spacing w:after="120"/>
        <w:ind w:left="540" w:hanging="540"/>
        <w:jc w:val="both"/>
        <w:rPr>
          <w:rFonts w:ascii="Sylfaen" w:hAnsi="Sylfaen" w:cs="Arial"/>
        </w:rPr>
      </w:pPr>
      <w:r w:rsidRPr="00014DCB">
        <w:rPr>
          <w:rFonts w:ascii="Sylfaen" w:hAnsi="Sylfaen" w:cs="Arial"/>
        </w:rPr>
        <w:t xml:space="preserve">The appellant had arrived in 1998 and claimed asylum: in 2000 he was refused and absconded. Nothing more was heard of him till 2006, when he was arrested for illegally selling DVDs, and claimed asylum once more in another name. That was refused again, but nothing seems to have been done to remove him, and in 2010 a ‘legacy’ application was made for him. From 2011 to 2013 he absconded again, but in 2014 he was given </w:t>
      </w:r>
      <w:r w:rsidRPr="00014DCB">
        <w:rPr>
          <w:rFonts w:ascii="Sylfaen" w:hAnsi="Sylfaen" w:cs="Arial"/>
        </w:rPr>
        <w:lastRenderedPageBreak/>
        <w:t xml:space="preserve">discretionary leave to remain till 2 April 2017.On 1 June 2017 the appellant was </w:t>
      </w:r>
      <w:r w:rsidR="00014DCB" w:rsidRPr="00014DCB">
        <w:rPr>
          <w:rFonts w:ascii="Sylfaen" w:hAnsi="Sylfaen" w:cs="Arial"/>
        </w:rPr>
        <w:t xml:space="preserve">convicted of possession of a class ‘B’ drug with intent to supply, and sentenced to imprisonment for 2 years 2 months. On 11 July a deportation order was made against him. </w:t>
      </w:r>
    </w:p>
    <w:p w:rsidR="00F064DC" w:rsidRPr="00F064DC" w:rsidRDefault="00014DCB"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relevant provisions </w:t>
      </w:r>
      <w:r w:rsidR="0056788C">
        <w:rPr>
          <w:rFonts w:ascii="Sylfaen" w:hAnsi="Sylfaen" w:cs="Arial"/>
        </w:rPr>
        <w:t xml:space="preserve">for this appeal </w:t>
      </w:r>
      <w:r>
        <w:rPr>
          <w:rFonts w:ascii="Sylfaen" w:hAnsi="Sylfaen" w:cs="Arial"/>
        </w:rPr>
        <w:t>are</w:t>
      </w:r>
      <w:r w:rsidR="0056788C">
        <w:rPr>
          <w:rFonts w:ascii="Sylfaen" w:hAnsi="Sylfaen" w:cs="Arial"/>
        </w:rPr>
        <w:t xml:space="preserve"> in s. 117C of the </w:t>
      </w:r>
      <w:hyperlink r:id="rId8" w:history="1">
        <w:r w:rsidR="0056788C" w:rsidRPr="0056788C">
          <w:rPr>
            <w:rFonts w:ascii="Sylfaen" w:hAnsi="Sylfaen" w:cs="Arial"/>
            <w:color w:val="000000"/>
          </w:rPr>
          <w:t>Nationality, Immigration and Asylum Act 2002</w:t>
        </w:r>
      </w:hyperlink>
      <w:r w:rsidR="009E3F0B">
        <w:rPr>
          <w:rFonts w:ascii="Sylfaen" w:hAnsi="Sylfaen" w:cs="Arial"/>
          <w:color w:val="000000"/>
        </w:rPr>
        <w:t xml:space="preserve">. As a ‘foreign criminal’, sentenced to between 12 months’ and 4 years’ imprisonment, the public interest required his deportation, unless he came within </w:t>
      </w:r>
      <w:r w:rsidR="002254BA">
        <w:rPr>
          <w:rFonts w:ascii="Sylfaen" w:hAnsi="Sylfaen" w:cs="Arial"/>
          <w:color w:val="000000"/>
        </w:rPr>
        <w:t xml:space="preserve">one of the two exceptions. Since his lawful residence, while it lasted, had been very recent, he could not benefit from Exception 1, and had to rely on Exception 2. This required a </w:t>
      </w:r>
      <w:r w:rsidR="002254BA" w:rsidRPr="002254BA">
        <w:rPr>
          <w:rFonts w:ascii="Sylfaen" w:hAnsi="Sylfaen" w:cs="Arial"/>
          <w:color w:val="000000"/>
        </w:rPr>
        <w:t>‘genuine and subsisting</w:t>
      </w:r>
      <w:r w:rsidR="002254BA">
        <w:rPr>
          <w:rFonts w:ascii="Sylfaen" w:hAnsi="Sylfaen" w:cs="Arial"/>
          <w:color w:val="000000"/>
        </w:rPr>
        <w:t xml:space="preserve"> relationship</w:t>
      </w:r>
      <w:r w:rsidR="003A4198">
        <w:rPr>
          <w:rFonts w:ascii="Sylfaen" w:hAnsi="Sylfaen" w:cs="Arial"/>
          <w:color w:val="000000"/>
        </w:rPr>
        <w:t xml:space="preserve">’ with a qualifying partner or child. </w:t>
      </w:r>
      <w:r w:rsidR="006D6EB0">
        <w:rPr>
          <w:rFonts w:ascii="Sylfaen" w:hAnsi="Sylfaen" w:cs="Arial"/>
          <w:color w:val="000000"/>
        </w:rPr>
        <w:t>There are identical provisions in paragraphs 398 – 399 of the Rules, but it is more convenient to use the terms in the statute.</w:t>
      </w:r>
    </w:p>
    <w:p w:rsidR="00014DCB" w:rsidRDefault="003A4198" w:rsidP="00BD3A9C">
      <w:pPr>
        <w:numPr>
          <w:ilvl w:val="0"/>
          <w:numId w:val="1"/>
        </w:numPr>
        <w:tabs>
          <w:tab w:val="clear" w:pos="757"/>
        </w:tabs>
        <w:spacing w:after="120"/>
        <w:ind w:left="540" w:hanging="540"/>
        <w:jc w:val="both"/>
        <w:rPr>
          <w:rFonts w:ascii="Sylfaen" w:hAnsi="Sylfaen" w:cs="Arial"/>
        </w:rPr>
      </w:pPr>
      <w:r>
        <w:rPr>
          <w:rFonts w:ascii="Sylfaen" w:hAnsi="Sylfaen" w:cs="Arial"/>
          <w:color w:val="000000"/>
        </w:rPr>
        <w:t xml:space="preserve">This appellant </w:t>
      </w:r>
      <w:r w:rsidR="00F064DC">
        <w:rPr>
          <w:rFonts w:ascii="Sylfaen" w:hAnsi="Sylfaen" w:cs="Arial"/>
          <w:color w:val="000000"/>
        </w:rPr>
        <w:t xml:space="preserve">met a Chinese lady in this country in 2004, and they married in 2005. Since then they have had two sons, YH in 2006 and YL in 2008. YH is a British citizen, and both boys have lived here for over seven years, so both are qualifying children; nor is it disputed that he has a </w:t>
      </w:r>
      <w:r w:rsidR="00F064DC" w:rsidRPr="00F064DC">
        <w:rPr>
          <w:rFonts w:ascii="Sylfaen" w:hAnsi="Sylfaen" w:cs="Arial"/>
          <w:color w:val="000000"/>
        </w:rPr>
        <w:t>‘genuine and subsisting’</w:t>
      </w:r>
      <w:r w:rsidR="00F064DC">
        <w:rPr>
          <w:rFonts w:ascii="Sylfaen" w:hAnsi="Sylfaen" w:cs="Arial"/>
          <w:color w:val="000000"/>
        </w:rPr>
        <w:t xml:space="preserve"> parental </w:t>
      </w:r>
      <w:r w:rsidR="00F064DC" w:rsidRPr="00F064DC">
        <w:rPr>
          <w:rFonts w:ascii="Sylfaen" w:hAnsi="Sylfaen" w:cs="Arial"/>
          <w:color w:val="000000"/>
        </w:rPr>
        <w:t>relationship</w:t>
      </w:r>
      <w:r w:rsidR="00F064DC">
        <w:rPr>
          <w:rFonts w:ascii="Sylfaen" w:hAnsi="Sylfaen" w:cs="Arial"/>
          <w:color w:val="000000"/>
        </w:rPr>
        <w:t xml:space="preserve"> with them.</w:t>
      </w:r>
    </w:p>
    <w:p w:rsidR="0056788C" w:rsidRDefault="00F064DC" w:rsidP="00BD3A9C">
      <w:pPr>
        <w:numPr>
          <w:ilvl w:val="0"/>
          <w:numId w:val="1"/>
        </w:numPr>
        <w:tabs>
          <w:tab w:val="clear" w:pos="757"/>
        </w:tabs>
        <w:spacing w:after="120"/>
        <w:ind w:left="540" w:hanging="540"/>
        <w:jc w:val="both"/>
        <w:rPr>
          <w:rFonts w:ascii="Sylfaen" w:hAnsi="Sylfaen" w:cs="Arial"/>
        </w:rPr>
      </w:pPr>
      <w:r>
        <w:rPr>
          <w:rFonts w:ascii="Sylfaen" w:hAnsi="Sylfaen" w:cs="Arial"/>
        </w:rPr>
        <w:t>If the appellant were to benefit from Exception 2, then he needed to go further and show that the effect of his deportation on either child wo</w:t>
      </w:r>
      <w:r w:rsidR="00767EBE">
        <w:rPr>
          <w:rFonts w:ascii="Sylfaen" w:hAnsi="Sylfaen" w:cs="Arial"/>
        </w:rPr>
        <w:t xml:space="preserve">uld be unduly harsh. This appeal is about the judge’s approach to that question. She had to spend a good deal of time dealing with the question of whether it would be unduly harsh to expect either of them to move to China with their family; but each of them has </w:t>
      </w:r>
      <w:r w:rsidR="003E0939" w:rsidRPr="003E0939">
        <w:rPr>
          <w:rFonts w:ascii="Sylfaen" w:hAnsi="Sylfaen" w:cs="Arial"/>
        </w:rPr>
        <w:t>significant</w:t>
      </w:r>
      <w:r w:rsidR="003E0939">
        <w:rPr>
          <w:rFonts w:ascii="Sylfaen" w:hAnsi="Sylfaen" w:cs="Arial"/>
        </w:rPr>
        <w:t xml:space="preserve"> </w:t>
      </w:r>
      <w:r w:rsidR="000B1DCE">
        <w:rPr>
          <w:rFonts w:ascii="Sylfaen" w:hAnsi="Sylfaen" w:cs="Arial"/>
        </w:rPr>
        <w:t xml:space="preserve">mental </w:t>
      </w:r>
      <w:r w:rsidR="00767EBE">
        <w:rPr>
          <w:rFonts w:ascii="Sylfaen" w:hAnsi="Sylfaen" w:cs="Arial"/>
        </w:rPr>
        <w:t xml:space="preserve">health problems, which are being dealt with here, and </w:t>
      </w:r>
      <w:r w:rsidR="00767EBE" w:rsidRPr="00767EBE">
        <w:rPr>
          <w:rFonts w:ascii="Sylfaen" w:hAnsi="Sylfaen" w:cs="Arial"/>
        </w:rPr>
        <w:t xml:space="preserve">Mr </w:t>
      </w:r>
      <w:proofErr w:type="spellStart"/>
      <w:r w:rsidR="00767EBE" w:rsidRPr="00767EBE">
        <w:rPr>
          <w:rFonts w:ascii="Sylfaen" w:hAnsi="Sylfaen" w:cs="Arial"/>
        </w:rPr>
        <w:t>McVeety</w:t>
      </w:r>
      <w:proofErr w:type="spellEnd"/>
      <w:r w:rsidR="00767EBE">
        <w:rPr>
          <w:rFonts w:ascii="Sylfaen" w:hAnsi="Sylfaen" w:cs="Arial"/>
        </w:rPr>
        <w:t xml:space="preserve"> realistically accepted that her decision on this point could not be challenged.</w:t>
      </w:r>
      <w:r w:rsidR="000B1DCE">
        <w:rPr>
          <w:rFonts w:ascii="Sylfaen" w:hAnsi="Sylfaen" w:cs="Arial"/>
        </w:rPr>
        <w:t xml:space="preserve"> (YH is autistic enough to be given a full-time teaching assistant at school, and YL disturbed enough to refuse to speak at all, as shown in reports before the judge).</w:t>
      </w:r>
    </w:p>
    <w:p w:rsidR="003E0939" w:rsidRDefault="003E0939"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In the section headlined ‘Children Remaining in the UK without the Appellant’, the judge referred back at 39 to her ‘wider assessment’ on Exception 2, and there is no challenge to her assessment of the facts on this possibility. </w:t>
      </w:r>
      <w:r w:rsidRPr="003E0939">
        <w:rPr>
          <w:rFonts w:ascii="Sylfaen" w:hAnsi="Sylfaen" w:cs="Arial"/>
        </w:rPr>
        <w:t xml:space="preserve">Mr </w:t>
      </w:r>
      <w:proofErr w:type="spellStart"/>
      <w:r w:rsidRPr="003E0939">
        <w:rPr>
          <w:rFonts w:ascii="Sylfaen" w:hAnsi="Sylfaen" w:cs="Arial"/>
        </w:rPr>
        <w:t>McVeety</w:t>
      </w:r>
      <w:proofErr w:type="spellEnd"/>
      <w:r>
        <w:rPr>
          <w:rFonts w:ascii="Sylfaen" w:hAnsi="Sylfaen" w:cs="Arial"/>
        </w:rPr>
        <w:t xml:space="preserve"> did criticize the judge for concentrating too much on the interests of the children generally; but it was those that provided the statutory exception to the general rule which the appellant had to establish.</w:t>
      </w:r>
    </w:p>
    <w:p w:rsidR="00767EBE" w:rsidRDefault="00767EBE"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As that was the main focus of the hearing before the judge, she dealt with general considerations, including the relevant authorities, in her </w:t>
      </w:r>
      <w:r w:rsidR="003E0939">
        <w:rPr>
          <w:rFonts w:ascii="Sylfaen" w:hAnsi="Sylfaen" w:cs="Arial"/>
        </w:rPr>
        <w:t xml:space="preserve">first </w:t>
      </w:r>
      <w:r>
        <w:rPr>
          <w:rFonts w:ascii="Sylfaen" w:hAnsi="Sylfaen" w:cs="Arial"/>
        </w:rPr>
        <w:t>section</w:t>
      </w:r>
      <w:r w:rsidR="003E0939">
        <w:rPr>
          <w:rFonts w:ascii="Sylfaen" w:hAnsi="Sylfaen" w:cs="Arial"/>
        </w:rPr>
        <w:t>,</w:t>
      </w:r>
      <w:r>
        <w:rPr>
          <w:rFonts w:ascii="Sylfaen" w:hAnsi="Sylfaen" w:cs="Arial"/>
        </w:rPr>
        <w:t xml:space="preserve"> helpfully headlined ‘Relocation of the children to China’. </w:t>
      </w:r>
      <w:r w:rsidR="006D6EB0">
        <w:rPr>
          <w:rFonts w:ascii="Sylfaen" w:hAnsi="Sylfaen" w:cs="Arial"/>
        </w:rPr>
        <w:t>Her decision on the general question comes at paragraphs 32 – 33.</w:t>
      </w:r>
      <w:r w:rsidR="00594A69">
        <w:rPr>
          <w:rFonts w:ascii="Sylfaen" w:hAnsi="Sylfaen" w:cs="Arial"/>
        </w:rPr>
        <w:t xml:space="preserve"> She referred</w:t>
      </w:r>
      <w:r w:rsidR="006D6EB0">
        <w:rPr>
          <w:rFonts w:ascii="Sylfaen" w:hAnsi="Sylfaen" w:cs="Arial"/>
        </w:rPr>
        <w:t xml:space="preserve"> to the general public interest in the deportation of offenders, the seriousness of the ‘index offence’, and wa</w:t>
      </w:r>
      <w:r w:rsidR="00594A69">
        <w:rPr>
          <w:rFonts w:ascii="Sylfaen" w:hAnsi="Sylfaen" w:cs="Arial"/>
        </w:rPr>
        <w:t>rned</w:t>
      </w:r>
      <w:r w:rsidR="006D6EB0">
        <w:rPr>
          <w:rFonts w:ascii="Sylfaen" w:hAnsi="Sylfaen" w:cs="Arial"/>
        </w:rPr>
        <w:t xml:space="preserve"> herself against minimizing the appellant’s crime. </w:t>
      </w:r>
      <w:r w:rsidR="003E0939" w:rsidRPr="003E0939">
        <w:rPr>
          <w:rFonts w:ascii="Sylfaen" w:hAnsi="Sylfaen" w:cs="Arial"/>
        </w:rPr>
        <w:t xml:space="preserve">Mr </w:t>
      </w:r>
      <w:proofErr w:type="spellStart"/>
      <w:r w:rsidR="003E0939" w:rsidRPr="003E0939">
        <w:rPr>
          <w:rFonts w:ascii="Sylfaen" w:hAnsi="Sylfaen" w:cs="Arial"/>
        </w:rPr>
        <w:t>McVeety</w:t>
      </w:r>
      <w:proofErr w:type="spellEnd"/>
      <w:r w:rsidR="003E0939">
        <w:rPr>
          <w:rFonts w:ascii="Sylfaen" w:hAnsi="Sylfaen" w:cs="Arial"/>
        </w:rPr>
        <w:t xml:space="preserve"> </w:t>
      </w:r>
      <w:r w:rsidR="000B1DCE">
        <w:rPr>
          <w:rFonts w:ascii="Sylfaen" w:hAnsi="Sylfaen" w:cs="Arial"/>
        </w:rPr>
        <w:t xml:space="preserve">criticized the judge for not focussing on the circumstances of his criminality; but she could hardly be blamed for this, when no-one had provided her with the </w:t>
      </w:r>
      <w:r w:rsidR="000B1DCE" w:rsidRPr="000B1DCE">
        <w:rPr>
          <w:rFonts w:ascii="Sylfaen" w:hAnsi="Sylfaen" w:cs="Arial"/>
        </w:rPr>
        <w:t>sentencing judge</w:t>
      </w:r>
      <w:r w:rsidR="000B1DCE">
        <w:rPr>
          <w:rFonts w:ascii="Sylfaen" w:hAnsi="Sylfaen" w:cs="Arial"/>
        </w:rPr>
        <w:t>’s remarks. The judge did however</w:t>
      </w:r>
      <w:r w:rsidR="00594A69">
        <w:rPr>
          <w:rFonts w:ascii="Sylfaen" w:hAnsi="Sylfaen" w:cs="Arial"/>
        </w:rPr>
        <w:t>,</w:t>
      </w:r>
      <w:r w:rsidR="000B1DCE">
        <w:rPr>
          <w:rFonts w:ascii="Sylfaen" w:hAnsi="Sylfaen" w:cs="Arial"/>
        </w:rPr>
        <w:t xml:space="preserve"> and</w:t>
      </w:r>
      <w:r w:rsidR="00594A69">
        <w:rPr>
          <w:rFonts w:ascii="Sylfaen" w:hAnsi="Sylfaen" w:cs="Arial"/>
        </w:rPr>
        <w:t xml:space="preserve"> </w:t>
      </w:r>
      <w:r w:rsidR="00594A69" w:rsidRPr="00594A69">
        <w:rPr>
          <w:rFonts w:ascii="Sylfaen" w:hAnsi="Sylfaen" w:cs="Arial"/>
        </w:rPr>
        <w:t>significant</w:t>
      </w:r>
      <w:r w:rsidR="00594A69">
        <w:rPr>
          <w:rFonts w:ascii="Sylfaen" w:hAnsi="Sylfaen" w:cs="Arial"/>
        </w:rPr>
        <w:t>ly,</w:t>
      </w:r>
      <w:r w:rsidR="000B1DCE">
        <w:rPr>
          <w:rFonts w:ascii="Sylfaen" w:hAnsi="Sylfaen" w:cs="Arial"/>
        </w:rPr>
        <w:t xml:space="preserve"> remind</w:t>
      </w:r>
      <w:r w:rsidR="00594A69">
        <w:rPr>
          <w:rFonts w:ascii="Sylfaen" w:hAnsi="Sylfaen" w:cs="Arial"/>
        </w:rPr>
        <w:t xml:space="preserve"> herself about the appellant’s abuse of the </w:t>
      </w:r>
      <w:r w:rsidR="00594A69" w:rsidRPr="00594A69">
        <w:rPr>
          <w:rFonts w:ascii="Sylfaen" w:hAnsi="Sylfaen" w:cs="Arial"/>
        </w:rPr>
        <w:t>discretionary</w:t>
      </w:r>
      <w:r w:rsidR="00594A69">
        <w:rPr>
          <w:rFonts w:ascii="Sylfaen" w:hAnsi="Sylfaen" w:cs="Arial"/>
        </w:rPr>
        <w:t xml:space="preserve"> leave he had been granted. </w:t>
      </w:r>
    </w:p>
    <w:p w:rsidR="00D74A63" w:rsidRPr="00D74A63" w:rsidRDefault="00594A69"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judge had </w:t>
      </w:r>
      <w:r w:rsidR="000B1DCE">
        <w:rPr>
          <w:rFonts w:ascii="Sylfaen" w:hAnsi="Sylfaen" w:cs="Arial"/>
        </w:rPr>
        <w:t xml:space="preserve">already </w:t>
      </w:r>
      <w:r>
        <w:rPr>
          <w:rFonts w:ascii="Sylfaen" w:hAnsi="Sylfaen" w:cs="Arial"/>
        </w:rPr>
        <w:t xml:space="preserve">reminded herself at 31 of what was said in </w:t>
      </w:r>
      <w:hyperlink r:id="rId9" w:history="1">
        <w:r w:rsidRPr="00594A69">
          <w:rPr>
            <w:rStyle w:val="Hyperlink"/>
            <w:rFonts w:ascii="Sylfaen" w:hAnsi="Sylfaen" w:cs="Arial"/>
            <w:i/>
            <w:color w:val="000000"/>
            <w:u w:val="none"/>
          </w:rPr>
          <w:t>NA (Pakistan)</w:t>
        </w:r>
        <w:r w:rsidRPr="00594A69">
          <w:rPr>
            <w:rStyle w:val="Hyperlink"/>
            <w:rFonts w:ascii="Sylfaen" w:hAnsi="Sylfaen" w:cs="Arial"/>
            <w:color w:val="000000"/>
            <w:u w:val="none"/>
          </w:rPr>
          <w:t xml:space="preserve"> [2016] EWCA </w:t>
        </w:r>
        <w:proofErr w:type="spellStart"/>
        <w:r w:rsidRPr="00594A69">
          <w:rPr>
            <w:rStyle w:val="Hyperlink"/>
            <w:rFonts w:ascii="Sylfaen" w:hAnsi="Sylfaen" w:cs="Arial"/>
            <w:color w:val="000000"/>
            <w:u w:val="none"/>
          </w:rPr>
          <w:t>Civ</w:t>
        </w:r>
        <w:proofErr w:type="spellEnd"/>
        <w:r w:rsidRPr="00594A69">
          <w:rPr>
            <w:rStyle w:val="Hyperlink"/>
            <w:rFonts w:ascii="Sylfaen" w:hAnsi="Sylfaen" w:cs="Arial"/>
            <w:color w:val="000000"/>
            <w:u w:val="none"/>
          </w:rPr>
          <w:t xml:space="preserve"> 662</w:t>
        </w:r>
      </w:hyperlink>
      <w:r>
        <w:rPr>
          <w:rFonts w:ascii="Sylfaen" w:hAnsi="Sylfaen" w:cs="Arial"/>
          <w:color w:val="000000"/>
        </w:rPr>
        <w:t xml:space="preserve"> about the desirability of children being with both parents being a commonplace of family life, but not usually compelling enough to outweigh the high public </w:t>
      </w:r>
      <w:r>
        <w:rPr>
          <w:rFonts w:ascii="Sylfaen" w:hAnsi="Sylfaen" w:cs="Arial"/>
          <w:color w:val="000000"/>
        </w:rPr>
        <w:lastRenderedPageBreak/>
        <w:t xml:space="preserve">interest in deporting foreign criminals. </w:t>
      </w:r>
      <w:r w:rsidR="0052386B">
        <w:rPr>
          <w:rFonts w:ascii="Sylfaen" w:hAnsi="Sylfaen" w:cs="Arial"/>
          <w:color w:val="000000"/>
        </w:rPr>
        <w:t xml:space="preserve">This was repeated in </w:t>
      </w:r>
      <w:hyperlink r:id="rId10" w:history="1">
        <w:r w:rsidR="0052386B" w:rsidRPr="0052386B">
          <w:rPr>
            <w:rStyle w:val="Hyperlink"/>
            <w:rFonts w:ascii="Sylfaen" w:hAnsi="Sylfaen" w:cs="Arial"/>
            <w:i/>
            <w:color w:val="000000"/>
            <w:u w:val="none"/>
          </w:rPr>
          <w:t>MA</w:t>
        </w:r>
        <w:r w:rsidR="0052386B" w:rsidRPr="0052386B">
          <w:rPr>
            <w:rStyle w:val="Hyperlink"/>
            <w:rFonts w:ascii="Sylfaen" w:hAnsi="Sylfaen" w:cs="Arial"/>
            <w:color w:val="000000"/>
            <w:u w:val="none"/>
          </w:rPr>
          <w:t xml:space="preserve"> (ETS – TOEIC testing)[2016] UKUT 450 (IAC)</w:t>
        </w:r>
      </w:hyperlink>
      <w:r w:rsidR="0052386B">
        <w:rPr>
          <w:rStyle w:val="Hyperlink"/>
          <w:rFonts w:ascii="Sylfaen" w:hAnsi="Sylfaen" w:cs="Arial"/>
          <w:color w:val="000000"/>
          <w:u w:val="none"/>
        </w:rPr>
        <w:t>, as will be seen.</w:t>
      </w:r>
    </w:p>
    <w:p w:rsidR="00D74A63" w:rsidRDefault="00594A69" w:rsidP="00BD3A9C">
      <w:pPr>
        <w:numPr>
          <w:ilvl w:val="0"/>
          <w:numId w:val="1"/>
        </w:numPr>
        <w:tabs>
          <w:tab w:val="clear" w:pos="757"/>
        </w:tabs>
        <w:spacing w:after="120"/>
        <w:ind w:left="540" w:hanging="540"/>
        <w:jc w:val="both"/>
        <w:rPr>
          <w:rFonts w:ascii="Sylfaen" w:hAnsi="Sylfaen" w:cs="Arial"/>
        </w:rPr>
      </w:pPr>
      <w:r>
        <w:rPr>
          <w:rFonts w:ascii="Sylfaen" w:hAnsi="Sylfaen" w:cs="Arial"/>
          <w:color w:val="000000"/>
        </w:rPr>
        <w:t xml:space="preserve">The </w:t>
      </w:r>
      <w:r>
        <w:rPr>
          <w:rFonts w:ascii="Sylfaen" w:hAnsi="Sylfaen" w:cs="Arial"/>
        </w:rPr>
        <w:t>real challenge</w:t>
      </w:r>
      <w:r w:rsidR="000B1DCE">
        <w:rPr>
          <w:rFonts w:ascii="Sylfaen" w:hAnsi="Sylfaen" w:cs="Arial"/>
        </w:rPr>
        <w:t>s</w:t>
      </w:r>
      <w:r>
        <w:rPr>
          <w:rFonts w:ascii="Sylfaen" w:hAnsi="Sylfaen" w:cs="Arial"/>
        </w:rPr>
        <w:t xml:space="preserve"> </w:t>
      </w:r>
      <w:r w:rsidR="008D712F">
        <w:rPr>
          <w:rFonts w:ascii="Sylfaen" w:hAnsi="Sylfaen" w:cs="Arial"/>
        </w:rPr>
        <w:t xml:space="preserve">to the judge’s general approach </w:t>
      </w:r>
      <w:r w:rsidR="000B1DCE">
        <w:rPr>
          <w:rFonts w:ascii="Sylfaen" w:hAnsi="Sylfaen" w:cs="Arial"/>
        </w:rPr>
        <w:t>are</w:t>
      </w:r>
      <w:r w:rsidR="008D712F">
        <w:rPr>
          <w:rFonts w:ascii="Sylfaen" w:hAnsi="Sylfaen" w:cs="Arial"/>
        </w:rPr>
        <w:t xml:space="preserve"> </w:t>
      </w:r>
      <w:r w:rsidR="00D74A63">
        <w:rPr>
          <w:rFonts w:ascii="Sylfaen" w:hAnsi="Sylfaen" w:cs="Arial"/>
        </w:rPr>
        <w:t>on</w:t>
      </w:r>
    </w:p>
    <w:p w:rsidR="00D74A63" w:rsidRDefault="00D74A63" w:rsidP="00F239F5">
      <w:pPr>
        <w:numPr>
          <w:ilvl w:val="0"/>
          <w:numId w:val="3"/>
        </w:numPr>
        <w:ind w:left="1134" w:hanging="594"/>
        <w:jc w:val="both"/>
        <w:rPr>
          <w:rFonts w:ascii="Sylfaen" w:hAnsi="Sylfaen" w:cs="Arial"/>
        </w:rPr>
      </w:pPr>
      <w:r>
        <w:rPr>
          <w:rFonts w:ascii="Sylfaen" w:hAnsi="Sylfaen" w:cs="Arial"/>
        </w:rPr>
        <w:t xml:space="preserve"> </w:t>
      </w:r>
      <w:r>
        <w:rPr>
          <w:rFonts w:ascii="Sylfaen" w:hAnsi="Sylfaen" w:cs="Arial"/>
        </w:rPr>
        <w:tab/>
      </w:r>
      <w:r w:rsidR="00594A69">
        <w:rPr>
          <w:rFonts w:ascii="Sylfaen" w:hAnsi="Sylfaen" w:cs="Arial"/>
        </w:rPr>
        <w:t xml:space="preserve">the importance </w:t>
      </w:r>
      <w:r w:rsidR="008D712F">
        <w:rPr>
          <w:rFonts w:ascii="Sylfaen" w:hAnsi="Sylfaen" w:cs="Arial"/>
        </w:rPr>
        <w:t>she</w:t>
      </w:r>
      <w:r w:rsidR="00594A69">
        <w:rPr>
          <w:rFonts w:ascii="Sylfaen" w:hAnsi="Sylfaen" w:cs="Arial"/>
        </w:rPr>
        <w:t xml:space="preserve"> gave, at 35, to the appellant’s good conduct and apparent reform while in prison a</w:t>
      </w:r>
      <w:r w:rsidR="000B1DCE">
        <w:rPr>
          <w:rFonts w:ascii="Sylfaen" w:hAnsi="Sylfaen" w:cs="Arial"/>
        </w:rPr>
        <w:t xml:space="preserve">nd under supervision since, and </w:t>
      </w:r>
    </w:p>
    <w:p w:rsidR="000B1DCE" w:rsidRDefault="00F239F5" w:rsidP="00D74A63">
      <w:pPr>
        <w:numPr>
          <w:ilvl w:val="0"/>
          <w:numId w:val="3"/>
        </w:numPr>
        <w:spacing w:after="120"/>
        <w:ind w:left="1134" w:hanging="594"/>
        <w:jc w:val="both"/>
        <w:rPr>
          <w:rFonts w:ascii="Sylfaen" w:hAnsi="Sylfaen" w:cs="Arial"/>
        </w:rPr>
      </w:pPr>
      <w:r>
        <w:rPr>
          <w:rFonts w:ascii="Sylfaen" w:hAnsi="Sylfaen" w:cs="Arial"/>
        </w:rPr>
        <w:t xml:space="preserve"> </w:t>
      </w:r>
      <w:r>
        <w:rPr>
          <w:rFonts w:ascii="Sylfaen" w:hAnsi="Sylfaen" w:cs="Arial"/>
        </w:rPr>
        <w:tab/>
      </w:r>
      <w:r w:rsidR="000B1DCE">
        <w:rPr>
          <w:rFonts w:ascii="Sylfaen" w:hAnsi="Sylfaen" w:cs="Arial"/>
        </w:rPr>
        <w:t>the need for exceptional circumstances to justify his not being deported.</w:t>
      </w:r>
    </w:p>
    <w:p w:rsidR="00594A69" w:rsidRDefault="000B1DCE" w:rsidP="00F239F5">
      <w:pPr>
        <w:spacing w:after="120"/>
        <w:ind w:left="567"/>
        <w:jc w:val="both"/>
        <w:rPr>
          <w:rFonts w:ascii="Sylfaen" w:hAnsi="Sylfaen" w:cs="Arial"/>
        </w:rPr>
      </w:pPr>
      <w:r>
        <w:rPr>
          <w:rFonts w:ascii="Sylfaen" w:hAnsi="Sylfaen" w:cs="Arial"/>
        </w:rPr>
        <w:t>On th</w:t>
      </w:r>
      <w:r w:rsidR="00D74A63">
        <w:rPr>
          <w:rFonts w:ascii="Sylfaen" w:hAnsi="Sylfaen" w:cs="Arial"/>
        </w:rPr>
        <w:t>ese</w:t>
      </w:r>
      <w:r>
        <w:rPr>
          <w:rFonts w:ascii="Sylfaen" w:hAnsi="Sylfaen" w:cs="Arial"/>
        </w:rPr>
        <w:t xml:space="preserve"> point</w:t>
      </w:r>
      <w:r w:rsidR="00D74A63">
        <w:rPr>
          <w:rFonts w:ascii="Sylfaen" w:hAnsi="Sylfaen" w:cs="Arial"/>
        </w:rPr>
        <w:t>s</w:t>
      </w:r>
      <w:r w:rsidR="0052386B">
        <w:rPr>
          <w:rFonts w:ascii="Sylfaen" w:hAnsi="Sylfaen" w:cs="Arial"/>
        </w:rPr>
        <w:t>, which are very much bound up with each other,</w:t>
      </w:r>
      <w:r>
        <w:rPr>
          <w:rFonts w:ascii="Sylfaen" w:hAnsi="Sylfaen" w:cs="Arial"/>
        </w:rPr>
        <w:t xml:space="preserve"> </w:t>
      </w:r>
      <w:r w:rsidRPr="000B1DCE">
        <w:rPr>
          <w:rFonts w:ascii="Sylfaen" w:hAnsi="Sylfaen" w:cs="Arial"/>
        </w:rPr>
        <w:t xml:space="preserve">Mr </w:t>
      </w:r>
      <w:proofErr w:type="spellStart"/>
      <w:r w:rsidRPr="000B1DCE">
        <w:rPr>
          <w:rFonts w:ascii="Sylfaen" w:hAnsi="Sylfaen" w:cs="Arial"/>
        </w:rPr>
        <w:t>McVeety</w:t>
      </w:r>
      <w:proofErr w:type="spellEnd"/>
      <w:r>
        <w:rPr>
          <w:rFonts w:ascii="Sylfaen" w:hAnsi="Sylfaen" w:cs="Arial"/>
        </w:rPr>
        <w:t xml:space="preserve"> relied on </w:t>
      </w:r>
      <w:hyperlink r:id="rId11" w:history="1">
        <w:r w:rsidRPr="000B1DCE">
          <w:rPr>
            <w:rFonts w:ascii="Sylfaen" w:hAnsi="Sylfaen" w:cs="Arial"/>
            <w:i/>
          </w:rPr>
          <w:t>AJ (Zimbabwe)</w:t>
        </w:r>
        <w:r w:rsidRPr="000B1DCE">
          <w:rPr>
            <w:rFonts w:ascii="Sylfaen" w:hAnsi="Sylfaen" w:cs="Arial"/>
          </w:rPr>
          <w:t xml:space="preserve"> [2016] EWCA </w:t>
        </w:r>
        <w:proofErr w:type="spellStart"/>
        <w:r w:rsidRPr="000B1DCE">
          <w:rPr>
            <w:rFonts w:ascii="Sylfaen" w:hAnsi="Sylfaen" w:cs="Arial"/>
          </w:rPr>
          <w:t>Civ</w:t>
        </w:r>
        <w:proofErr w:type="spellEnd"/>
        <w:r w:rsidRPr="000B1DCE">
          <w:rPr>
            <w:rFonts w:ascii="Sylfaen" w:hAnsi="Sylfaen" w:cs="Arial"/>
          </w:rPr>
          <w:t xml:space="preserve"> 1012</w:t>
        </w:r>
      </w:hyperlink>
      <w:r w:rsidR="00D74A63">
        <w:rPr>
          <w:rFonts w:ascii="Sylfaen" w:hAnsi="Sylfaen" w:cs="Arial"/>
        </w:rPr>
        <w:t xml:space="preserve">: the decision in that case was given on 20 October 2016, so could have been put before the judge, though nobody did so. </w:t>
      </w:r>
      <w:proofErr w:type="gramStart"/>
      <w:r w:rsidR="00D74A63">
        <w:rPr>
          <w:rFonts w:ascii="Sylfaen" w:hAnsi="Sylfaen" w:cs="Arial"/>
        </w:rPr>
        <w:t>Of course</w:t>
      </w:r>
      <w:proofErr w:type="gramEnd"/>
      <w:r w:rsidR="00D74A63">
        <w:rPr>
          <w:rFonts w:ascii="Sylfaen" w:hAnsi="Sylfaen" w:cs="Arial"/>
        </w:rPr>
        <w:t xml:space="preserve"> she still had to take account of it, so far as it contained any statements of general principle.</w:t>
      </w:r>
    </w:p>
    <w:p w:rsidR="00F239F5" w:rsidRDefault="00F239F5"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These were helpfully set out by </w:t>
      </w:r>
      <w:r w:rsidRPr="00F239F5">
        <w:rPr>
          <w:rFonts w:ascii="Sylfaen" w:hAnsi="Sylfaen" w:cs="Arial"/>
        </w:rPr>
        <w:t>Elias LJ</w:t>
      </w:r>
      <w:r>
        <w:rPr>
          <w:rFonts w:ascii="Sylfaen" w:hAnsi="Sylfaen" w:cs="Arial"/>
        </w:rPr>
        <w:t xml:space="preserve"> (with whom Vos LJ agreed) at paragraph 11: I will go straight to the points on which the judge is criticized, leaving out references to other authorities.</w:t>
      </w:r>
    </w:p>
    <w:p w:rsidR="00F239F5" w:rsidRPr="0052386B" w:rsidRDefault="00F239F5" w:rsidP="0052386B">
      <w:pPr>
        <w:pStyle w:val="ParaNoNumber"/>
        <w:spacing w:before="0" w:after="0"/>
        <w:ind w:left="1080"/>
        <w:rPr>
          <w:rFonts w:ascii="Sylfaen" w:hAnsi="Sylfaen"/>
          <w:sz w:val="22"/>
          <w:szCs w:val="22"/>
        </w:rPr>
      </w:pPr>
      <w:r w:rsidRPr="0052386B">
        <w:rPr>
          <w:rFonts w:ascii="Sylfaen" w:hAnsi="Sylfaen"/>
          <w:sz w:val="22"/>
          <w:szCs w:val="22"/>
        </w:rPr>
        <w:t xml:space="preserve">(5) A consequence of the rules constituting a comprehensive code is that when exercising the residual article 8 assessment where exceptional circumstances are relied upon, the tribunal must carry out the assessment “through the lens of the new rules” and that requires a recognition of the very considerable weight to be given to the public interest in deportation. This distinguishes the foreign criminal cases from other article 8 cases, such as where the Secretary of State seeks to remove illegal immigrants in circumstances engaging article 8, where no single factor carries such dominant weight and a more general balancing exercise will be appropriate:  </w:t>
      </w:r>
      <w:r w:rsidRPr="0052386B">
        <w:rPr>
          <w:rFonts w:ascii="Sylfaen" w:hAnsi="Sylfaen"/>
          <w:i/>
          <w:sz w:val="22"/>
          <w:szCs w:val="22"/>
        </w:rPr>
        <w:t>…</w:t>
      </w:r>
      <w:r w:rsidRPr="0052386B">
        <w:rPr>
          <w:rFonts w:ascii="Sylfaen" w:hAnsi="Sylfaen"/>
          <w:sz w:val="22"/>
          <w:szCs w:val="22"/>
        </w:rPr>
        <w:t xml:space="preserve"> Here the scales tip heavily in favour of deportation.</w:t>
      </w:r>
    </w:p>
    <w:p w:rsidR="0052386B" w:rsidRPr="0052386B" w:rsidRDefault="00F239F5" w:rsidP="0052386B">
      <w:pPr>
        <w:pStyle w:val="ParaNoNumber"/>
        <w:spacing w:before="0" w:after="0"/>
        <w:ind w:left="1080"/>
        <w:rPr>
          <w:rFonts w:ascii="Sylfaen" w:hAnsi="Sylfaen"/>
          <w:sz w:val="22"/>
          <w:szCs w:val="22"/>
        </w:rPr>
      </w:pPr>
      <w:r w:rsidRPr="0052386B">
        <w:rPr>
          <w:rFonts w:ascii="Sylfaen" w:hAnsi="Sylfaen"/>
          <w:sz w:val="22"/>
          <w:szCs w:val="22"/>
        </w:rPr>
        <w:t xml:space="preserve">(6) When having regard to the public interest in deportation, there are three important facets: the need to deter foreign criminals from committing serious crimes; an expression of society’s revulsion at serious crimes and building public confidence in the treatment of foreign criminals who have committed such crimes; and the risk of re-offending. It is an error to </w:t>
      </w:r>
      <w:bookmarkStart w:id="5" w:name="_Hlk520639321"/>
      <w:r w:rsidRPr="0052386B">
        <w:rPr>
          <w:rFonts w:ascii="Sylfaen" w:hAnsi="Sylfaen"/>
          <w:sz w:val="22"/>
          <w:szCs w:val="22"/>
        </w:rPr>
        <w:t xml:space="preserve">assume that the risk of re-offending is the sole, or even the most important, facet </w:t>
      </w:r>
      <w:bookmarkEnd w:id="5"/>
      <w:r w:rsidRPr="0052386B">
        <w:rPr>
          <w:rFonts w:ascii="Sylfaen" w:hAnsi="Sylfaen"/>
          <w:sz w:val="22"/>
          <w:szCs w:val="22"/>
        </w:rPr>
        <w:t xml:space="preserve">where serious crimes are committed: </w:t>
      </w:r>
      <w:r w:rsidR="0052386B" w:rsidRPr="0052386B">
        <w:rPr>
          <w:rFonts w:ascii="Sylfaen" w:hAnsi="Sylfaen"/>
          <w:sz w:val="22"/>
          <w:szCs w:val="22"/>
        </w:rPr>
        <w:t>…</w:t>
      </w:r>
    </w:p>
    <w:p w:rsidR="00F239F5" w:rsidRDefault="00F239F5" w:rsidP="0052386B">
      <w:pPr>
        <w:pStyle w:val="ParaNoNumber"/>
        <w:spacing w:before="0" w:after="120"/>
        <w:ind w:left="1080"/>
        <w:rPr>
          <w:rFonts w:ascii="Sylfaen" w:hAnsi="Sylfaen" w:cs="Arial"/>
        </w:rPr>
      </w:pPr>
      <w:r w:rsidRPr="0052386B">
        <w:rPr>
          <w:rFonts w:ascii="Sylfaen" w:hAnsi="Sylfaen"/>
          <w:sz w:val="22"/>
          <w:szCs w:val="22"/>
        </w:rPr>
        <w:t xml:space="preserve">(7) It is not enough for a tribunal in its reasons simply to identify a strong public interest in the deportation of foreign criminals; there must be a full recognition of the very powerful weight to be given to that factor and of the need for compelling factors to outweigh it: </w:t>
      </w:r>
      <w:r w:rsidR="0052386B" w:rsidRPr="0052386B">
        <w:rPr>
          <w:rFonts w:ascii="Sylfaen" w:hAnsi="Sylfaen"/>
          <w:i/>
          <w:sz w:val="22"/>
          <w:szCs w:val="22"/>
        </w:rPr>
        <w:t>…</w:t>
      </w:r>
    </w:p>
    <w:p w:rsidR="00F239F5" w:rsidRDefault="0052386B"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principle already referred to by the judge on the basis of </w:t>
      </w:r>
      <w:r>
        <w:rPr>
          <w:rFonts w:ascii="Sylfaen" w:hAnsi="Sylfaen" w:cs="Arial"/>
          <w:i/>
        </w:rPr>
        <w:t xml:space="preserve">NA </w:t>
      </w:r>
      <w:r>
        <w:rPr>
          <w:rFonts w:ascii="Sylfaen" w:hAnsi="Sylfaen" w:cs="Arial"/>
        </w:rPr>
        <w:t>is</w:t>
      </w:r>
      <w:r w:rsidR="008E1B18">
        <w:rPr>
          <w:rFonts w:ascii="Sylfaen" w:hAnsi="Sylfaen" w:cs="Arial"/>
        </w:rPr>
        <w:t xml:space="preserve"> dealt with in </w:t>
      </w:r>
      <w:proofErr w:type="gramStart"/>
      <w:r w:rsidR="008E1B18">
        <w:rPr>
          <w:rFonts w:ascii="Sylfaen" w:hAnsi="Sylfaen" w:cs="Arial"/>
          <w:i/>
        </w:rPr>
        <w:t xml:space="preserve">AJ </w:t>
      </w:r>
      <w:r w:rsidR="008E1B18">
        <w:rPr>
          <w:rFonts w:ascii="Sylfaen" w:hAnsi="Sylfaen" w:cs="Arial"/>
        </w:rPr>
        <w:t xml:space="preserve"> at</w:t>
      </w:r>
      <w:proofErr w:type="gramEnd"/>
      <w:r w:rsidR="008E1B18">
        <w:rPr>
          <w:rFonts w:ascii="Sylfaen" w:hAnsi="Sylfaen" w:cs="Arial"/>
        </w:rPr>
        <w:t xml:space="preserve"> paragraph 13:</w:t>
      </w:r>
    </w:p>
    <w:p w:rsidR="008E1B18" w:rsidRPr="008E1B18" w:rsidRDefault="008E1B18" w:rsidP="008E1B18">
      <w:pPr>
        <w:spacing w:after="120"/>
        <w:ind w:left="1134"/>
        <w:jc w:val="both"/>
        <w:rPr>
          <w:rFonts w:ascii="Sylfaen" w:hAnsi="Sylfaen" w:cs="Arial"/>
          <w:sz w:val="22"/>
          <w:szCs w:val="22"/>
        </w:rPr>
      </w:pPr>
      <w:r>
        <w:rPr>
          <w:rFonts w:ascii="Sylfaen" w:hAnsi="Sylfaen" w:cs="Arial"/>
          <w:sz w:val="22"/>
          <w:szCs w:val="22"/>
        </w:rPr>
        <w:t>…</w:t>
      </w:r>
      <w:r w:rsidRPr="008E1B18">
        <w:rPr>
          <w:rFonts w:ascii="Sylfaen" w:hAnsi="Sylfaen" w:cs="Arial"/>
          <w:sz w:val="22"/>
          <w:szCs w:val="22"/>
        </w:rPr>
        <w:t xml:space="preserve">  the mere fact that there will be a detrimental effect on the best interests of the children where the parent (almost always the father) is deported in circumstances where the children cannot follow him does not by itself constitute an exceptional circumstance.</w:t>
      </w:r>
    </w:p>
    <w:p w:rsidR="006F7DBF" w:rsidRDefault="00D346B4" w:rsidP="006F7DBF">
      <w:pPr>
        <w:numPr>
          <w:ilvl w:val="0"/>
          <w:numId w:val="1"/>
        </w:numPr>
        <w:tabs>
          <w:tab w:val="clear" w:pos="757"/>
        </w:tabs>
        <w:spacing w:after="120"/>
        <w:ind w:left="540" w:hanging="540"/>
        <w:jc w:val="both"/>
        <w:rPr>
          <w:rFonts w:ascii="Sylfaen" w:hAnsi="Sylfaen" w:cs="Arial"/>
        </w:rPr>
      </w:pPr>
      <w:r>
        <w:rPr>
          <w:rFonts w:ascii="Sylfaen" w:hAnsi="Sylfaen" w:cs="Arial"/>
        </w:rPr>
        <w:t xml:space="preserve">Going back to the judge’s treatment of the </w:t>
      </w:r>
      <w:r w:rsidRPr="00D346B4">
        <w:rPr>
          <w:rFonts w:ascii="Sylfaen" w:hAnsi="Sylfaen" w:cs="Arial"/>
        </w:rPr>
        <w:t>undue harshness</w:t>
      </w:r>
      <w:r>
        <w:rPr>
          <w:rFonts w:ascii="Sylfaen" w:hAnsi="Sylfaen" w:cs="Arial"/>
        </w:rPr>
        <w:t xml:space="preserve"> question generally, she noted at 30, on the basis of </w:t>
      </w:r>
      <w:hyperlink r:id="rId12" w:history="1">
        <w:r w:rsidRPr="00D346B4">
          <w:rPr>
            <w:rStyle w:val="Hyperlink"/>
            <w:rFonts w:ascii="Sylfaen" w:hAnsi="Sylfaen" w:cs="Arial"/>
            <w:i/>
            <w:color w:val="000000"/>
            <w:u w:val="none"/>
          </w:rPr>
          <w:t>KMO</w:t>
        </w:r>
        <w:r w:rsidRPr="00D346B4">
          <w:rPr>
            <w:rStyle w:val="Hyperlink"/>
            <w:rFonts w:ascii="Sylfaen" w:hAnsi="Sylfaen" w:cs="Arial"/>
            <w:color w:val="000000"/>
            <w:u w:val="none"/>
          </w:rPr>
          <w:t xml:space="preserve"> (section 117 - unduly harsh) [2015] UKUT 543 (IAC)</w:t>
        </w:r>
      </w:hyperlink>
      <w:r>
        <w:rPr>
          <w:rFonts w:ascii="Sylfaen" w:hAnsi="Sylfaen" w:cs="Arial"/>
        </w:rPr>
        <w:t xml:space="preserve">, that the impact on children must be “… </w:t>
      </w:r>
      <w:bookmarkStart w:id="6" w:name="_Hlk520640428"/>
      <w:r w:rsidRPr="00D346B4">
        <w:rPr>
          <w:rFonts w:ascii="Sylfaen" w:hAnsi="Sylfaen" w:cs="Arial"/>
        </w:rPr>
        <w:t xml:space="preserve">inordinately </w:t>
      </w:r>
      <w:r>
        <w:rPr>
          <w:rFonts w:ascii="Sylfaen" w:hAnsi="Sylfaen" w:cs="Arial"/>
        </w:rPr>
        <w:t>or excessively harsh</w:t>
      </w:r>
      <w:bookmarkEnd w:id="6"/>
      <w:r>
        <w:rPr>
          <w:rFonts w:ascii="Sylfaen" w:hAnsi="Sylfaen" w:cs="Arial"/>
        </w:rPr>
        <w:t xml:space="preserve">”, and repeated this expression in her own conclusions at 34, and at 39. While 33 is concerned with the appellant’s conduct in prison and lack of propensity to re-offend, it was certainly not the only basis on which the judge decided that it would be unduly harsh to expect the children </w:t>
      </w:r>
      <w:r>
        <w:rPr>
          <w:rFonts w:ascii="Sylfaen" w:hAnsi="Sylfaen" w:cs="Arial"/>
        </w:rPr>
        <w:lastRenderedPageBreak/>
        <w:t>to stay here without him. Following it were the findings of fact on that point at 35 – 38, which are not criticized.</w:t>
      </w:r>
    </w:p>
    <w:p w:rsidR="00A41729" w:rsidRDefault="00D346B4" w:rsidP="006F7DBF">
      <w:pPr>
        <w:numPr>
          <w:ilvl w:val="0"/>
          <w:numId w:val="1"/>
        </w:numPr>
        <w:tabs>
          <w:tab w:val="clear" w:pos="757"/>
        </w:tabs>
        <w:spacing w:after="120"/>
        <w:ind w:left="540" w:hanging="540"/>
        <w:jc w:val="both"/>
        <w:rPr>
          <w:rFonts w:ascii="Sylfaen" w:hAnsi="Sylfaen" w:cs="Arial"/>
        </w:rPr>
      </w:pPr>
      <w:r w:rsidRPr="006F7DBF">
        <w:rPr>
          <w:rFonts w:ascii="Sylfaen" w:hAnsi="Sylfaen" w:cs="Arial"/>
        </w:rPr>
        <w:t>While the judge ended 39 by saying that she need not consider</w:t>
      </w:r>
      <w:r w:rsidR="00A41729" w:rsidRPr="006F7DBF">
        <w:rPr>
          <w:rFonts w:ascii="Sylfaen" w:hAnsi="Sylfaen" w:cs="Arial"/>
        </w:rPr>
        <w:t xml:space="preserve"> whether there were ‘very compelling circumstances’, this clearly referred to the requirements of s. 117C (6)/paragraph 398 (c) of the Rules, which did not apply here, where there had been a sentence of less than four years’ imprisonment. In my view, the judge did not assume that the risk of re-offending was the sole, or even the most important, facet of this case</w:t>
      </w:r>
      <w:r w:rsidR="006F7DBF" w:rsidRPr="006F7DBF">
        <w:rPr>
          <w:rFonts w:ascii="Sylfaen" w:hAnsi="Sylfaen" w:cs="Arial"/>
        </w:rPr>
        <w:t>, but based her decision on consideration of the interests of the public, as well as the children’s</w:t>
      </w:r>
      <w:r w:rsidR="006F7DBF">
        <w:rPr>
          <w:rFonts w:ascii="Sylfaen" w:hAnsi="Sylfaen" w:cs="Arial"/>
        </w:rPr>
        <w:t>.</w:t>
      </w:r>
    </w:p>
    <w:p w:rsidR="006F7DBF" w:rsidRDefault="006F7DBF" w:rsidP="006F7DBF">
      <w:pPr>
        <w:numPr>
          <w:ilvl w:val="0"/>
          <w:numId w:val="1"/>
        </w:numPr>
        <w:tabs>
          <w:tab w:val="clear" w:pos="757"/>
        </w:tabs>
        <w:spacing w:after="120"/>
        <w:ind w:left="540" w:hanging="540"/>
        <w:jc w:val="both"/>
        <w:rPr>
          <w:rFonts w:ascii="Sylfaen" w:hAnsi="Sylfaen" w:cs="Arial"/>
        </w:rPr>
      </w:pPr>
      <w:r>
        <w:rPr>
          <w:rFonts w:ascii="Sylfaen" w:hAnsi="Sylfaen" w:cs="Arial"/>
        </w:rPr>
        <w:t xml:space="preserve">So far as the judge’s general consideration of the </w:t>
      </w:r>
      <w:r w:rsidRPr="006F7DBF">
        <w:rPr>
          <w:rFonts w:ascii="Sylfaen" w:hAnsi="Sylfaen" w:cs="Arial"/>
        </w:rPr>
        <w:t>undue harshness</w:t>
      </w:r>
      <w:r>
        <w:rPr>
          <w:rFonts w:ascii="Sylfaen" w:hAnsi="Sylfaen" w:cs="Arial"/>
        </w:rPr>
        <w:t xml:space="preserve"> question is concerned</w:t>
      </w:r>
      <w:r w:rsidR="00CC7306">
        <w:rPr>
          <w:rFonts w:ascii="Sylfaen" w:hAnsi="Sylfaen" w:cs="Arial"/>
        </w:rPr>
        <w:t xml:space="preserve">, </w:t>
      </w:r>
      <w:r w:rsidR="00AE520D">
        <w:rPr>
          <w:rFonts w:ascii="Sylfaen" w:hAnsi="Sylfaen" w:cs="Arial"/>
        </w:rPr>
        <w:t xml:space="preserve">I have to decide whether </w:t>
      </w:r>
      <w:r w:rsidR="00CC7306">
        <w:rPr>
          <w:rFonts w:ascii="Sylfaen" w:hAnsi="Sylfaen" w:cs="Arial"/>
        </w:rPr>
        <w:t xml:space="preserve">her repeated use of the expression </w:t>
      </w:r>
      <w:bookmarkStart w:id="7" w:name="_Hlk520641800"/>
      <w:r w:rsidR="00CC7306">
        <w:rPr>
          <w:rFonts w:ascii="Sylfaen" w:hAnsi="Sylfaen" w:cs="Arial"/>
        </w:rPr>
        <w:t>‘</w:t>
      </w:r>
      <w:r w:rsidR="00CC7306" w:rsidRPr="00CC7306">
        <w:rPr>
          <w:rFonts w:ascii="Sylfaen" w:hAnsi="Sylfaen" w:cs="Arial"/>
        </w:rPr>
        <w:t>inordinately or excessively harsh</w:t>
      </w:r>
      <w:r w:rsidR="00CC7306">
        <w:rPr>
          <w:rFonts w:ascii="Sylfaen" w:hAnsi="Sylfaen" w:cs="Arial"/>
        </w:rPr>
        <w:t>’</w:t>
      </w:r>
      <w:bookmarkEnd w:id="7"/>
      <w:r w:rsidR="00CC7306">
        <w:rPr>
          <w:rFonts w:ascii="Sylfaen" w:hAnsi="Sylfaen" w:cs="Arial"/>
        </w:rPr>
        <w:t xml:space="preserve"> represent</w:t>
      </w:r>
      <w:r w:rsidR="00AE520D">
        <w:rPr>
          <w:rFonts w:ascii="Sylfaen" w:hAnsi="Sylfaen" w:cs="Arial"/>
        </w:rPr>
        <w:t>s</w:t>
      </w:r>
      <w:r w:rsidR="00CC7306">
        <w:rPr>
          <w:rFonts w:ascii="Sylfaen" w:hAnsi="Sylfaen" w:cs="Arial"/>
        </w:rPr>
        <w:t xml:space="preserve"> an adequate recognition of the </w:t>
      </w:r>
      <w:r w:rsidR="00AE520D">
        <w:rPr>
          <w:rFonts w:ascii="Sylfaen" w:hAnsi="Sylfaen" w:cs="Arial"/>
        </w:rPr>
        <w:t xml:space="preserve">principle set out in </w:t>
      </w:r>
      <w:proofErr w:type="gramStart"/>
      <w:r w:rsidR="00AE520D">
        <w:rPr>
          <w:rFonts w:ascii="Sylfaen" w:hAnsi="Sylfaen" w:cs="Arial"/>
          <w:i/>
        </w:rPr>
        <w:t xml:space="preserve">AJ </w:t>
      </w:r>
      <w:r w:rsidR="00AE520D">
        <w:rPr>
          <w:rFonts w:ascii="Sylfaen" w:hAnsi="Sylfaen" w:cs="Arial"/>
        </w:rPr>
        <w:t xml:space="preserve"> at</w:t>
      </w:r>
      <w:proofErr w:type="gramEnd"/>
      <w:r w:rsidR="00AE520D">
        <w:rPr>
          <w:rFonts w:ascii="Sylfaen" w:hAnsi="Sylfaen" w:cs="Arial"/>
        </w:rPr>
        <w:t xml:space="preserve"> paragraph 11 (7), taken together with (5). At first sight it might seem not to; but it is worth looking at the au</w:t>
      </w:r>
      <w:r w:rsidR="002C5871">
        <w:rPr>
          <w:rFonts w:ascii="Sylfaen" w:hAnsi="Sylfaen" w:cs="Arial"/>
        </w:rPr>
        <w:t>thority from which the judge took the expression.</w:t>
      </w:r>
    </w:p>
    <w:p w:rsidR="002C5871" w:rsidRDefault="002C5871" w:rsidP="006F7DBF">
      <w:pPr>
        <w:numPr>
          <w:ilvl w:val="0"/>
          <w:numId w:val="1"/>
        </w:numPr>
        <w:tabs>
          <w:tab w:val="clear" w:pos="757"/>
        </w:tabs>
        <w:spacing w:after="120"/>
        <w:ind w:left="540" w:hanging="540"/>
        <w:jc w:val="both"/>
        <w:rPr>
          <w:rFonts w:ascii="Sylfaen" w:hAnsi="Sylfaen" w:cs="Arial"/>
        </w:rPr>
      </w:pPr>
      <w:r>
        <w:rPr>
          <w:rFonts w:ascii="Sylfaen" w:hAnsi="Sylfaen" w:cs="Arial"/>
        </w:rPr>
        <w:t xml:space="preserve">This is the judicial head-note of </w:t>
      </w:r>
      <w:r>
        <w:rPr>
          <w:rFonts w:ascii="Sylfaen" w:hAnsi="Sylfaen" w:cs="Arial"/>
          <w:i/>
        </w:rPr>
        <w:t>KMO</w:t>
      </w:r>
      <w:r>
        <w:rPr>
          <w:rFonts w:ascii="Sylfaen" w:hAnsi="Sylfaen" w:cs="Arial"/>
        </w:rPr>
        <w:t>, which the judge must have had in mind:</w:t>
      </w:r>
    </w:p>
    <w:p w:rsidR="002C5871" w:rsidRPr="002C5871" w:rsidRDefault="002C5871" w:rsidP="002C5871">
      <w:pPr>
        <w:spacing w:after="120"/>
        <w:ind w:left="851"/>
        <w:jc w:val="both"/>
        <w:rPr>
          <w:rFonts w:ascii="Sylfaen" w:hAnsi="Sylfaen" w:cs="Arial"/>
          <w:sz w:val="22"/>
          <w:szCs w:val="22"/>
        </w:rPr>
      </w:pPr>
      <w:r w:rsidRPr="002C5871">
        <w:rPr>
          <w:rFonts w:ascii="Sylfaen" w:hAnsi="Sylfaen" w:cs="Arial"/>
          <w:i/>
          <w:iCs/>
          <w:sz w:val="22"/>
          <w:szCs w:val="22"/>
        </w:rPr>
        <w:t>The Immigration Rules, when applied in the context of the deportation of a foreign criminal, are a complete code. Where an assessment is required to be made as to whether a person meets the requirements of para 399 of the Immigration Rules, as that comprises an assessment of that person's claim under article 8 of the ECHR, it is necessary to have regard, in making that assessment, to the matters to which the Tribunal must have regard as a consequence of the provisions of s117C. In particular, those include that the more serious the offence committed, the greater is the public interest in deportation of a foreign criminal. Therefore, the word "unduly" in the phrase "unduly harsh" requires consideration of whether, in the light of the seriousness of the offences committed by the foreign criminal and the public interest considerations that come into play, the impact on the child, children or partner of the foreign criminal being deported is inordinately or excessively harsh.</w:t>
      </w:r>
    </w:p>
    <w:p w:rsidR="009F5220" w:rsidRPr="003D6EEF" w:rsidRDefault="002C5871" w:rsidP="00ED6A40">
      <w:pPr>
        <w:numPr>
          <w:ilvl w:val="0"/>
          <w:numId w:val="1"/>
        </w:numPr>
        <w:tabs>
          <w:tab w:val="clear" w:pos="757"/>
        </w:tabs>
        <w:spacing w:after="120"/>
        <w:ind w:left="540" w:hanging="540"/>
        <w:jc w:val="both"/>
        <w:rPr>
          <w:rFonts w:ascii="Sylfaen" w:hAnsi="Sylfaen" w:cs="Arial"/>
        </w:rPr>
      </w:pPr>
      <w:r w:rsidRPr="003D6EEF">
        <w:rPr>
          <w:rFonts w:ascii="Sylfaen" w:hAnsi="Sylfaen" w:cs="Arial"/>
        </w:rPr>
        <w:t xml:space="preserve">That undoubtedly represents the view of the law later approved by the Court of Appeal in </w:t>
      </w:r>
      <w:proofErr w:type="gramStart"/>
      <w:r w:rsidRPr="003D6EEF">
        <w:rPr>
          <w:rFonts w:ascii="Sylfaen" w:hAnsi="Sylfaen" w:cs="Arial"/>
          <w:i/>
        </w:rPr>
        <w:t xml:space="preserve">MM </w:t>
      </w:r>
      <w:r w:rsidRPr="003D6EEF">
        <w:rPr>
          <w:rFonts w:ascii="Sylfaen" w:hAnsi="Sylfaen" w:cs="Arial"/>
        </w:rPr>
        <w:t xml:space="preserve"> and</w:t>
      </w:r>
      <w:proofErr w:type="gramEnd"/>
      <w:r w:rsidRPr="003D6EEF">
        <w:rPr>
          <w:rFonts w:ascii="Sylfaen" w:hAnsi="Sylfaen" w:cs="Arial"/>
        </w:rPr>
        <w:t xml:space="preserve"> </w:t>
      </w:r>
      <w:r w:rsidRPr="003D6EEF">
        <w:rPr>
          <w:rFonts w:ascii="Sylfaen" w:hAnsi="Sylfaen" w:cs="Arial"/>
          <w:i/>
        </w:rPr>
        <w:t>AJ</w:t>
      </w:r>
      <w:r w:rsidRPr="003D6EEF">
        <w:rPr>
          <w:rFonts w:ascii="Sylfaen" w:hAnsi="Sylfaen" w:cs="Arial"/>
        </w:rPr>
        <w:t>; and it makes it clear that the judge’s use of ‘inordinately or excessively harsh’ took into account the relevant public interest, as well as those of the children. For those reasons the respondent’s appeal is dismissed; but the appellant should remember that he richly deserves to be deported, and it is only his children who do not deserve to be left here with their mother. If he were ever to commit any further significant offence, then nothing could save him from deportation</w:t>
      </w:r>
      <w:r w:rsidR="003D6EEF" w:rsidRPr="003D6EEF">
        <w:rPr>
          <w:rFonts w:ascii="Sylfaen" w:hAnsi="Sylfaen" w:cs="Arial"/>
        </w:rPr>
        <w:t>.</w:t>
      </w:r>
    </w:p>
    <w:p w:rsidR="009F5220" w:rsidRPr="008F23F4" w:rsidRDefault="008F23F4" w:rsidP="00780F86">
      <w:pPr>
        <w:ind w:left="540" w:hanging="540"/>
        <w:jc w:val="both"/>
        <w:rPr>
          <w:rFonts w:ascii="Sylfaen" w:hAnsi="Sylfaen" w:cs="Arial"/>
          <w:b/>
        </w:rPr>
      </w:pPr>
      <w:r>
        <w:rPr>
          <w:rFonts w:ascii="Sylfaen" w:hAnsi="Sylfaen" w:cs="Arial"/>
          <w:b/>
        </w:rPr>
        <w:t xml:space="preserve">Appeal </w:t>
      </w:r>
      <w:bookmarkStart w:id="8" w:name="Dropdown3"/>
      <w:r>
        <w:rPr>
          <w:rFonts w:ascii="Sylfaen" w:hAnsi="Sylfaen" w:cs="Arial"/>
          <w:b/>
        </w:rPr>
        <w:fldChar w:fldCharType="begin">
          <w:ffData>
            <w:name w:val="Dropdown3"/>
            <w:enabled/>
            <w:calcOnExit w:val="0"/>
            <w:ddList>
              <w:listEntry w:val="dismissed"/>
              <w:listEntry w:val="allowed"/>
            </w:ddList>
          </w:ffData>
        </w:fldChar>
      </w:r>
      <w:r>
        <w:rPr>
          <w:rFonts w:ascii="Sylfaen" w:hAnsi="Sylfaen" w:cs="Arial"/>
          <w:b/>
        </w:rPr>
        <w:instrText xml:space="preserve"> FORMDROPDOWN </w:instrText>
      </w:r>
      <w:r w:rsidR="005B7DA5">
        <w:rPr>
          <w:rFonts w:ascii="Sylfaen" w:hAnsi="Sylfaen" w:cs="Arial"/>
          <w:b/>
        </w:rPr>
      </w:r>
      <w:r w:rsidR="005B7DA5">
        <w:rPr>
          <w:rFonts w:ascii="Sylfaen" w:hAnsi="Sylfaen" w:cs="Arial"/>
          <w:b/>
        </w:rPr>
        <w:fldChar w:fldCharType="separate"/>
      </w:r>
      <w:r>
        <w:rPr>
          <w:rFonts w:ascii="Sylfaen" w:hAnsi="Sylfaen" w:cs="Arial"/>
          <w:b/>
        </w:rPr>
        <w:fldChar w:fldCharType="end"/>
      </w:r>
      <w:bookmarkEnd w:id="8"/>
    </w:p>
    <w:p w:rsidR="00B95326" w:rsidRPr="00A544A8" w:rsidRDefault="0076691B" w:rsidP="00F07170">
      <w:pPr>
        <w:ind w:left="4508" w:hanging="539"/>
        <w:rPr>
          <w:rFonts w:ascii="Sylfaen" w:hAnsi="Sylfaen" w:cs="Arial"/>
          <w:color w:val="000000"/>
        </w:rPr>
      </w:pPr>
      <w:r w:rsidRPr="00A544A8">
        <w:rPr>
          <w:rFonts w:ascii="Sylfaen" w:hAnsi="Sylfaen" w:cs="Arial"/>
          <w:b/>
          <w:noProof/>
        </w:rPr>
        <w:drawing>
          <wp:inline distT="0" distB="0" distL="0" distR="0">
            <wp:extent cx="2141855" cy="104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1855" cy="1041400"/>
                    </a:xfrm>
                    <a:prstGeom prst="rect">
                      <a:avLst/>
                    </a:prstGeom>
                    <a:noFill/>
                    <a:ln>
                      <a:noFill/>
                    </a:ln>
                  </pic:spPr>
                </pic:pic>
              </a:graphicData>
            </a:graphic>
          </wp:inline>
        </w:drawing>
      </w:r>
      <w:r w:rsidR="00A544A8">
        <w:rPr>
          <w:rFonts w:ascii="Sylfaen" w:hAnsi="Sylfaen" w:cs="Arial"/>
        </w:rPr>
        <w:t xml:space="preserve"> </w:t>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D9111A" w:rsidRPr="00A544A8">
        <w:rPr>
          <w:rFonts w:ascii="Sylfaen" w:hAnsi="Sylfaen" w:cs="Arial"/>
          <w:color w:val="000000"/>
        </w:rPr>
        <w:t xml:space="preserve"> </w:t>
      </w:r>
      <w:r w:rsidR="00A544A8">
        <w:rPr>
          <w:rFonts w:ascii="Sylfaen" w:hAnsi="Sylfaen" w:cs="Arial"/>
          <w:color w:val="000000"/>
        </w:rPr>
        <w:t xml:space="preserve">(a </w:t>
      </w:r>
      <w:r w:rsidR="00A544A8" w:rsidRPr="00A544A8">
        <w:rPr>
          <w:rFonts w:ascii="Sylfaen" w:hAnsi="Sylfaen" w:cs="Arial"/>
          <w:color w:val="000000"/>
        </w:rPr>
        <w:t xml:space="preserve">judge </w:t>
      </w:r>
      <w:r w:rsidR="00A544A8">
        <w:rPr>
          <w:rFonts w:ascii="Sylfaen" w:hAnsi="Sylfaen" w:cs="Arial"/>
          <w:color w:val="000000"/>
        </w:rPr>
        <w:t>of the Upper Tribunal)</w:t>
      </w:r>
    </w:p>
    <w:sectPr w:rsidR="00B95326" w:rsidRPr="00A544A8" w:rsidSect="00776E97">
      <w:headerReference w:type="default" r:id="rId14"/>
      <w:footerReference w:type="default" r:id="rId15"/>
      <w:footerReference w:type="first" r:id="rId16"/>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3F80" w:rsidRDefault="00C43F80">
      <w:r>
        <w:separator/>
      </w:r>
    </w:p>
  </w:endnote>
  <w:endnote w:type="continuationSeparator" w:id="0">
    <w:p w:rsidR="00C43F80" w:rsidRDefault="00C43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981" w:rsidRPr="00075F30" w:rsidRDefault="00374981" w:rsidP="00593795">
    <w:pPr>
      <w:pStyle w:val="Footer"/>
      <w:jc w:val="center"/>
      <w:rPr>
        <w:rFonts w:ascii="Sylfaen" w:hAnsi="Sylfaen" w:cs="Arial"/>
        <w:sz w:val="20"/>
        <w:szCs w:val="22"/>
      </w:rPr>
    </w:pPr>
    <w:r w:rsidRPr="00075F30">
      <w:rPr>
        <w:rStyle w:val="PageNumber"/>
        <w:rFonts w:ascii="Sylfaen" w:hAnsi="Sylfaen" w:cs="Arial"/>
        <w:sz w:val="20"/>
        <w:szCs w:val="22"/>
      </w:rPr>
      <w:fldChar w:fldCharType="begin"/>
    </w:r>
    <w:r w:rsidRPr="00075F30">
      <w:rPr>
        <w:rStyle w:val="PageNumber"/>
        <w:rFonts w:ascii="Sylfaen" w:hAnsi="Sylfaen" w:cs="Arial"/>
        <w:sz w:val="20"/>
        <w:szCs w:val="22"/>
      </w:rPr>
      <w:instrText xml:space="preserve"> PAGE </w:instrText>
    </w:r>
    <w:r w:rsidRPr="00075F30">
      <w:rPr>
        <w:rStyle w:val="PageNumber"/>
        <w:rFonts w:ascii="Sylfaen" w:hAnsi="Sylfaen" w:cs="Arial"/>
        <w:sz w:val="20"/>
        <w:szCs w:val="22"/>
      </w:rPr>
      <w:fldChar w:fldCharType="separate"/>
    </w:r>
    <w:r w:rsidR="005B7DA5">
      <w:rPr>
        <w:rStyle w:val="PageNumber"/>
        <w:rFonts w:ascii="Sylfaen" w:hAnsi="Sylfaen" w:cs="Arial"/>
        <w:noProof/>
        <w:sz w:val="20"/>
        <w:szCs w:val="22"/>
      </w:rPr>
      <w:t>4</w:t>
    </w:r>
    <w:r w:rsidRPr="00075F30">
      <w:rPr>
        <w:rStyle w:val="PageNumber"/>
        <w:rFonts w:ascii="Sylfaen" w:hAnsi="Sylfaen" w:cs="Arial"/>
        <w:sz w:val="20"/>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496" w:rsidRPr="00686C0C" w:rsidRDefault="00C45496" w:rsidP="00FF5012">
    <w:pPr>
      <w:ind w:left="720" w:hanging="720"/>
      <w:jc w:val="both"/>
      <w:rPr>
        <w:rFonts w:ascii="Sylfaen" w:hAnsi="Sylfaen" w:cs="Arial"/>
        <w:i/>
        <w:spacing w:val="-6"/>
        <w:sz w:val="22"/>
        <w:szCs w:val="22"/>
      </w:rPr>
    </w:pPr>
    <w:r w:rsidRPr="00686C0C">
      <w:rPr>
        <w:rFonts w:ascii="Sylfaen" w:hAnsi="Sylfaen" w:cs="Arial"/>
        <w:i/>
        <w:spacing w:val="-6"/>
        <w:sz w:val="22"/>
        <w:szCs w:val="22"/>
        <w:u w:val="single"/>
      </w:rPr>
      <w:t>NOTE</w:t>
    </w:r>
    <w:r w:rsidRPr="00686C0C">
      <w:rPr>
        <w:rFonts w:ascii="Sylfaen" w:hAnsi="Sylfaen" w:cs="Arial"/>
        <w:i/>
        <w:spacing w:val="-6"/>
        <w:sz w:val="22"/>
        <w:szCs w:val="22"/>
      </w:rPr>
      <w:t xml:space="preserve">: </w:t>
    </w:r>
    <w:r w:rsidR="00D50A21">
      <w:rPr>
        <w:rFonts w:ascii="Sylfaen" w:hAnsi="Sylfaen" w:cs="Arial"/>
        <w:i/>
        <w:spacing w:val="-6"/>
        <w:sz w:val="22"/>
        <w:szCs w:val="22"/>
      </w:rPr>
      <w:tab/>
      <w:t>(1)</w:t>
    </w:r>
    <w:r w:rsidR="00D50A21">
      <w:rPr>
        <w:rFonts w:ascii="Sylfaen" w:hAnsi="Sylfaen" w:cs="Arial"/>
        <w:i/>
        <w:spacing w:val="-6"/>
        <w:sz w:val="22"/>
        <w:szCs w:val="22"/>
      </w:rPr>
      <w:tab/>
    </w:r>
    <w:r w:rsidRPr="00686C0C">
      <w:rPr>
        <w:rFonts w:ascii="Sylfaen" w:hAnsi="Sylfaen" w:cs="Arial"/>
        <w:i/>
        <w:spacing w:val="-6"/>
        <w:sz w:val="22"/>
        <w:szCs w:val="22"/>
      </w:rPr>
      <w:t xml:space="preserve">no anonymity direction made at first instance </w:t>
    </w:r>
    <w:r w:rsidR="007B67B0">
      <w:rPr>
        <w:rFonts w:ascii="Sylfaen" w:hAnsi="Sylfaen" w:cs="Arial"/>
        <w:i/>
        <w:spacing w:val="-6"/>
        <w:sz w:val="22"/>
        <w:szCs w:val="22"/>
      </w:rPr>
      <w:t xml:space="preserve">will continue, unless extended </w:t>
    </w:r>
    <w:r w:rsidR="00742454" w:rsidRPr="00686C0C">
      <w:rPr>
        <w:rFonts w:ascii="Sylfaen" w:hAnsi="Sylfaen" w:cs="Arial"/>
        <w:i/>
        <w:spacing w:val="-6"/>
        <w:sz w:val="22"/>
        <w:szCs w:val="22"/>
      </w:rPr>
      <w:t>by me</w:t>
    </w:r>
    <w:r w:rsidR="00FF5012" w:rsidRPr="00686C0C">
      <w:rPr>
        <w:rFonts w:ascii="Sylfaen" w:hAnsi="Sylfaen" w:cs="Arial"/>
        <w:i/>
        <w:spacing w:val="-6"/>
        <w:sz w:val="22"/>
        <w:szCs w:val="22"/>
      </w:rPr>
      <w:t>.</w:t>
    </w:r>
  </w:p>
  <w:p w:rsidR="00686C0C" w:rsidRPr="00686C0C" w:rsidRDefault="00D50A21" w:rsidP="00FF5012">
    <w:pPr>
      <w:ind w:left="720" w:hanging="720"/>
      <w:jc w:val="both"/>
      <w:rPr>
        <w:rFonts w:ascii="Sylfaen" w:hAnsi="Sylfaen" w:cs="Arial"/>
        <w:i/>
        <w:spacing w:val="-6"/>
        <w:sz w:val="22"/>
        <w:szCs w:val="22"/>
      </w:rPr>
    </w:pPr>
    <w:r>
      <w:rPr>
        <w:rFonts w:ascii="Sylfaen" w:hAnsi="Sylfaen" w:cs="Arial"/>
        <w:i/>
        <w:spacing w:val="-6"/>
        <w:sz w:val="22"/>
        <w:szCs w:val="22"/>
      </w:rPr>
      <w:tab/>
      <w:t>(2)</w:t>
    </w:r>
    <w:r>
      <w:rPr>
        <w:rFonts w:ascii="Sylfaen" w:hAnsi="Sylfaen" w:cs="Arial"/>
        <w:i/>
        <w:spacing w:val="-6"/>
        <w:sz w:val="22"/>
        <w:szCs w:val="22"/>
      </w:rPr>
      <w:tab/>
      <w:t>persons under 18 are referred to by initials, and must not be further identified.</w:t>
    </w:r>
  </w:p>
  <w:p w:rsidR="00075F30" w:rsidRDefault="00075F30" w:rsidP="00090CF9">
    <w:pPr>
      <w:jc w:val="center"/>
      <w:rPr>
        <w:rFonts w:ascii="Sylfaen" w:hAnsi="Sylfaen" w:cs="Arial"/>
        <w:i/>
        <w:spacing w:val="-6"/>
        <w:sz w:val="22"/>
        <w:szCs w:val="22"/>
      </w:rPr>
    </w:pPr>
  </w:p>
  <w:p w:rsidR="00374981" w:rsidRPr="00075F30" w:rsidRDefault="00374981" w:rsidP="00090CF9">
    <w:pPr>
      <w:jc w:val="center"/>
      <w:rPr>
        <w:rFonts w:ascii="Sylfaen" w:hAnsi="Sylfaen" w:cs="Arial"/>
        <w:b/>
        <w:i/>
        <w:sz w:val="22"/>
        <w:szCs w:val="22"/>
      </w:rPr>
    </w:pPr>
    <w:r w:rsidRPr="00075F30">
      <w:rPr>
        <w:rFonts w:ascii="Sylfaen" w:hAnsi="Sylfaen" w:cs="Arial"/>
        <w:b/>
        <w:i/>
        <w:spacing w:val="-6"/>
        <w:sz w:val="22"/>
        <w:szCs w:val="22"/>
      </w:rPr>
      <w:t>©</w:t>
    </w:r>
    <w:r w:rsidRPr="00075F30">
      <w:rPr>
        <w:rFonts w:ascii="Sylfaen" w:hAnsi="Sylfaen" w:cs="Arial"/>
        <w:b/>
        <w:i/>
        <w:sz w:val="22"/>
        <w:szCs w:val="22"/>
      </w:rPr>
      <w:t xml:space="preserve"> CROWN COPYRIGHT 201</w:t>
    </w:r>
    <w:r w:rsidR="00990B37" w:rsidRPr="00075F30">
      <w:rPr>
        <w:rFonts w:ascii="Sylfaen" w:hAnsi="Sylfaen" w:cs="Arial"/>
        <w:b/>
        <w:i/>
        <w:sz w:val="22"/>
        <w:szCs w:val="22"/>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3F80" w:rsidRDefault="00C43F80">
      <w:r>
        <w:separator/>
      </w:r>
    </w:p>
  </w:footnote>
  <w:footnote w:type="continuationSeparator" w:id="0">
    <w:p w:rsidR="00C43F80" w:rsidRDefault="00C43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B37" w:rsidRPr="00864C9B" w:rsidRDefault="00864C9B" w:rsidP="00864C9B">
    <w:pPr>
      <w:pStyle w:val="Header"/>
      <w:jc w:val="right"/>
      <w:rPr>
        <w:sz w:val="20"/>
        <w:szCs w:val="20"/>
      </w:rPr>
    </w:pPr>
    <w:r w:rsidRPr="00864C9B">
      <w:rPr>
        <w:sz w:val="20"/>
        <w:szCs w:val="20"/>
      </w:rPr>
      <w:t>HU/08082/2017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C2D46"/>
    <w:multiLevelType w:val="hybridMultilevel"/>
    <w:tmpl w:val="8760021E"/>
    <w:lvl w:ilvl="0" w:tplc="0542F5A8">
      <w:start w:val="2"/>
      <w:numFmt w:val="decimal"/>
      <w:lvlText w:val="%1."/>
      <w:lvlJc w:val="left"/>
      <w:pPr>
        <w:tabs>
          <w:tab w:val="num" w:pos="757"/>
        </w:tabs>
        <w:ind w:left="757" w:hanging="397"/>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59252B96"/>
    <w:multiLevelType w:val="multilevel"/>
    <w:tmpl w:val="49B4D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5ED14418"/>
    <w:multiLevelType w:val="hybridMultilevel"/>
    <w:tmpl w:val="342A8738"/>
    <w:lvl w:ilvl="0" w:tplc="0D6ADF82">
      <w:start w:val="1"/>
      <w:numFmt w:val="lowerLetter"/>
      <w:lvlText w:val="(%1)"/>
      <w:lvlJc w:val="left"/>
      <w:pPr>
        <w:ind w:left="2062" w:hanging="360"/>
      </w:pPr>
      <w:rPr>
        <w:rFonts w:hint="default"/>
      </w:rPr>
    </w:lvl>
    <w:lvl w:ilvl="1" w:tplc="08090019" w:tentative="1">
      <w:start w:val="1"/>
      <w:numFmt w:val="lowerLetter"/>
      <w:lvlText w:val="%2."/>
      <w:lvlJc w:val="left"/>
      <w:pPr>
        <w:ind w:left="2782" w:hanging="360"/>
      </w:pPr>
    </w:lvl>
    <w:lvl w:ilvl="2" w:tplc="0809001B" w:tentative="1">
      <w:start w:val="1"/>
      <w:numFmt w:val="lowerRoman"/>
      <w:lvlText w:val="%3."/>
      <w:lvlJc w:val="right"/>
      <w:pPr>
        <w:ind w:left="3502" w:hanging="180"/>
      </w:pPr>
    </w:lvl>
    <w:lvl w:ilvl="3" w:tplc="0809000F" w:tentative="1">
      <w:start w:val="1"/>
      <w:numFmt w:val="decimal"/>
      <w:lvlText w:val="%4."/>
      <w:lvlJc w:val="left"/>
      <w:pPr>
        <w:ind w:left="4222" w:hanging="360"/>
      </w:pPr>
    </w:lvl>
    <w:lvl w:ilvl="4" w:tplc="08090019" w:tentative="1">
      <w:start w:val="1"/>
      <w:numFmt w:val="lowerLetter"/>
      <w:lvlText w:val="%5."/>
      <w:lvlJc w:val="left"/>
      <w:pPr>
        <w:ind w:left="4942" w:hanging="360"/>
      </w:pPr>
    </w:lvl>
    <w:lvl w:ilvl="5" w:tplc="0809001B" w:tentative="1">
      <w:start w:val="1"/>
      <w:numFmt w:val="lowerRoman"/>
      <w:lvlText w:val="%6."/>
      <w:lvlJc w:val="right"/>
      <w:pPr>
        <w:ind w:left="5662" w:hanging="180"/>
      </w:pPr>
    </w:lvl>
    <w:lvl w:ilvl="6" w:tplc="0809000F" w:tentative="1">
      <w:start w:val="1"/>
      <w:numFmt w:val="decimal"/>
      <w:lvlText w:val="%7."/>
      <w:lvlJc w:val="left"/>
      <w:pPr>
        <w:ind w:left="6382" w:hanging="360"/>
      </w:pPr>
    </w:lvl>
    <w:lvl w:ilvl="7" w:tplc="08090019" w:tentative="1">
      <w:start w:val="1"/>
      <w:numFmt w:val="lowerLetter"/>
      <w:lvlText w:val="%8."/>
      <w:lvlJc w:val="left"/>
      <w:pPr>
        <w:ind w:left="7102" w:hanging="360"/>
      </w:pPr>
    </w:lvl>
    <w:lvl w:ilvl="8" w:tplc="0809001B" w:tentative="1">
      <w:start w:val="1"/>
      <w:numFmt w:val="lowerRoman"/>
      <w:lvlText w:val="%9."/>
      <w:lvlJc w:val="right"/>
      <w:pPr>
        <w:ind w:left="7822" w:hanging="180"/>
      </w:pPr>
    </w:lvl>
  </w:abstractNum>
  <w:abstractNum w:abstractNumId="3" w15:restartNumberingAfterBreak="0">
    <w:nsid w:val="75D70B9F"/>
    <w:multiLevelType w:val="multilevel"/>
    <w:tmpl w:val="C534FCE2"/>
    <w:lvl w:ilvl="0">
      <w:start w:val="1"/>
      <w:numFmt w:val="decimal"/>
      <w:pStyle w:val="ParaLevel1"/>
      <w:lvlText w:val="%1."/>
      <w:lvlJc w:val="left"/>
      <w:pPr>
        <w:tabs>
          <w:tab w:val="num" w:pos="720"/>
        </w:tabs>
        <w:ind w:left="720" w:hanging="720"/>
      </w:pPr>
      <w:rPr>
        <w:b w:val="0"/>
        <w:i w:val="0"/>
        <w:strike w:val="0"/>
        <w:dstrike w:val="0"/>
        <w:sz w:val="24"/>
        <w:szCs w:val="24"/>
        <w:u w:val="none"/>
        <w:effect w:val="none"/>
      </w:rPr>
    </w:lvl>
    <w:lvl w:ilvl="1">
      <w:start w:val="1"/>
      <w:numFmt w:val="lowerRoman"/>
      <w:pStyle w:val="ParaLevel2"/>
      <w:lvlText w:val="%2)"/>
      <w:lvlJc w:val="left"/>
      <w:pPr>
        <w:tabs>
          <w:tab w:val="num" w:pos="1418"/>
        </w:tabs>
        <w:ind w:left="1418" w:hanging="709"/>
      </w:pPr>
      <w:rPr>
        <w:b w:val="0"/>
        <w:i w:val="0"/>
      </w:rPr>
    </w:lvl>
    <w:lvl w:ilvl="2">
      <w:start w:val="1"/>
      <w:numFmt w:val="lowerLetter"/>
      <w:pStyle w:val="ParaLevel3"/>
      <w:lvlText w:val="%3)"/>
      <w:lvlJc w:val="left"/>
      <w:pPr>
        <w:tabs>
          <w:tab w:val="num" w:pos="2127"/>
        </w:tabs>
        <w:ind w:left="2127" w:hanging="709"/>
      </w:pPr>
    </w:lvl>
    <w:lvl w:ilvl="3">
      <w:start w:val="1"/>
      <w:numFmt w:val="lowerRoman"/>
      <w:pStyle w:val="ParaLevel4"/>
      <w:lvlText w:val="%4)"/>
      <w:lvlJc w:val="left"/>
      <w:pPr>
        <w:tabs>
          <w:tab w:val="num" w:pos="2836"/>
        </w:tabs>
        <w:ind w:left="2836" w:hanging="709"/>
      </w:pPr>
    </w:lvl>
    <w:lvl w:ilvl="4">
      <w:start w:val="1"/>
      <w:numFmt w:val="lowerLetter"/>
      <w:pStyle w:val="ParaLevel5"/>
      <w:lvlText w:val="(%5)"/>
      <w:lvlJc w:val="left"/>
      <w:pPr>
        <w:tabs>
          <w:tab w:val="num" w:pos="3545"/>
        </w:tabs>
        <w:ind w:left="3545" w:hanging="709"/>
      </w:pPr>
    </w:lvl>
    <w:lvl w:ilvl="5">
      <w:start w:val="1"/>
      <w:numFmt w:val="lowerRoman"/>
      <w:pStyle w:val="ParaLevel6"/>
      <w:lvlText w:val="(%6)"/>
      <w:lvlJc w:val="left"/>
      <w:pPr>
        <w:tabs>
          <w:tab w:val="num" w:pos="4254"/>
        </w:tabs>
        <w:ind w:left="4254" w:hanging="709"/>
      </w:pPr>
    </w:lvl>
    <w:lvl w:ilvl="6">
      <w:start w:val="1"/>
      <w:numFmt w:val="lowerLetter"/>
      <w:pStyle w:val="ParaLevel7"/>
      <w:lvlText w:val="(%7)"/>
      <w:lvlJc w:val="left"/>
      <w:pPr>
        <w:tabs>
          <w:tab w:val="num" w:pos="4963"/>
        </w:tabs>
        <w:ind w:left="4963" w:hanging="709"/>
      </w:pPr>
    </w:lvl>
    <w:lvl w:ilvl="7">
      <w:start w:val="1"/>
      <w:numFmt w:val="lowerRoman"/>
      <w:pStyle w:val="ParaLevel8"/>
      <w:lvlText w:val="(%8)"/>
      <w:lvlJc w:val="left"/>
      <w:pPr>
        <w:tabs>
          <w:tab w:val="num" w:pos="5672"/>
        </w:tabs>
        <w:ind w:left="5672" w:hanging="709"/>
      </w:pPr>
    </w:lvl>
    <w:lvl w:ilvl="8">
      <w:start w:val="1"/>
      <w:numFmt w:val="lowerLetter"/>
      <w:pStyle w:val="ParaLevel9"/>
      <w:lvlText w:val="(%9)"/>
      <w:lvlJc w:val="left"/>
      <w:pPr>
        <w:tabs>
          <w:tab w:val="num" w:pos="6381"/>
        </w:tabs>
        <w:ind w:left="6381" w:hanging="709"/>
      </w:pPr>
    </w:lvl>
  </w:abstractNum>
  <w:abstractNum w:abstractNumId="4" w15:restartNumberingAfterBreak="0">
    <w:nsid w:val="7E2F220A"/>
    <w:multiLevelType w:val="hybridMultilevel"/>
    <w:tmpl w:val="E9923B2A"/>
    <w:lvl w:ilvl="0" w:tplc="8DD819D8">
      <w:start w:val="1"/>
      <w:numFmt w:val="lowerLetter"/>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num w:numId="1">
    <w:abstractNumId w:val="0"/>
  </w:num>
  <w:num w:numId="2">
    <w:abstractNumId w:val="1"/>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9AD"/>
    <w:rsid w:val="00000621"/>
    <w:rsid w:val="000036C2"/>
    <w:rsid w:val="00014DCB"/>
    <w:rsid w:val="00033D3D"/>
    <w:rsid w:val="00057601"/>
    <w:rsid w:val="00062F02"/>
    <w:rsid w:val="00071A7E"/>
    <w:rsid w:val="000746C0"/>
    <w:rsid w:val="00074D1D"/>
    <w:rsid w:val="00075F30"/>
    <w:rsid w:val="000857AF"/>
    <w:rsid w:val="00090CF9"/>
    <w:rsid w:val="00092580"/>
    <w:rsid w:val="00093D4D"/>
    <w:rsid w:val="000A1210"/>
    <w:rsid w:val="000B1DCE"/>
    <w:rsid w:val="000B2183"/>
    <w:rsid w:val="000D5D94"/>
    <w:rsid w:val="000F1A0E"/>
    <w:rsid w:val="00102EBC"/>
    <w:rsid w:val="00110C9A"/>
    <w:rsid w:val="001165A7"/>
    <w:rsid w:val="00117FD8"/>
    <w:rsid w:val="001435AF"/>
    <w:rsid w:val="00167D3A"/>
    <w:rsid w:val="00194E6E"/>
    <w:rsid w:val="001A3082"/>
    <w:rsid w:val="001A5D86"/>
    <w:rsid w:val="001B186A"/>
    <w:rsid w:val="001B2F75"/>
    <w:rsid w:val="001E6DE8"/>
    <w:rsid w:val="001F114E"/>
    <w:rsid w:val="001F2716"/>
    <w:rsid w:val="00206F6B"/>
    <w:rsid w:val="00207617"/>
    <w:rsid w:val="00221364"/>
    <w:rsid w:val="002254BA"/>
    <w:rsid w:val="0023134B"/>
    <w:rsid w:val="0026015E"/>
    <w:rsid w:val="002667BE"/>
    <w:rsid w:val="00270E13"/>
    <w:rsid w:val="00283659"/>
    <w:rsid w:val="002B5149"/>
    <w:rsid w:val="002C5871"/>
    <w:rsid w:val="002C6BD4"/>
    <w:rsid w:val="002D68BF"/>
    <w:rsid w:val="002F6B98"/>
    <w:rsid w:val="00310B90"/>
    <w:rsid w:val="00336CBF"/>
    <w:rsid w:val="00343FE3"/>
    <w:rsid w:val="003546C8"/>
    <w:rsid w:val="00374981"/>
    <w:rsid w:val="0037679D"/>
    <w:rsid w:val="003860CF"/>
    <w:rsid w:val="003A3DA7"/>
    <w:rsid w:val="003A4198"/>
    <w:rsid w:val="003A7CF2"/>
    <w:rsid w:val="003C5CE5"/>
    <w:rsid w:val="003D6EEF"/>
    <w:rsid w:val="003E0939"/>
    <w:rsid w:val="003E267B"/>
    <w:rsid w:val="003E5773"/>
    <w:rsid w:val="003E7CD1"/>
    <w:rsid w:val="003F2E3F"/>
    <w:rsid w:val="00402B9E"/>
    <w:rsid w:val="00420643"/>
    <w:rsid w:val="004249CB"/>
    <w:rsid w:val="0044127D"/>
    <w:rsid w:val="004448DB"/>
    <w:rsid w:val="00446C9A"/>
    <w:rsid w:val="00452F2B"/>
    <w:rsid w:val="004617F0"/>
    <w:rsid w:val="00473EEA"/>
    <w:rsid w:val="00477193"/>
    <w:rsid w:val="00480D87"/>
    <w:rsid w:val="004A1848"/>
    <w:rsid w:val="004A6F4A"/>
    <w:rsid w:val="004C5C63"/>
    <w:rsid w:val="004E4717"/>
    <w:rsid w:val="005035E7"/>
    <w:rsid w:val="00507FEC"/>
    <w:rsid w:val="00510F0E"/>
    <w:rsid w:val="0052386B"/>
    <w:rsid w:val="00531929"/>
    <w:rsid w:val="005479E1"/>
    <w:rsid w:val="00553E0A"/>
    <w:rsid w:val="005570FD"/>
    <w:rsid w:val="005575EA"/>
    <w:rsid w:val="0056788C"/>
    <w:rsid w:val="00574E42"/>
    <w:rsid w:val="0057790C"/>
    <w:rsid w:val="005829AB"/>
    <w:rsid w:val="00593795"/>
    <w:rsid w:val="00593821"/>
    <w:rsid w:val="00594A69"/>
    <w:rsid w:val="00597008"/>
    <w:rsid w:val="005A549B"/>
    <w:rsid w:val="005A75FF"/>
    <w:rsid w:val="005B7DA5"/>
    <w:rsid w:val="005D10AB"/>
    <w:rsid w:val="005D721A"/>
    <w:rsid w:val="005F1F19"/>
    <w:rsid w:val="00601D8F"/>
    <w:rsid w:val="00611011"/>
    <w:rsid w:val="00653E97"/>
    <w:rsid w:val="00676204"/>
    <w:rsid w:val="00684A74"/>
    <w:rsid w:val="00686C0C"/>
    <w:rsid w:val="00690B8A"/>
    <w:rsid w:val="0069160E"/>
    <w:rsid w:val="00696018"/>
    <w:rsid w:val="00696D3B"/>
    <w:rsid w:val="006B058B"/>
    <w:rsid w:val="006D6EB0"/>
    <w:rsid w:val="006F2CF1"/>
    <w:rsid w:val="006F7361"/>
    <w:rsid w:val="006F7DBF"/>
    <w:rsid w:val="007038ED"/>
    <w:rsid w:val="00703BC3"/>
    <w:rsid w:val="00704B61"/>
    <w:rsid w:val="007334B3"/>
    <w:rsid w:val="00741157"/>
    <w:rsid w:val="007420F1"/>
    <w:rsid w:val="00742454"/>
    <w:rsid w:val="00750745"/>
    <w:rsid w:val="007552A9"/>
    <w:rsid w:val="00761858"/>
    <w:rsid w:val="0076691B"/>
    <w:rsid w:val="00767D59"/>
    <w:rsid w:val="00767EBE"/>
    <w:rsid w:val="00776E97"/>
    <w:rsid w:val="00780F86"/>
    <w:rsid w:val="007912AD"/>
    <w:rsid w:val="007A37E8"/>
    <w:rsid w:val="007A7CEE"/>
    <w:rsid w:val="007B0824"/>
    <w:rsid w:val="007B5D3C"/>
    <w:rsid w:val="007B67B0"/>
    <w:rsid w:val="00821B72"/>
    <w:rsid w:val="00823EF2"/>
    <w:rsid w:val="008303B8"/>
    <w:rsid w:val="00833DCE"/>
    <w:rsid w:val="00864C9B"/>
    <w:rsid w:val="00871D34"/>
    <w:rsid w:val="008A414E"/>
    <w:rsid w:val="008B270C"/>
    <w:rsid w:val="008B382D"/>
    <w:rsid w:val="008B5078"/>
    <w:rsid w:val="008C1A5D"/>
    <w:rsid w:val="008C3D3D"/>
    <w:rsid w:val="008D4131"/>
    <w:rsid w:val="008D712F"/>
    <w:rsid w:val="008E1B18"/>
    <w:rsid w:val="008F0697"/>
    <w:rsid w:val="008F1932"/>
    <w:rsid w:val="008F23F4"/>
    <w:rsid w:val="00921062"/>
    <w:rsid w:val="00923B15"/>
    <w:rsid w:val="00925AB2"/>
    <w:rsid w:val="00927243"/>
    <w:rsid w:val="009722BC"/>
    <w:rsid w:val="009727A3"/>
    <w:rsid w:val="009749AD"/>
    <w:rsid w:val="00977EB3"/>
    <w:rsid w:val="00987774"/>
    <w:rsid w:val="00990B37"/>
    <w:rsid w:val="00996FBB"/>
    <w:rsid w:val="009A11E8"/>
    <w:rsid w:val="009C5F92"/>
    <w:rsid w:val="009E30EE"/>
    <w:rsid w:val="009E3F0B"/>
    <w:rsid w:val="009F3381"/>
    <w:rsid w:val="009F5220"/>
    <w:rsid w:val="00A11F19"/>
    <w:rsid w:val="00A15234"/>
    <w:rsid w:val="00A201AB"/>
    <w:rsid w:val="00A240AA"/>
    <w:rsid w:val="00A253BF"/>
    <w:rsid w:val="00A31C8B"/>
    <w:rsid w:val="00A41729"/>
    <w:rsid w:val="00A509FA"/>
    <w:rsid w:val="00A544A8"/>
    <w:rsid w:val="00A845DC"/>
    <w:rsid w:val="00A8721C"/>
    <w:rsid w:val="00AE226C"/>
    <w:rsid w:val="00AE520D"/>
    <w:rsid w:val="00B20636"/>
    <w:rsid w:val="00B26AA2"/>
    <w:rsid w:val="00B3524D"/>
    <w:rsid w:val="00B40F69"/>
    <w:rsid w:val="00B46616"/>
    <w:rsid w:val="00B7040A"/>
    <w:rsid w:val="00B83391"/>
    <w:rsid w:val="00B95326"/>
    <w:rsid w:val="00BA334F"/>
    <w:rsid w:val="00BB3FC4"/>
    <w:rsid w:val="00BB7997"/>
    <w:rsid w:val="00BC481C"/>
    <w:rsid w:val="00BC4DE5"/>
    <w:rsid w:val="00BD2083"/>
    <w:rsid w:val="00BD3A9C"/>
    <w:rsid w:val="00BD4196"/>
    <w:rsid w:val="00BF22CA"/>
    <w:rsid w:val="00BF23BB"/>
    <w:rsid w:val="00C12F97"/>
    <w:rsid w:val="00C217AF"/>
    <w:rsid w:val="00C26032"/>
    <w:rsid w:val="00C345E1"/>
    <w:rsid w:val="00C43BFD"/>
    <w:rsid w:val="00C43F80"/>
    <w:rsid w:val="00C45496"/>
    <w:rsid w:val="00CB6E35"/>
    <w:rsid w:val="00CC0CC9"/>
    <w:rsid w:val="00CC7306"/>
    <w:rsid w:val="00CE1A46"/>
    <w:rsid w:val="00D20757"/>
    <w:rsid w:val="00D22636"/>
    <w:rsid w:val="00D346B4"/>
    <w:rsid w:val="00D40FD9"/>
    <w:rsid w:val="00D43068"/>
    <w:rsid w:val="00D50A21"/>
    <w:rsid w:val="00D53769"/>
    <w:rsid w:val="00D74A63"/>
    <w:rsid w:val="00D81575"/>
    <w:rsid w:val="00D85C13"/>
    <w:rsid w:val="00D9111A"/>
    <w:rsid w:val="00D91BE3"/>
    <w:rsid w:val="00D94AFC"/>
    <w:rsid w:val="00DB1EA9"/>
    <w:rsid w:val="00DB70AE"/>
    <w:rsid w:val="00DD5071"/>
    <w:rsid w:val="00DD5C39"/>
    <w:rsid w:val="00DD6918"/>
    <w:rsid w:val="00DE20CE"/>
    <w:rsid w:val="00DE65C8"/>
    <w:rsid w:val="00DE7DB7"/>
    <w:rsid w:val="00DF2161"/>
    <w:rsid w:val="00DF392C"/>
    <w:rsid w:val="00E00A0A"/>
    <w:rsid w:val="00E066DE"/>
    <w:rsid w:val="00E07F57"/>
    <w:rsid w:val="00E30683"/>
    <w:rsid w:val="00E453D8"/>
    <w:rsid w:val="00E50BCE"/>
    <w:rsid w:val="00E574BF"/>
    <w:rsid w:val="00E61292"/>
    <w:rsid w:val="00E74B5A"/>
    <w:rsid w:val="00E77C4D"/>
    <w:rsid w:val="00E80AD9"/>
    <w:rsid w:val="00E81D01"/>
    <w:rsid w:val="00E862ED"/>
    <w:rsid w:val="00EA36DC"/>
    <w:rsid w:val="00EB0061"/>
    <w:rsid w:val="00ED6A40"/>
    <w:rsid w:val="00EE43F3"/>
    <w:rsid w:val="00EE45D8"/>
    <w:rsid w:val="00F064DC"/>
    <w:rsid w:val="00F07170"/>
    <w:rsid w:val="00F118C6"/>
    <w:rsid w:val="00F22EDA"/>
    <w:rsid w:val="00F239F5"/>
    <w:rsid w:val="00F556F2"/>
    <w:rsid w:val="00F97703"/>
    <w:rsid w:val="00FA48DC"/>
    <w:rsid w:val="00FC5AE2"/>
    <w:rsid w:val="00FD79ED"/>
    <w:rsid w:val="00FE4D99"/>
    <w:rsid w:val="00FF5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B6C7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F239F5"/>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ownfootnote">
    <w:name w:val="own footnote"/>
    <w:basedOn w:val="FootnoteText"/>
    <w:autoRedefine/>
    <w:rsid w:val="00DE65C8"/>
    <w:pPr>
      <w:ind w:left="540" w:hanging="540"/>
    </w:pPr>
    <w:rPr>
      <w:rFonts w:ascii="Sylfaen" w:hAnsi="Sylfaen"/>
      <w:sz w:val="22"/>
      <w:szCs w:val="22"/>
    </w:rPr>
  </w:style>
  <w:style w:type="paragraph" w:styleId="FootnoteText">
    <w:name w:val="footnote text"/>
    <w:basedOn w:val="Normal"/>
    <w:semiHidden/>
    <w:rsid w:val="00DE65C8"/>
    <w:rPr>
      <w:sz w:val="20"/>
      <w:szCs w:val="20"/>
    </w:rPr>
  </w:style>
  <w:style w:type="paragraph" w:customStyle="1" w:styleId="pedal">
    <w:name w:val="pedal"/>
    <w:basedOn w:val="Footer"/>
    <w:autoRedefine/>
    <w:rsid w:val="00E862ED"/>
    <w:pPr>
      <w:ind w:left="540" w:hanging="540"/>
    </w:pPr>
    <w:rPr>
      <w:rFonts w:ascii="Sylfaen" w:hAnsi="Sylfaen"/>
      <w:sz w:val="22"/>
      <w:szCs w:val="22"/>
    </w:rPr>
  </w:style>
  <w:style w:type="paragraph" w:customStyle="1" w:styleId="pedal1">
    <w:name w:val="pedal1"/>
    <w:basedOn w:val="pedal"/>
    <w:autoRedefine/>
    <w:rsid w:val="000B2183"/>
    <w:pPr>
      <w:ind w:left="539" w:hanging="539"/>
    </w:pPr>
  </w:style>
  <w:style w:type="paragraph" w:customStyle="1" w:styleId="pedal2">
    <w:name w:val="pedal2"/>
    <w:basedOn w:val="pedal"/>
    <w:autoRedefine/>
    <w:rsid w:val="000B2183"/>
    <w:pPr>
      <w:ind w:left="539" w:hanging="539"/>
      <w:jc w:val="both"/>
    </w:pPr>
  </w:style>
  <w:style w:type="paragraph" w:customStyle="1" w:styleId="foot-note">
    <w:name w:val="foot-note"/>
    <w:basedOn w:val="pedal2"/>
    <w:rsid w:val="003A3DA7"/>
  </w:style>
  <w:style w:type="paragraph" w:styleId="ListParagraph">
    <w:name w:val="List Paragraph"/>
    <w:basedOn w:val="Normal"/>
    <w:uiPriority w:val="34"/>
    <w:qFormat/>
    <w:rsid w:val="0056788C"/>
    <w:pPr>
      <w:ind w:left="720"/>
    </w:pPr>
  </w:style>
  <w:style w:type="paragraph" w:customStyle="1" w:styleId="ParaLevel1">
    <w:name w:val="ParaLevel1"/>
    <w:basedOn w:val="Normal"/>
    <w:rsid w:val="00F239F5"/>
    <w:pPr>
      <w:numPr>
        <w:numId w:val="4"/>
      </w:numPr>
      <w:suppressAutoHyphens/>
      <w:spacing w:before="240" w:after="240"/>
      <w:jc w:val="both"/>
      <w:outlineLvl w:val="0"/>
    </w:pPr>
    <w:rPr>
      <w:szCs w:val="20"/>
      <w:lang w:eastAsia="en-US"/>
    </w:rPr>
  </w:style>
  <w:style w:type="paragraph" w:customStyle="1" w:styleId="ParaLevel2">
    <w:name w:val="ParaLevel2"/>
    <w:basedOn w:val="Normal"/>
    <w:rsid w:val="00F239F5"/>
    <w:pPr>
      <w:numPr>
        <w:ilvl w:val="1"/>
        <w:numId w:val="4"/>
      </w:numPr>
      <w:suppressAutoHyphens/>
      <w:spacing w:before="240" w:after="240"/>
      <w:jc w:val="both"/>
      <w:outlineLvl w:val="1"/>
    </w:pPr>
    <w:rPr>
      <w:szCs w:val="20"/>
      <w:lang w:eastAsia="en-US"/>
    </w:rPr>
  </w:style>
  <w:style w:type="paragraph" w:customStyle="1" w:styleId="ParaLevel3">
    <w:name w:val="ParaLevel3"/>
    <w:basedOn w:val="Normal"/>
    <w:rsid w:val="00F239F5"/>
    <w:pPr>
      <w:numPr>
        <w:ilvl w:val="2"/>
        <w:numId w:val="4"/>
      </w:numPr>
      <w:suppressAutoHyphens/>
      <w:spacing w:before="240" w:after="240"/>
      <w:jc w:val="both"/>
      <w:outlineLvl w:val="2"/>
    </w:pPr>
    <w:rPr>
      <w:szCs w:val="20"/>
      <w:lang w:eastAsia="en-US"/>
    </w:rPr>
  </w:style>
  <w:style w:type="paragraph" w:customStyle="1" w:styleId="ParaLevel4">
    <w:name w:val="ParaLevel4"/>
    <w:basedOn w:val="Normal"/>
    <w:rsid w:val="00F239F5"/>
    <w:pPr>
      <w:numPr>
        <w:ilvl w:val="3"/>
        <w:numId w:val="4"/>
      </w:numPr>
      <w:suppressAutoHyphens/>
      <w:spacing w:before="240" w:after="240"/>
      <w:jc w:val="both"/>
      <w:outlineLvl w:val="3"/>
    </w:pPr>
    <w:rPr>
      <w:szCs w:val="20"/>
      <w:lang w:eastAsia="en-US"/>
    </w:rPr>
  </w:style>
  <w:style w:type="paragraph" w:customStyle="1" w:styleId="ParaLevel5">
    <w:name w:val="ParaLevel5"/>
    <w:basedOn w:val="Normal"/>
    <w:rsid w:val="00F239F5"/>
    <w:pPr>
      <w:numPr>
        <w:ilvl w:val="4"/>
        <w:numId w:val="4"/>
      </w:numPr>
      <w:suppressAutoHyphens/>
      <w:spacing w:before="240" w:after="240"/>
      <w:jc w:val="both"/>
      <w:outlineLvl w:val="4"/>
    </w:pPr>
    <w:rPr>
      <w:szCs w:val="20"/>
      <w:lang w:eastAsia="en-US"/>
    </w:rPr>
  </w:style>
  <w:style w:type="paragraph" w:customStyle="1" w:styleId="ParaLevel6">
    <w:name w:val="ParaLevel6"/>
    <w:basedOn w:val="Normal"/>
    <w:rsid w:val="00F239F5"/>
    <w:pPr>
      <w:numPr>
        <w:ilvl w:val="5"/>
        <w:numId w:val="4"/>
      </w:numPr>
      <w:suppressAutoHyphens/>
      <w:spacing w:before="240" w:after="240"/>
      <w:jc w:val="both"/>
      <w:outlineLvl w:val="5"/>
    </w:pPr>
    <w:rPr>
      <w:szCs w:val="20"/>
      <w:lang w:eastAsia="en-US"/>
    </w:rPr>
  </w:style>
  <w:style w:type="paragraph" w:customStyle="1" w:styleId="ParaLevel7">
    <w:name w:val="ParaLevel7"/>
    <w:basedOn w:val="Normal"/>
    <w:rsid w:val="00F239F5"/>
    <w:pPr>
      <w:numPr>
        <w:ilvl w:val="6"/>
        <w:numId w:val="4"/>
      </w:numPr>
      <w:suppressAutoHyphens/>
      <w:spacing w:before="240" w:after="240"/>
      <w:jc w:val="both"/>
      <w:outlineLvl w:val="6"/>
    </w:pPr>
    <w:rPr>
      <w:szCs w:val="20"/>
      <w:lang w:eastAsia="en-US"/>
    </w:rPr>
  </w:style>
  <w:style w:type="paragraph" w:customStyle="1" w:styleId="ParaLevel8">
    <w:name w:val="ParaLevel8"/>
    <w:basedOn w:val="Normal"/>
    <w:rsid w:val="00F239F5"/>
    <w:pPr>
      <w:numPr>
        <w:ilvl w:val="7"/>
        <w:numId w:val="4"/>
      </w:numPr>
      <w:suppressAutoHyphens/>
      <w:spacing w:before="240" w:after="240"/>
      <w:jc w:val="both"/>
      <w:outlineLvl w:val="7"/>
    </w:pPr>
    <w:rPr>
      <w:szCs w:val="20"/>
      <w:lang w:eastAsia="en-US"/>
    </w:rPr>
  </w:style>
  <w:style w:type="paragraph" w:customStyle="1" w:styleId="ParaLevel9">
    <w:name w:val="ParaLevel9"/>
    <w:basedOn w:val="Normal"/>
    <w:rsid w:val="00F239F5"/>
    <w:pPr>
      <w:numPr>
        <w:ilvl w:val="8"/>
        <w:numId w:val="4"/>
      </w:numPr>
      <w:suppressAutoHyphens/>
      <w:spacing w:before="240" w:after="240"/>
      <w:jc w:val="both"/>
      <w:outlineLvl w:val="8"/>
    </w:pPr>
    <w:rPr>
      <w:szCs w:val="20"/>
      <w:lang w:eastAsia="en-US"/>
    </w:rPr>
  </w:style>
  <w:style w:type="paragraph" w:customStyle="1" w:styleId="ParaNoNumber">
    <w:name w:val="ParaNoNumber"/>
    <w:basedOn w:val="Normal"/>
    <w:next w:val="Heading1"/>
    <w:rsid w:val="00F239F5"/>
    <w:pPr>
      <w:spacing w:before="240" w:after="240"/>
      <w:jc w:val="both"/>
    </w:pPr>
    <w:rPr>
      <w:szCs w:val="20"/>
      <w:lang w:eastAsia="en-US"/>
    </w:rPr>
  </w:style>
  <w:style w:type="character" w:customStyle="1" w:styleId="Heading1Char">
    <w:name w:val="Heading 1 Char"/>
    <w:link w:val="Heading1"/>
    <w:rsid w:val="00F239F5"/>
    <w:rPr>
      <w:rFonts w:ascii="Calibri Light" w:eastAsia="Times New Roman" w:hAnsi="Calibri Light" w:cs="Times New Roman"/>
      <w:b/>
      <w:bCs/>
      <w:kern w:val="32"/>
      <w:sz w:val="32"/>
      <w:szCs w:val="32"/>
    </w:rPr>
  </w:style>
  <w:style w:type="character" w:styleId="FollowedHyperlink">
    <w:name w:val="FollowedHyperlink"/>
    <w:rsid w:val="00AE520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392936">
      <w:bodyDiv w:val="1"/>
      <w:marLeft w:val="0"/>
      <w:marRight w:val="0"/>
      <w:marTop w:val="0"/>
      <w:marBottom w:val="0"/>
      <w:divBdr>
        <w:top w:val="none" w:sz="0" w:space="0" w:color="auto"/>
        <w:left w:val="none" w:sz="0" w:space="0" w:color="auto"/>
        <w:bottom w:val="none" w:sz="0" w:space="0" w:color="auto"/>
        <w:right w:val="none" w:sz="0" w:space="0" w:color="auto"/>
      </w:divBdr>
    </w:div>
    <w:div w:id="135993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cgi-bin/markup.cgi?doc=/uk/legis/num_act/2002/ukpga_20020041_en_1.html&amp;query=title+(+Immigration+)&amp;method=boolean"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bailii.org/cgi-bin/markup.cgi?doc=/uk/cases/UKUT/IAC/2015/543.html&amp;query=title+(+kmo+)&amp;method=boolea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lii.org/cgi-bin/format.cgi?doc=/ew/cases/EWCA/Civ/2016/1012.html&amp;query=(title:(+aj+))"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bailii.org/cgi-bin/format.cgi?doc=/uk/cases/UKUT/IAC/2016/450.html&amp;query=%28title:%28+MA+%29%29" TargetMode="External"/><Relationship Id="rId4" Type="http://schemas.openxmlformats.org/officeDocument/2006/relationships/webSettings" Target="webSettings.xml"/><Relationship Id="rId9" Type="http://schemas.openxmlformats.org/officeDocument/2006/relationships/hyperlink" Target="http://www.bailii.org/cgi-bin/format.cgi?doc=/ew/cases/EWCA/Civ/2016/662.html&amp;query=%28title:%28+na+%29%2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1821</Words>
  <Characters>9563</Characters>
  <Application>Microsoft Office Word</Application>
  <DocSecurity>0</DocSecurity>
  <Lines>79</Lines>
  <Paragraphs>22</Paragraphs>
  <ScaleCrop>false</ScaleCrop>
  <Company/>
  <LinksUpToDate>false</LinksUpToDate>
  <CharactersWithSpaces>11362</CharactersWithSpaces>
  <SharedDoc>false</SharedDoc>
  <HLinks>
    <vt:vector size="30" baseType="variant">
      <vt:variant>
        <vt:i4>1507354</vt:i4>
      </vt:variant>
      <vt:variant>
        <vt:i4>24</vt:i4>
      </vt:variant>
      <vt:variant>
        <vt:i4>0</vt:i4>
      </vt:variant>
      <vt:variant>
        <vt:i4>5</vt:i4>
      </vt:variant>
      <vt:variant>
        <vt:lpwstr>http://www.bailii.org/cgi-bin/markup.cgi?doc=/uk/cases/UKUT/IAC/2015/543.html&amp;query=title+(+kmo+)&amp;method=boolean</vt:lpwstr>
      </vt:variant>
      <vt:variant>
        <vt:lpwstr/>
      </vt:variant>
      <vt:variant>
        <vt:i4>3866681</vt:i4>
      </vt:variant>
      <vt:variant>
        <vt:i4>21</vt:i4>
      </vt:variant>
      <vt:variant>
        <vt:i4>0</vt:i4>
      </vt:variant>
      <vt:variant>
        <vt:i4>5</vt:i4>
      </vt:variant>
      <vt:variant>
        <vt:lpwstr>http://www.bailii.org/cgi-bin/format.cgi?doc=/ew/cases/EWCA/Civ/2016/1012.html&amp;query=(title:(+aj+))</vt:lpwstr>
      </vt:variant>
      <vt:variant>
        <vt:lpwstr/>
      </vt:variant>
      <vt:variant>
        <vt:i4>3276857</vt:i4>
      </vt:variant>
      <vt:variant>
        <vt:i4>18</vt:i4>
      </vt:variant>
      <vt:variant>
        <vt:i4>0</vt:i4>
      </vt:variant>
      <vt:variant>
        <vt:i4>5</vt:i4>
      </vt:variant>
      <vt:variant>
        <vt:lpwstr>http://www.bailii.org/cgi-bin/format.cgi?doc=/uk/cases/UKUT/IAC/2016/450.html&amp;query=%28title:%28+MA+%29%29</vt:lpwstr>
      </vt:variant>
      <vt:variant>
        <vt:lpwstr/>
      </vt:variant>
      <vt:variant>
        <vt:i4>2293820</vt:i4>
      </vt:variant>
      <vt:variant>
        <vt:i4>15</vt:i4>
      </vt:variant>
      <vt:variant>
        <vt:i4>0</vt:i4>
      </vt:variant>
      <vt:variant>
        <vt:i4>5</vt:i4>
      </vt:variant>
      <vt:variant>
        <vt:lpwstr>http://www.bailii.org/cgi-bin/format.cgi?doc=/ew/cases/EWCA/Civ/2016/662.html&amp;query=%28title:%28+na+%29%29</vt:lpwstr>
      </vt:variant>
      <vt:variant>
        <vt:lpwstr/>
      </vt:variant>
      <vt:variant>
        <vt:i4>4128886</vt:i4>
      </vt:variant>
      <vt:variant>
        <vt:i4>12</vt:i4>
      </vt:variant>
      <vt:variant>
        <vt:i4>0</vt:i4>
      </vt:variant>
      <vt:variant>
        <vt:i4>5</vt:i4>
      </vt:variant>
      <vt:variant>
        <vt:lpwstr>http://www.bailii.org/cgi-bin/markup.cgi?doc=/uk/legis/num_act/2002/ukpga_20020041_en_1.html&amp;query=title+(+Immigration+)&amp;method=boolean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2018-08-17T14:50:00Z</dcterms:created>
  <dcterms:modified xsi:type="dcterms:W3CDTF">2018-08-17T14:50:00Z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