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BE4ED" w14:textId="77777777" w:rsidR="00C321B5" w:rsidRPr="00F5664C" w:rsidRDefault="00B65345" w:rsidP="00C321B5">
      <w:pPr>
        <w:jc w:val="center"/>
        <w:rPr>
          <w:rFonts w:ascii="Book Antiqua" w:hAnsi="Book Antiqua" w:cs="Arial"/>
          <w:sz w:val="16"/>
          <w:szCs w:val="16"/>
        </w:rPr>
      </w:pPr>
      <w:r>
        <w:rPr>
          <w:noProof/>
          <w:lang w:val="en-US" w:eastAsia="en-US"/>
        </w:rPr>
        <w:drawing>
          <wp:inline distT="0" distB="0" distL="0" distR="0" wp14:anchorId="3634218B" wp14:editId="55447EAE">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14:paraId="41DA5467"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6FE4DA71" w14:textId="1160783A" w:rsidR="007B0824" w:rsidRPr="00D21E56"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9C3935">
        <w:rPr>
          <w:rFonts w:ascii="Book Antiqua" w:hAnsi="Book Antiqua" w:cs="Arial"/>
          <w:b/>
        </w:rPr>
        <w:t xml:space="preserve">   </w:t>
      </w:r>
      <w:proofErr w:type="gramEnd"/>
      <w:r w:rsidR="009C3935">
        <w:rPr>
          <w:rFonts w:ascii="Book Antiqua" w:hAnsi="Book Antiqua" w:cs="Arial"/>
          <w:b/>
        </w:rPr>
        <w:t xml:space="preserve">                 </w:t>
      </w:r>
      <w:r w:rsidR="00B3524D" w:rsidRPr="00D21E56">
        <w:rPr>
          <w:rFonts w:ascii="Book Antiqua" w:hAnsi="Book Antiqua" w:cs="Arial"/>
          <w:b/>
        </w:rPr>
        <w:t>Appeal Number</w:t>
      </w:r>
      <w:r w:rsidR="00D53769" w:rsidRPr="00D21E56">
        <w:rPr>
          <w:rFonts w:ascii="Book Antiqua" w:hAnsi="Book Antiqua" w:cs="Arial"/>
          <w:b/>
        </w:rPr>
        <w:t>:</w:t>
      </w:r>
      <w:r w:rsidR="00B3524D" w:rsidRPr="00D21E56">
        <w:rPr>
          <w:rFonts w:ascii="Book Antiqua" w:hAnsi="Book Antiqua" w:cs="Arial"/>
          <w:b/>
        </w:rPr>
        <w:t xml:space="preserve"> </w:t>
      </w:r>
      <w:r w:rsidR="002E49E3" w:rsidRPr="00D21E56">
        <w:rPr>
          <w:rFonts w:ascii="Book Antiqua" w:hAnsi="Book Antiqua" w:cs="Arial"/>
          <w:b/>
          <w:caps/>
        </w:rPr>
        <w:t>HU/08119/2015</w:t>
      </w:r>
    </w:p>
    <w:p w14:paraId="399D17E3" w14:textId="77777777" w:rsidR="00C345E1" w:rsidRPr="00F5664C" w:rsidRDefault="00C345E1" w:rsidP="00C345E1">
      <w:pPr>
        <w:jc w:val="center"/>
        <w:rPr>
          <w:rFonts w:ascii="Book Antiqua" w:hAnsi="Book Antiqua" w:cs="Arial"/>
        </w:rPr>
      </w:pPr>
    </w:p>
    <w:p w14:paraId="4FE3B151"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6D16544E" w14:textId="77777777"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103"/>
        <w:gridCol w:w="4905"/>
      </w:tblGrid>
      <w:tr w:rsidR="00D22636" w:rsidRPr="006E3445" w14:paraId="6A1907A8" w14:textId="77777777" w:rsidTr="009C3935">
        <w:tc>
          <w:tcPr>
            <w:tcW w:w="5103" w:type="dxa"/>
            <w:shd w:val="clear" w:color="auto" w:fill="auto"/>
          </w:tcPr>
          <w:p w14:paraId="66C07D9C" w14:textId="77777777" w:rsidR="00D22636" w:rsidRPr="006E3445" w:rsidRDefault="00D22636" w:rsidP="006E3445">
            <w:pPr>
              <w:jc w:val="both"/>
              <w:rPr>
                <w:rFonts w:ascii="Book Antiqua" w:hAnsi="Book Antiqua" w:cs="Arial"/>
                <w:b/>
              </w:rPr>
            </w:pPr>
            <w:r w:rsidRPr="006E3445">
              <w:rPr>
                <w:rFonts w:ascii="Book Antiqua" w:hAnsi="Book Antiqua" w:cs="Arial"/>
                <w:b/>
              </w:rPr>
              <w:t xml:space="preserve">Heard at </w:t>
            </w:r>
            <w:r w:rsidR="002E49E3">
              <w:rPr>
                <w:rFonts w:ascii="Book Antiqua" w:hAnsi="Book Antiqua" w:cs="Arial"/>
                <w:b/>
              </w:rPr>
              <w:t>Manchester Civil Justice Centre</w:t>
            </w:r>
          </w:p>
        </w:tc>
        <w:tc>
          <w:tcPr>
            <w:tcW w:w="4905" w:type="dxa"/>
            <w:shd w:val="clear" w:color="auto" w:fill="auto"/>
          </w:tcPr>
          <w:p w14:paraId="019FCA1A" w14:textId="685B97BD" w:rsidR="00D22636" w:rsidRPr="006E3445" w:rsidRDefault="009C3935" w:rsidP="006E3445">
            <w:pPr>
              <w:jc w:val="both"/>
              <w:rPr>
                <w:rFonts w:ascii="Book Antiqua" w:hAnsi="Book Antiqua" w:cs="Arial"/>
                <w:b/>
              </w:rPr>
            </w:pPr>
            <w:r>
              <w:rPr>
                <w:rFonts w:ascii="Book Antiqua" w:hAnsi="Book Antiqua" w:cs="Arial"/>
                <w:b/>
              </w:rPr>
              <w:t xml:space="preserve"> </w:t>
            </w:r>
            <w:r w:rsidR="000E34AA" w:rsidRPr="006E3445">
              <w:rPr>
                <w:rFonts w:ascii="Book Antiqua" w:hAnsi="Book Antiqua" w:cs="Arial"/>
                <w:b/>
              </w:rPr>
              <w:t>Decision &amp; Reasons</w:t>
            </w:r>
            <w:r w:rsidR="00283659" w:rsidRPr="006E3445">
              <w:rPr>
                <w:rFonts w:ascii="Book Antiqua" w:hAnsi="Book Antiqua" w:cs="Arial"/>
                <w:b/>
              </w:rPr>
              <w:t xml:space="preserve"> Promulgated</w:t>
            </w:r>
          </w:p>
        </w:tc>
      </w:tr>
      <w:tr w:rsidR="00D22636" w:rsidRPr="006E3445" w14:paraId="7F9B90E4" w14:textId="77777777" w:rsidTr="009C3935">
        <w:tc>
          <w:tcPr>
            <w:tcW w:w="5103" w:type="dxa"/>
            <w:shd w:val="clear" w:color="auto" w:fill="auto"/>
          </w:tcPr>
          <w:p w14:paraId="5D47AB6C" w14:textId="77777777" w:rsidR="00D22636" w:rsidRPr="006E3445" w:rsidRDefault="00D22636" w:rsidP="006E3445">
            <w:pPr>
              <w:jc w:val="both"/>
              <w:rPr>
                <w:rFonts w:ascii="Book Antiqua" w:hAnsi="Book Antiqua" w:cs="Arial"/>
                <w:b/>
              </w:rPr>
            </w:pPr>
            <w:r w:rsidRPr="006E3445">
              <w:rPr>
                <w:rFonts w:ascii="Book Antiqua" w:hAnsi="Book Antiqua" w:cs="Arial"/>
                <w:b/>
              </w:rPr>
              <w:t xml:space="preserve">On </w:t>
            </w:r>
            <w:r w:rsidR="002E49E3">
              <w:rPr>
                <w:rFonts w:ascii="Book Antiqua" w:hAnsi="Book Antiqua" w:cs="Arial"/>
                <w:b/>
              </w:rPr>
              <w:t>12</w:t>
            </w:r>
            <w:r w:rsidR="002E49E3" w:rsidRPr="002E49E3">
              <w:rPr>
                <w:rFonts w:ascii="Book Antiqua" w:hAnsi="Book Antiqua" w:cs="Arial"/>
                <w:b/>
                <w:vertAlign w:val="superscript"/>
              </w:rPr>
              <w:t>th</w:t>
            </w:r>
            <w:r w:rsidR="002E49E3">
              <w:rPr>
                <w:rFonts w:ascii="Book Antiqua" w:hAnsi="Book Antiqua" w:cs="Arial"/>
                <w:b/>
              </w:rPr>
              <w:t xml:space="preserve"> June 2018</w:t>
            </w:r>
          </w:p>
        </w:tc>
        <w:tc>
          <w:tcPr>
            <w:tcW w:w="4905" w:type="dxa"/>
            <w:shd w:val="clear" w:color="auto" w:fill="auto"/>
          </w:tcPr>
          <w:p w14:paraId="2188290D" w14:textId="43F47BA9" w:rsidR="00D22636" w:rsidRPr="006E3445" w:rsidRDefault="009C3935" w:rsidP="006E3445">
            <w:pPr>
              <w:jc w:val="both"/>
              <w:rPr>
                <w:rFonts w:ascii="Book Antiqua" w:hAnsi="Book Antiqua" w:cs="Arial"/>
                <w:b/>
              </w:rPr>
            </w:pPr>
            <w:r>
              <w:rPr>
                <w:rFonts w:ascii="Book Antiqua" w:hAnsi="Book Antiqua" w:cs="Arial"/>
                <w:b/>
              </w:rPr>
              <w:t xml:space="preserve"> </w:t>
            </w:r>
            <w:r w:rsidR="00C8780C" w:rsidRPr="00C8780C">
              <w:rPr>
                <w:rFonts w:ascii="Book Antiqua" w:hAnsi="Book Antiqua" w:cs="Arial"/>
                <w:b/>
              </w:rPr>
              <w:t>On 12</w:t>
            </w:r>
            <w:r w:rsidR="00C8780C" w:rsidRPr="00C8780C">
              <w:rPr>
                <w:rFonts w:ascii="Book Antiqua" w:hAnsi="Book Antiqua" w:cs="Arial"/>
                <w:b/>
                <w:vertAlign w:val="superscript"/>
              </w:rPr>
              <w:t>th</w:t>
            </w:r>
            <w:r w:rsidR="00C8780C" w:rsidRPr="00C8780C">
              <w:rPr>
                <w:rFonts w:ascii="Book Antiqua" w:hAnsi="Book Antiqua" w:cs="Arial"/>
                <w:b/>
              </w:rPr>
              <w:t xml:space="preserve"> September 2018</w:t>
            </w:r>
          </w:p>
        </w:tc>
      </w:tr>
      <w:tr w:rsidR="00D22636" w:rsidRPr="006E3445" w14:paraId="72AD5ABF" w14:textId="77777777" w:rsidTr="009C3935">
        <w:tc>
          <w:tcPr>
            <w:tcW w:w="5103" w:type="dxa"/>
            <w:shd w:val="clear" w:color="auto" w:fill="auto"/>
          </w:tcPr>
          <w:p w14:paraId="0E126B60" w14:textId="77777777" w:rsidR="00D22636" w:rsidRPr="006E3445" w:rsidRDefault="00D22636" w:rsidP="006E3445">
            <w:pPr>
              <w:jc w:val="both"/>
              <w:rPr>
                <w:rFonts w:ascii="Book Antiqua" w:hAnsi="Book Antiqua" w:cs="Arial"/>
                <w:b/>
              </w:rPr>
            </w:pPr>
          </w:p>
        </w:tc>
        <w:tc>
          <w:tcPr>
            <w:tcW w:w="4905" w:type="dxa"/>
            <w:shd w:val="clear" w:color="auto" w:fill="auto"/>
          </w:tcPr>
          <w:p w14:paraId="73ADEEC1" w14:textId="77777777" w:rsidR="00D22636" w:rsidRPr="006E3445" w:rsidRDefault="00D22636" w:rsidP="006E3445">
            <w:pPr>
              <w:jc w:val="both"/>
              <w:rPr>
                <w:rFonts w:ascii="Book Antiqua" w:hAnsi="Book Antiqua" w:cs="Arial"/>
                <w:b/>
              </w:rPr>
            </w:pPr>
          </w:p>
        </w:tc>
      </w:tr>
    </w:tbl>
    <w:p w14:paraId="7F7F3C4E" w14:textId="77777777" w:rsidR="00A15234" w:rsidRPr="00F5664C" w:rsidRDefault="00A15234" w:rsidP="00A15234">
      <w:pPr>
        <w:jc w:val="center"/>
        <w:rPr>
          <w:rFonts w:ascii="Book Antiqua" w:hAnsi="Book Antiqua" w:cs="Arial"/>
        </w:rPr>
      </w:pPr>
    </w:p>
    <w:p w14:paraId="6C967E6D"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647D1BB9" w14:textId="77777777" w:rsidR="00A15234" w:rsidRDefault="00A15234" w:rsidP="00A15234">
      <w:pPr>
        <w:jc w:val="center"/>
        <w:rPr>
          <w:rFonts w:ascii="Book Antiqua" w:hAnsi="Book Antiqua" w:cs="Arial"/>
          <w:b/>
        </w:rPr>
      </w:pPr>
    </w:p>
    <w:p w14:paraId="2E9D796D" w14:textId="77777777" w:rsidR="00A845DC" w:rsidRDefault="00B2116E"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4F50BF">
        <w:rPr>
          <w:rFonts w:ascii="Book Antiqua" w:hAnsi="Book Antiqua" w:cs="Arial"/>
          <w:b/>
        </w:rPr>
        <w:t>JUSS</w:t>
      </w:r>
    </w:p>
    <w:p w14:paraId="6A480FAE" w14:textId="77777777" w:rsidR="00D0262D" w:rsidRPr="00F5664C" w:rsidRDefault="00D0262D" w:rsidP="00A15234">
      <w:pPr>
        <w:jc w:val="center"/>
        <w:rPr>
          <w:rFonts w:ascii="Book Antiqua" w:hAnsi="Book Antiqua" w:cs="Arial"/>
          <w:b/>
        </w:rPr>
      </w:pPr>
    </w:p>
    <w:p w14:paraId="698E722E"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18BF451A" w14:textId="77777777" w:rsidR="00A845DC" w:rsidRPr="00F5664C" w:rsidRDefault="00A845DC" w:rsidP="00A15234">
      <w:pPr>
        <w:jc w:val="center"/>
        <w:rPr>
          <w:rFonts w:ascii="Book Antiqua" w:hAnsi="Book Antiqua" w:cs="Arial"/>
          <w:b/>
        </w:rPr>
      </w:pPr>
    </w:p>
    <w:p w14:paraId="7CCAA99E" w14:textId="77777777" w:rsidR="005E357E" w:rsidRDefault="002E49E3" w:rsidP="000E34AA">
      <w:pPr>
        <w:jc w:val="center"/>
        <w:rPr>
          <w:rFonts w:ascii="Book Antiqua" w:hAnsi="Book Antiqua" w:cs="Arial"/>
          <w:b/>
          <w:caps/>
        </w:rPr>
      </w:pPr>
      <w:r>
        <w:rPr>
          <w:rFonts w:ascii="Book Antiqua" w:hAnsi="Book Antiqua" w:cs="Arial"/>
          <w:b/>
        </w:rPr>
        <w:t>MR MUHAMMAD ADEEL UR REHMAN</w:t>
      </w:r>
      <w:r w:rsidR="005E357E" w:rsidRPr="000E34AA">
        <w:rPr>
          <w:rFonts w:ascii="Book Antiqua" w:hAnsi="Book Antiqua" w:cs="Arial"/>
          <w:b/>
          <w:caps/>
        </w:rPr>
        <w:t xml:space="preserve"> </w:t>
      </w:r>
    </w:p>
    <w:p w14:paraId="05DA14ED" w14:textId="77777777" w:rsidR="000E34AA" w:rsidRPr="009C3935" w:rsidRDefault="000E34AA" w:rsidP="000E34AA">
      <w:pPr>
        <w:jc w:val="center"/>
        <w:rPr>
          <w:rFonts w:ascii="Book Antiqua" w:hAnsi="Book Antiqua" w:cs="Arial"/>
          <w:caps/>
        </w:rPr>
      </w:pPr>
      <w:r w:rsidRPr="009C3935">
        <w:rPr>
          <w:rFonts w:ascii="Book Antiqua" w:hAnsi="Book Antiqua" w:cs="Arial"/>
          <w:caps/>
        </w:rPr>
        <w:t xml:space="preserve">(ANONYMITY DIRECTION </w:t>
      </w:r>
      <w:r w:rsidR="0029347B" w:rsidRPr="009C3935">
        <w:rPr>
          <w:rFonts w:ascii="Book Antiqua" w:hAnsi="Book Antiqua" w:cs="Arial"/>
          <w:caps/>
        </w:rPr>
        <w:t>NOT MADE</w:t>
      </w:r>
      <w:r w:rsidRPr="009C3935">
        <w:rPr>
          <w:rFonts w:ascii="Book Antiqua" w:hAnsi="Book Antiqua" w:cs="Arial"/>
          <w:caps/>
        </w:rPr>
        <w:t>)</w:t>
      </w:r>
    </w:p>
    <w:p w14:paraId="1A618BC3"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2B3B6C24" w14:textId="77777777" w:rsidR="006D1DFA" w:rsidRPr="00F5664C" w:rsidRDefault="006D1DFA" w:rsidP="00704B61">
      <w:pPr>
        <w:jc w:val="center"/>
        <w:rPr>
          <w:rFonts w:ascii="Book Antiqua" w:hAnsi="Book Antiqua" w:cs="Arial"/>
          <w:b/>
        </w:rPr>
      </w:pPr>
    </w:p>
    <w:p w14:paraId="21B072AD"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092C2946" w14:textId="77777777" w:rsidR="00DD5071" w:rsidRPr="00F5664C" w:rsidRDefault="00DD5071" w:rsidP="00704B61">
      <w:pPr>
        <w:jc w:val="center"/>
        <w:rPr>
          <w:rFonts w:ascii="Book Antiqua" w:hAnsi="Book Antiqua" w:cs="Arial"/>
          <w:b/>
        </w:rPr>
      </w:pPr>
    </w:p>
    <w:p w14:paraId="7E380E69" w14:textId="77777777" w:rsidR="00DD5071" w:rsidRPr="00F5664C" w:rsidRDefault="00965A5D" w:rsidP="00704B61">
      <w:pPr>
        <w:jc w:val="center"/>
        <w:rPr>
          <w:rFonts w:ascii="Book Antiqua" w:hAnsi="Book Antiqua" w:cs="Arial"/>
          <w:b/>
          <w:caps/>
        </w:rPr>
      </w:pPr>
      <w:r>
        <w:rPr>
          <w:rFonts w:ascii="Book Antiqua" w:hAnsi="Book Antiqua" w:cs="Arial"/>
          <w:b/>
          <w:caps/>
        </w:rPr>
        <w:t>ENTRY CLEARANCE OFFICER</w:t>
      </w:r>
    </w:p>
    <w:p w14:paraId="24A0AB1E"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42D15499" w14:textId="77777777" w:rsidR="00DD5071" w:rsidRPr="00F5664C" w:rsidRDefault="00DD5071" w:rsidP="00DD5071">
      <w:pPr>
        <w:rPr>
          <w:rFonts w:ascii="Book Antiqua" w:hAnsi="Book Antiqua" w:cs="Arial"/>
          <w:u w:val="single"/>
        </w:rPr>
      </w:pPr>
    </w:p>
    <w:p w14:paraId="73A73BFC"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71B51A8B" w14:textId="77777777" w:rsidR="00DE7DB7" w:rsidRPr="00F5664C" w:rsidRDefault="00DE7DB7" w:rsidP="00DD5071">
      <w:pPr>
        <w:rPr>
          <w:rFonts w:ascii="Book Antiqua" w:hAnsi="Book Antiqua" w:cs="Arial"/>
        </w:rPr>
      </w:pPr>
    </w:p>
    <w:p w14:paraId="4BC84B32" w14:textId="77777777" w:rsidR="00DE7DB7" w:rsidRPr="002E49E3"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2E49E3" w:rsidRPr="002E49E3">
        <w:rPr>
          <w:rFonts w:ascii="Book Antiqua" w:hAnsi="Book Antiqua" w:cs="Arial"/>
        </w:rPr>
        <w:t>Mr P Thornhill</w:t>
      </w:r>
    </w:p>
    <w:p w14:paraId="5DF98B03" w14:textId="77777777" w:rsidR="00DE7DB7" w:rsidRPr="002E49E3"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2E49E3" w:rsidRPr="002E49E3">
        <w:rPr>
          <w:rFonts w:ascii="Book Antiqua" w:hAnsi="Book Antiqua" w:cs="Arial"/>
        </w:rPr>
        <w:t xml:space="preserve">Mr A </w:t>
      </w:r>
      <w:proofErr w:type="spellStart"/>
      <w:r w:rsidR="002E49E3" w:rsidRPr="002E49E3">
        <w:rPr>
          <w:rFonts w:ascii="Book Antiqua" w:hAnsi="Book Antiqua" w:cs="Arial"/>
        </w:rPr>
        <w:t>McVeety</w:t>
      </w:r>
      <w:proofErr w:type="spellEnd"/>
      <w:r w:rsidR="002E49E3" w:rsidRPr="002E49E3">
        <w:rPr>
          <w:rFonts w:ascii="Book Antiqua" w:hAnsi="Book Antiqua" w:cs="Arial"/>
        </w:rPr>
        <w:t xml:space="preserve"> (Senior HOPO)</w:t>
      </w:r>
    </w:p>
    <w:p w14:paraId="4956E7BA" w14:textId="77777777" w:rsidR="00DE7DB7" w:rsidRPr="00F5664C" w:rsidRDefault="00DE7DB7" w:rsidP="00402B9E">
      <w:pPr>
        <w:tabs>
          <w:tab w:val="left" w:pos="2520"/>
        </w:tabs>
        <w:jc w:val="center"/>
        <w:rPr>
          <w:rFonts w:ascii="Book Antiqua" w:hAnsi="Book Antiqua" w:cs="Arial"/>
        </w:rPr>
      </w:pPr>
    </w:p>
    <w:p w14:paraId="2604AB28" w14:textId="77777777" w:rsidR="00DE7DB7" w:rsidRPr="00F5664C" w:rsidRDefault="00DE7DB7" w:rsidP="00402B9E">
      <w:pPr>
        <w:tabs>
          <w:tab w:val="left" w:pos="2520"/>
        </w:tabs>
        <w:jc w:val="center"/>
        <w:rPr>
          <w:rFonts w:ascii="Book Antiqua" w:hAnsi="Book Antiqua" w:cs="Arial"/>
        </w:rPr>
      </w:pPr>
    </w:p>
    <w:p w14:paraId="1C26D62E" w14:textId="77777777" w:rsidR="00DE7DB7" w:rsidRPr="00F5664C" w:rsidRDefault="000E34AA"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18F3627A" w14:textId="77777777" w:rsidR="00B626FA" w:rsidRPr="00856437" w:rsidRDefault="00B626FA" w:rsidP="00402B9E">
      <w:pPr>
        <w:tabs>
          <w:tab w:val="left" w:pos="2520"/>
        </w:tabs>
        <w:jc w:val="both"/>
        <w:rPr>
          <w:rFonts w:ascii="Book Antiqua" w:hAnsi="Book Antiqua" w:cs="Arial"/>
        </w:rPr>
      </w:pPr>
    </w:p>
    <w:p w14:paraId="4C15ABE6" w14:textId="77777777" w:rsidR="00457C3B" w:rsidRDefault="002E49E3" w:rsidP="00457C3B">
      <w:pPr>
        <w:numPr>
          <w:ilvl w:val="0"/>
          <w:numId w:val="3"/>
        </w:numPr>
        <w:tabs>
          <w:tab w:val="clear" w:pos="567"/>
        </w:tabs>
        <w:spacing w:before="240"/>
        <w:jc w:val="both"/>
        <w:rPr>
          <w:rFonts w:ascii="Book Antiqua" w:hAnsi="Book Antiqua" w:cs="Arial"/>
        </w:rPr>
      </w:pPr>
      <w:r>
        <w:rPr>
          <w:rFonts w:ascii="Book Antiqua" w:hAnsi="Book Antiqua" w:cs="Arial"/>
        </w:rPr>
        <w:t>This is an appeal against a determination of First-tier Tribunal Judge Farrelly</w:t>
      </w:r>
      <w:r w:rsidR="007828AB">
        <w:rPr>
          <w:rFonts w:ascii="Book Antiqua" w:hAnsi="Book Antiqua" w:cs="Arial"/>
        </w:rPr>
        <w:t>, promulgated on 15</w:t>
      </w:r>
      <w:r w:rsidR="007828AB" w:rsidRPr="007828AB">
        <w:rPr>
          <w:rFonts w:ascii="Book Antiqua" w:hAnsi="Book Antiqua" w:cs="Arial"/>
          <w:vertAlign w:val="superscript"/>
        </w:rPr>
        <w:t>th</w:t>
      </w:r>
      <w:r w:rsidR="007828AB">
        <w:rPr>
          <w:rFonts w:ascii="Book Antiqua" w:hAnsi="Book Antiqua" w:cs="Arial"/>
        </w:rPr>
        <w:t xml:space="preserve"> August 2017, following a hearing at Manchester Piccadilly on 27</w:t>
      </w:r>
      <w:r w:rsidR="007828AB" w:rsidRPr="007828AB">
        <w:rPr>
          <w:rFonts w:ascii="Book Antiqua" w:hAnsi="Book Antiqua" w:cs="Arial"/>
          <w:vertAlign w:val="superscript"/>
        </w:rPr>
        <w:t>th</w:t>
      </w:r>
      <w:r w:rsidR="007828AB">
        <w:rPr>
          <w:rFonts w:ascii="Book Antiqua" w:hAnsi="Book Antiqua" w:cs="Arial"/>
        </w:rPr>
        <w:t xml:space="preserve"> June 2017.  In the determination, the judge dismissed the appeal of the Appellant, whereupon the Appellant subsequently applied for, and was granted, permission to appeal to the Upper Tribunal, and thus the matter comes before me.</w:t>
      </w:r>
    </w:p>
    <w:p w14:paraId="76707EA1" w14:textId="77777777" w:rsidR="00AD624B" w:rsidRPr="00AD624B" w:rsidRDefault="00AD624B" w:rsidP="00AD624B">
      <w:pPr>
        <w:spacing w:before="240"/>
        <w:jc w:val="both"/>
        <w:rPr>
          <w:rFonts w:ascii="Book Antiqua" w:hAnsi="Book Antiqua" w:cs="Arial"/>
          <w:b/>
          <w:u w:val="single"/>
        </w:rPr>
      </w:pPr>
      <w:r>
        <w:rPr>
          <w:rFonts w:ascii="Book Antiqua" w:hAnsi="Book Antiqua" w:cs="Arial"/>
          <w:b/>
          <w:u w:val="single"/>
        </w:rPr>
        <w:t xml:space="preserve">The Appellant </w:t>
      </w:r>
    </w:p>
    <w:p w14:paraId="54B6CBCA" w14:textId="77777777" w:rsidR="00AD624B" w:rsidRDefault="00AD624B" w:rsidP="00457C3B">
      <w:pPr>
        <w:numPr>
          <w:ilvl w:val="0"/>
          <w:numId w:val="3"/>
        </w:numPr>
        <w:tabs>
          <w:tab w:val="clear" w:pos="567"/>
        </w:tabs>
        <w:spacing w:before="240"/>
        <w:jc w:val="both"/>
        <w:rPr>
          <w:rFonts w:ascii="Book Antiqua" w:hAnsi="Book Antiqua" w:cs="Arial"/>
        </w:rPr>
      </w:pPr>
      <w:r>
        <w:rPr>
          <w:rFonts w:ascii="Book Antiqua" w:hAnsi="Book Antiqua" w:cs="Arial"/>
        </w:rPr>
        <w:t>The Appellant is a male, a citizen of Pakistan, and was born on 29</w:t>
      </w:r>
      <w:r w:rsidRPr="00AD624B">
        <w:rPr>
          <w:rFonts w:ascii="Book Antiqua" w:hAnsi="Book Antiqua" w:cs="Arial"/>
          <w:vertAlign w:val="superscript"/>
        </w:rPr>
        <w:t>th</w:t>
      </w:r>
      <w:r>
        <w:rPr>
          <w:rFonts w:ascii="Book Antiqua" w:hAnsi="Book Antiqua" w:cs="Arial"/>
        </w:rPr>
        <w:t xml:space="preserve"> August 1988.  He appealed against the decision of a refusal of entry clearance by the ECO in Pakistan, </w:t>
      </w:r>
      <w:r>
        <w:rPr>
          <w:rFonts w:ascii="Book Antiqua" w:hAnsi="Book Antiqua" w:cs="Arial"/>
        </w:rPr>
        <w:lastRenderedPageBreak/>
        <w:t>the refusal being dated 1</w:t>
      </w:r>
      <w:r w:rsidRPr="00AD624B">
        <w:rPr>
          <w:rFonts w:ascii="Book Antiqua" w:hAnsi="Book Antiqua" w:cs="Arial"/>
          <w:vertAlign w:val="superscript"/>
        </w:rPr>
        <w:t>st</w:t>
      </w:r>
      <w:r>
        <w:rPr>
          <w:rFonts w:ascii="Book Antiqua" w:hAnsi="Book Antiqua" w:cs="Arial"/>
        </w:rPr>
        <w:t xml:space="preserve"> September 2015.  The basis of the refusal was that under paragraph 320(11) of HC 395, the Appellant had breached the conditions of his previous leave to remain in the UK as a student by working.  He had also obtained leave</w:t>
      </w:r>
      <w:r w:rsidR="00154403">
        <w:rPr>
          <w:rFonts w:ascii="Book Antiqua" w:hAnsi="Book Antiqua" w:cs="Arial"/>
        </w:rPr>
        <w:t xml:space="preserve"> to remain</w:t>
      </w:r>
      <w:r>
        <w:rPr>
          <w:rFonts w:ascii="Book Antiqua" w:hAnsi="Book Antiqua" w:cs="Arial"/>
        </w:rPr>
        <w:t xml:space="preserve"> by deception because he submitted an English language test certificate which was obtained by impersonation.  There were aggravating</w:t>
      </w:r>
      <w:r w:rsidR="00A25D24">
        <w:rPr>
          <w:rFonts w:ascii="Book Antiqua" w:hAnsi="Book Antiqua" w:cs="Arial"/>
        </w:rPr>
        <w:t xml:space="preserve"> circumstances and he had made</w:t>
      </w:r>
      <w:r>
        <w:rPr>
          <w:rFonts w:ascii="Book Antiqua" w:hAnsi="Book Antiqua" w:cs="Arial"/>
        </w:rPr>
        <w:t xml:space="preserve"> vexatious applications after being encountered in order to delay his removal.</w:t>
      </w:r>
    </w:p>
    <w:p w14:paraId="03B4F468" w14:textId="77777777" w:rsidR="00A25D24" w:rsidRPr="00A25D24" w:rsidRDefault="00A25D24" w:rsidP="00A25D24">
      <w:pPr>
        <w:spacing w:before="240"/>
        <w:jc w:val="both"/>
        <w:rPr>
          <w:rFonts w:ascii="Book Antiqua" w:hAnsi="Book Antiqua" w:cs="Arial"/>
          <w:b/>
          <w:u w:val="single"/>
        </w:rPr>
      </w:pPr>
      <w:r>
        <w:rPr>
          <w:rFonts w:ascii="Book Antiqua" w:hAnsi="Book Antiqua" w:cs="Arial"/>
          <w:b/>
          <w:u w:val="single"/>
        </w:rPr>
        <w:t>The Judge’s Findings</w:t>
      </w:r>
    </w:p>
    <w:p w14:paraId="5010DC19" w14:textId="77777777" w:rsidR="00A25D24" w:rsidRDefault="00A25D24" w:rsidP="00457C3B">
      <w:pPr>
        <w:numPr>
          <w:ilvl w:val="0"/>
          <w:numId w:val="3"/>
        </w:numPr>
        <w:tabs>
          <w:tab w:val="clear" w:pos="567"/>
        </w:tabs>
        <w:spacing w:before="240"/>
        <w:jc w:val="both"/>
        <w:rPr>
          <w:rFonts w:ascii="Book Antiqua" w:hAnsi="Book Antiqua" w:cs="Arial"/>
        </w:rPr>
      </w:pPr>
      <w:r>
        <w:rPr>
          <w:rFonts w:ascii="Book Antiqua" w:hAnsi="Book Antiqua" w:cs="Arial"/>
        </w:rPr>
        <w:t>Judge Farrelly in refusing the Appellant’s appeal, observed that the major reason behind the refusal by the Entry Clearance Officer related to the fact that the Appellant had engaged in fraud when taking his English language test, but also that “the Appellant was required to report and on more than one occasion failed to do so”, although he “attributed this to a back problem”.  The judge went on to observe that, “there are other aggravating circumstances that she is not meeting reporting requirements or making frivolous applications” (paragraph 12).  In addition, the judge observed that his task had been made easier “by the very detailed decision of Judge of First-tier Tribunal Devlin” when the Appellant had made an earlier in-country application as a partner (paragraph 13).</w:t>
      </w:r>
      <w:r w:rsidR="00C37666">
        <w:rPr>
          <w:rFonts w:ascii="Book Antiqua" w:hAnsi="Book Antiqua" w:cs="Arial"/>
        </w:rPr>
        <w:t xml:space="preserve">  In that determination, the judge had not found the Appellant to be a credible witness and his sponsoring wife had continued to support his claim notwithstanding this (paragraph 15).</w:t>
      </w:r>
    </w:p>
    <w:p w14:paraId="31D88C44" w14:textId="77777777" w:rsidR="008530D4" w:rsidRDefault="008530D4" w:rsidP="00457C3B">
      <w:pPr>
        <w:numPr>
          <w:ilvl w:val="0"/>
          <w:numId w:val="3"/>
        </w:numPr>
        <w:tabs>
          <w:tab w:val="clear" w:pos="567"/>
        </w:tabs>
        <w:spacing w:before="240"/>
        <w:jc w:val="both"/>
        <w:rPr>
          <w:rFonts w:ascii="Book Antiqua" w:hAnsi="Book Antiqua" w:cs="Arial"/>
        </w:rPr>
      </w:pPr>
      <w:r>
        <w:rPr>
          <w:rFonts w:ascii="Book Antiqua" w:hAnsi="Book Antiqua" w:cs="Arial"/>
        </w:rPr>
        <w:t>The appeal was dismissed.</w:t>
      </w:r>
    </w:p>
    <w:p w14:paraId="5B89D6BB" w14:textId="77777777" w:rsidR="008530D4" w:rsidRPr="008530D4" w:rsidRDefault="008530D4" w:rsidP="008530D4">
      <w:pPr>
        <w:spacing w:before="240"/>
        <w:jc w:val="both"/>
        <w:rPr>
          <w:rFonts w:ascii="Book Antiqua" w:hAnsi="Book Antiqua" w:cs="Arial"/>
          <w:b/>
          <w:u w:val="single"/>
        </w:rPr>
      </w:pPr>
      <w:r>
        <w:rPr>
          <w:rFonts w:ascii="Book Antiqua" w:hAnsi="Book Antiqua" w:cs="Arial"/>
          <w:b/>
          <w:u w:val="single"/>
        </w:rPr>
        <w:t>The Grant of Permission</w:t>
      </w:r>
    </w:p>
    <w:p w14:paraId="51FFAF74" w14:textId="77777777" w:rsidR="008530D4" w:rsidRDefault="008530D4" w:rsidP="00457C3B">
      <w:pPr>
        <w:numPr>
          <w:ilvl w:val="0"/>
          <w:numId w:val="3"/>
        </w:numPr>
        <w:tabs>
          <w:tab w:val="clear" w:pos="567"/>
        </w:tabs>
        <w:spacing w:before="240"/>
        <w:jc w:val="both"/>
        <w:rPr>
          <w:rFonts w:ascii="Book Antiqua" w:hAnsi="Book Antiqua" w:cs="Arial"/>
        </w:rPr>
      </w:pPr>
      <w:r>
        <w:rPr>
          <w:rFonts w:ascii="Book Antiqua" w:hAnsi="Book Antiqua" w:cs="Arial"/>
        </w:rPr>
        <w:t>Permission to appeal was granted on 20</w:t>
      </w:r>
      <w:r w:rsidRPr="008530D4">
        <w:rPr>
          <w:rFonts w:ascii="Book Antiqua" w:hAnsi="Book Antiqua" w:cs="Arial"/>
          <w:vertAlign w:val="superscript"/>
        </w:rPr>
        <w:t>th</w:t>
      </w:r>
      <w:r>
        <w:rPr>
          <w:rFonts w:ascii="Book Antiqua" w:hAnsi="Book Antiqua" w:cs="Arial"/>
        </w:rPr>
        <w:t xml:space="preserve"> February 2018 on the basis that the judge failed to make proper </w:t>
      </w:r>
      <w:r w:rsidR="00A3732C">
        <w:rPr>
          <w:rFonts w:ascii="Book Antiqua" w:hAnsi="Book Antiqua" w:cs="Arial"/>
        </w:rPr>
        <w:t>findings in relation to paragraph 320(11) because the Appellant had only made two applications for leave to remain, such that it could not be said that there had been a multitude of applications.  Moreover, he had only failed to report once, such that it could not be said that there had been repeated failures on his part to report to the authorities.  The judge had concluded that the Appellant should make a fresh entry clearance application, but such a conclusion was unsustainable given that it was coloured by the judge’s apparent acceptance that paragraph 320(11) a</w:t>
      </w:r>
      <w:r w:rsidR="005D4F3A">
        <w:rPr>
          <w:rFonts w:ascii="Book Antiqua" w:hAnsi="Book Antiqua" w:cs="Arial"/>
        </w:rPr>
        <w:t xml:space="preserve">pplied so as to give grants </w:t>
      </w:r>
      <w:r w:rsidR="00A3732C">
        <w:rPr>
          <w:rFonts w:ascii="Book Antiqua" w:hAnsi="Book Antiqua" w:cs="Arial"/>
        </w:rPr>
        <w:t>f</w:t>
      </w:r>
      <w:r w:rsidR="005D4F3A">
        <w:rPr>
          <w:rFonts w:ascii="Book Antiqua" w:hAnsi="Book Antiqua" w:cs="Arial"/>
        </w:rPr>
        <w:t>or</w:t>
      </w:r>
      <w:r w:rsidR="00A3732C">
        <w:rPr>
          <w:rFonts w:ascii="Book Antiqua" w:hAnsi="Book Antiqua" w:cs="Arial"/>
        </w:rPr>
        <w:t xml:space="preserve"> any fut</w:t>
      </w:r>
      <w:r w:rsidR="00FD23A3">
        <w:rPr>
          <w:rFonts w:ascii="Book Antiqua" w:hAnsi="Book Antiqua" w:cs="Arial"/>
        </w:rPr>
        <w:t>ure application to be re</w:t>
      </w:r>
      <w:r w:rsidR="00A3732C">
        <w:rPr>
          <w:rFonts w:ascii="Book Antiqua" w:hAnsi="Book Antiqua" w:cs="Arial"/>
        </w:rPr>
        <w:t>f</w:t>
      </w:r>
      <w:r w:rsidR="00FD23A3">
        <w:rPr>
          <w:rFonts w:ascii="Book Antiqua" w:hAnsi="Book Antiqua" w:cs="Arial"/>
        </w:rPr>
        <w:t>u</w:t>
      </w:r>
      <w:r w:rsidR="00A3732C">
        <w:rPr>
          <w:rFonts w:ascii="Book Antiqua" w:hAnsi="Book Antiqua" w:cs="Arial"/>
        </w:rPr>
        <w:t>sed.</w:t>
      </w:r>
    </w:p>
    <w:p w14:paraId="58FAE814" w14:textId="77777777" w:rsidR="00F3048B" w:rsidRDefault="00FD23A3" w:rsidP="00457C3B">
      <w:pPr>
        <w:numPr>
          <w:ilvl w:val="0"/>
          <w:numId w:val="3"/>
        </w:numPr>
        <w:tabs>
          <w:tab w:val="clear" w:pos="567"/>
        </w:tabs>
        <w:spacing w:before="240"/>
        <w:jc w:val="both"/>
        <w:rPr>
          <w:rFonts w:ascii="Book Antiqua" w:hAnsi="Book Antiqua" w:cs="Arial"/>
        </w:rPr>
      </w:pPr>
      <w:r>
        <w:rPr>
          <w:rFonts w:ascii="Book Antiqua" w:hAnsi="Book Antiqua" w:cs="Arial"/>
        </w:rPr>
        <w:t>On 20</w:t>
      </w:r>
      <w:r w:rsidRPr="00FD23A3">
        <w:rPr>
          <w:rFonts w:ascii="Book Antiqua" w:hAnsi="Book Antiqua" w:cs="Arial"/>
          <w:vertAlign w:val="superscript"/>
        </w:rPr>
        <w:t>th</w:t>
      </w:r>
      <w:r>
        <w:rPr>
          <w:rFonts w:ascii="Book Antiqua" w:hAnsi="Book Antiqua" w:cs="Arial"/>
        </w:rPr>
        <w:t xml:space="preserve"> March 2018, a Rule 24 response was entered to the effect that </w:t>
      </w:r>
    </w:p>
    <w:p w14:paraId="2CA63988" w14:textId="77777777" w:rsidR="00FD23A3" w:rsidRDefault="00FD23A3" w:rsidP="00F3048B">
      <w:pPr>
        <w:spacing w:before="240"/>
        <w:ind w:left="1134"/>
        <w:jc w:val="both"/>
        <w:rPr>
          <w:rFonts w:ascii="Book Antiqua" w:hAnsi="Book Antiqua" w:cs="Arial"/>
        </w:rPr>
      </w:pPr>
      <w:r>
        <w:rPr>
          <w:rFonts w:ascii="Book Antiqua" w:hAnsi="Book Antiqua" w:cs="Arial"/>
        </w:rPr>
        <w:t>“</w:t>
      </w:r>
      <w:r w:rsidR="00F3048B">
        <w:rPr>
          <w:rFonts w:ascii="Book Antiqua" w:hAnsi="Book Antiqua" w:cs="Arial"/>
        </w:rPr>
        <w:t xml:space="preserve">The </w:t>
      </w:r>
      <w:r>
        <w:rPr>
          <w:rFonts w:ascii="Book Antiqua" w:hAnsi="Book Antiqua" w:cs="Arial"/>
        </w:rPr>
        <w:t>Respondent does not oppose the Appellant’s application for permission to appeal and invites the Tribunal to determine the appeal with a fresh oral (continuance) hearing to consider the refusal under paragraph 320(11) …” (see paragraph 2).</w:t>
      </w:r>
    </w:p>
    <w:p w14:paraId="7FF9F051" w14:textId="77777777" w:rsidR="00F3048B" w:rsidRPr="00F3048B" w:rsidRDefault="00F3048B" w:rsidP="00F3048B">
      <w:pPr>
        <w:spacing w:before="240"/>
        <w:jc w:val="both"/>
        <w:rPr>
          <w:rFonts w:ascii="Book Antiqua" w:hAnsi="Book Antiqua" w:cs="Arial"/>
          <w:b/>
          <w:u w:val="single"/>
        </w:rPr>
      </w:pPr>
      <w:r>
        <w:rPr>
          <w:rFonts w:ascii="Book Antiqua" w:hAnsi="Book Antiqua" w:cs="Arial"/>
          <w:b/>
          <w:u w:val="single"/>
        </w:rPr>
        <w:t>The Hearing</w:t>
      </w:r>
    </w:p>
    <w:p w14:paraId="3285526E" w14:textId="77777777" w:rsidR="00C26CF4" w:rsidRDefault="00F3048B" w:rsidP="00457C3B">
      <w:pPr>
        <w:numPr>
          <w:ilvl w:val="0"/>
          <w:numId w:val="3"/>
        </w:numPr>
        <w:tabs>
          <w:tab w:val="clear" w:pos="567"/>
        </w:tabs>
        <w:spacing w:before="240"/>
        <w:jc w:val="both"/>
        <w:rPr>
          <w:rFonts w:ascii="Book Antiqua" w:hAnsi="Book Antiqua" w:cs="Arial"/>
        </w:rPr>
      </w:pPr>
      <w:r>
        <w:rPr>
          <w:rFonts w:ascii="Book Antiqua" w:hAnsi="Book Antiqua" w:cs="Arial"/>
        </w:rPr>
        <w:t>At the hearing before me on 12</w:t>
      </w:r>
      <w:r w:rsidRPr="00F3048B">
        <w:rPr>
          <w:rFonts w:ascii="Book Antiqua" w:hAnsi="Book Antiqua" w:cs="Arial"/>
          <w:vertAlign w:val="superscript"/>
        </w:rPr>
        <w:t>th</w:t>
      </w:r>
      <w:r>
        <w:rPr>
          <w:rFonts w:ascii="Book Antiqua" w:hAnsi="Book Antiqua" w:cs="Arial"/>
        </w:rPr>
        <w:t xml:space="preserve"> June 2018, Mr Thornhill, appearing on behalf of the Appellant, submit</w:t>
      </w:r>
      <w:r w:rsidR="00C26CF4">
        <w:rPr>
          <w:rFonts w:ascii="Book Antiqua" w:hAnsi="Book Antiqua" w:cs="Arial"/>
        </w:rPr>
        <w:t>ted that the essential issue</w:t>
      </w:r>
      <w:r>
        <w:rPr>
          <w:rFonts w:ascii="Book Antiqua" w:hAnsi="Book Antiqua" w:cs="Arial"/>
        </w:rPr>
        <w:t xml:space="preserve"> in this appeal</w:t>
      </w:r>
      <w:r w:rsidR="00C26CF4">
        <w:rPr>
          <w:rFonts w:ascii="Book Antiqua" w:hAnsi="Book Antiqua" w:cs="Arial"/>
        </w:rPr>
        <w:t xml:space="preserve"> was</w:t>
      </w:r>
      <w:r>
        <w:rPr>
          <w:rFonts w:ascii="Book Antiqua" w:hAnsi="Book Antiqua" w:cs="Arial"/>
        </w:rPr>
        <w:t xml:space="preserve"> to do with the proper construction of paragraph 320(11).  A rejection on the basis of this paragraph was </w:t>
      </w:r>
      <w:r>
        <w:rPr>
          <w:rFonts w:ascii="Book Antiqua" w:hAnsi="Book Antiqua" w:cs="Arial"/>
        </w:rPr>
        <w:lastRenderedPageBreak/>
        <w:t>“discretionary” and not “mandatory”.  This meant that the decision mak</w:t>
      </w:r>
      <w:r w:rsidR="00435EF5">
        <w:rPr>
          <w:rFonts w:ascii="Book Antiqua" w:hAnsi="Book Antiqua" w:cs="Arial"/>
        </w:rPr>
        <w:t xml:space="preserve">er had to consider </w:t>
      </w:r>
      <w:r>
        <w:rPr>
          <w:rFonts w:ascii="Book Antiqua" w:hAnsi="Book Antiqua" w:cs="Arial"/>
        </w:rPr>
        <w:t>there were indeed “aggravating” circumstances.  In this case, there were none.  The Appellant had not habitually failed to comply with his reporting requirements.  In the same</w:t>
      </w:r>
      <w:r w:rsidR="00C26CF4">
        <w:rPr>
          <w:rFonts w:ascii="Book Antiqua" w:hAnsi="Book Antiqua" w:cs="Arial"/>
        </w:rPr>
        <w:t xml:space="preserve"> way</w:t>
      </w:r>
      <w:r>
        <w:rPr>
          <w:rFonts w:ascii="Book Antiqua" w:hAnsi="Book Antiqua" w:cs="Arial"/>
        </w:rPr>
        <w:t>, he had not made frivolous applications.  He had only made one leave to remain application, and when that was refused by the Visa Officer, he raised a human rights appeal, expressly on the basis that he had a wife in the UK, and a child, who was now 2 years of age, being born on 24</w:t>
      </w:r>
      <w:r w:rsidRPr="00F3048B">
        <w:rPr>
          <w:rFonts w:ascii="Book Antiqua" w:hAnsi="Book Antiqua" w:cs="Arial"/>
          <w:vertAlign w:val="superscript"/>
        </w:rPr>
        <w:t>th</w:t>
      </w:r>
      <w:r>
        <w:rPr>
          <w:rFonts w:ascii="Book Antiqua" w:hAnsi="Book Antiqua" w:cs="Arial"/>
        </w:rPr>
        <w:t xml:space="preserve"> October 2016.  As a question of fact, therefore, there had been an error.  </w:t>
      </w:r>
    </w:p>
    <w:p w14:paraId="3FB81B4E" w14:textId="77777777" w:rsidR="0093195C" w:rsidRPr="00C26CF4" w:rsidRDefault="00F3048B" w:rsidP="00C26CF4">
      <w:pPr>
        <w:numPr>
          <w:ilvl w:val="0"/>
          <w:numId w:val="3"/>
        </w:numPr>
        <w:tabs>
          <w:tab w:val="clear" w:pos="567"/>
        </w:tabs>
        <w:spacing w:before="240"/>
        <w:jc w:val="both"/>
        <w:rPr>
          <w:rFonts w:ascii="Book Antiqua" w:hAnsi="Book Antiqua" w:cs="Arial"/>
        </w:rPr>
      </w:pPr>
      <w:r>
        <w:rPr>
          <w:rFonts w:ascii="Book Antiqua" w:hAnsi="Book Antiqua" w:cs="Arial"/>
        </w:rPr>
        <w:t>Second, the Home Office Guidance Notes makes it clear that the interpretation of “discretionary” falls to be applied in three stages.  First, there is the breach itself (such as overstaying or remaining without leave</w:t>
      </w:r>
      <w:r w:rsidR="00435EF5">
        <w:rPr>
          <w:rFonts w:ascii="Book Antiqua" w:hAnsi="Book Antiqua" w:cs="Arial"/>
        </w:rPr>
        <w:t>)</w:t>
      </w:r>
      <w:r>
        <w:rPr>
          <w:rFonts w:ascii="Book Antiqua" w:hAnsi="Book Antiqua" w:cs="Arial"/>
        </w:rPr>
        <w:t xml:space="preserve">.  Second, there is the existence of “aggravating circumstances”.  </w:t>
      </w:r>
      <w:r w:rsidRPr="00C26CF4">
        <w:rPr>
          <w:rFonts w:ascii="Book Antiqua" w:hAnsi="Book Antiqua" w:cs="Arial"/>
        </w:rPr>
        <w:t>Third, there is the exercise of discretion, and here the Guidance Notes make it quite clear that “all cases must be considered on their merits”, in order to assess “if</w:t>
      </w:r>
      <w:r w:rsidR="007E5339" w:rsidRPr="00C26CF4">
        <w:rPr>
          <w:rFonts w:ascii="Book Antiqua" w:hAnsi="Book Antiqua" w:cs="Arial"/>
        </w:rPr>
        <w:t xml:space="preserve"> they meet the threshold under paragraph 320(11)</w:t>
      </w:r>
      <w:r w:rsidR="004E62D5" w:rsidRPr="00C26CF4">
        <w:rPr>
          <w:rFonts w:ascii="Book Antiqua" w:hAnsi="Book Antiqua" w:cs="Arial"/>
        </w:rPr>
        <w:t>”</w:t>
      </w:r>
      <w:r w:rsidR="007E5339" w:rsidRPr="00C26CF4">
        <w:rPr>
          <w:rFonts w:ascii="Book Antiqua" w:hAnsi="Book Antiqua" w:cs="Arial"/>
        </w:rPr>
        <w:t>.</w:t>
      </w:r>
      <w:r w:rsidR="004E1AF1" w:rsidRPr="00C26CF4">
        <w:rPr>
          <w:rFonts w:ascii="Book Antiqua" w:hAnsi="Book Antiqua" w:cs="Arial"/>
        </w:rPr>
        <w:t xml:space="preserve">  This was </w:t>
      </w:r>
      <w:r w:rsidR="004E62D5" w:rsidRPr="00C26CF4">
        <w:rPr>
          <w:rFonts w:ascii="Book Antiqua" w:hAnsi="Book Antiqua" w:cs="Arial"/>
        </w:rPr>
        <w:t>a case where the Appellant had</w:t>
      </w:r>
      <w:r w:rsidR="00C26CF4">
        <w:rPr>
          <w:rFonts w:ascii="Book Antiqua" w:hAnsi="Book Antiqua" w:cs="Arial"/>
        </w:rPr>
        <w:t xml:space="preserve"> undertaken reporting over</w:t>
      </w:r>
      <w:r w:rsidR="004E1AF1" w:rsidRPr="00C26CF4">
        <w:rPr>
          <w:rFonts w:ascii="Book Antiqua" w:hAnsi="Book Antiqua" w:cs="Arial"/>
        </w:rPr>
        <w:t xml:space="preserve"> a prolonged period of time, this being from May 2014 to April 2015, after which she had returned to Pakistan.</w:t>
      </w:r>
      <w:r w:rsidR="0093195C" w:rsidRPr="00C26CF4">
        <w:rPr>
          <w:rFonts w:ascii="Book Antiqua" w:hAnsi="Book Antiqua" w:cs="Arial"/>
        </w:rPr>
        <w:t xml:space="preserve">  There had been 24 reporting days and the Appellant had only missed one.  He missed that one day because he simply forgot.  A few days later he telephoned to own up to this and apologised for having forgotten.  </w:t>
      </w:r>
    </w:p>
    <w:p w14:paraId="14FC54E8" w14:textId="77777777" w:rsidR="00C52F0B" w:rsidRDefault="0093195C" w:rsidP="00457C3B">
      <w:pPr>
        <w:numPr>
          <w:ilvl w:val="0"/>
          <w:numId w:val="3"/>
        </w:numPr>
        <w:tabs>
          <w:tab w:val="clear" w:pos="567"/>
        </w:tabs>
        <w:spacing w:before="240"/>
        <w:jc w:val="both"/>
        <w:rPr>
          <w:rFonts w:ascii="Book Antiqua" w:hAnsi="Book Antiqua" w:cs="Arial"/>
        </w:rPr>
      </w:pPr>
      <w:r>
        <w:rPr>
          <w:rFonts w:ascii="Book Antiqua" w:hAnsi="Book Antiqua" w:cs="Arial"/>
        </w:rPr>
        <w:t xml:space="preserve">For his part, Mr </w:t>
      </w:r>
      <w:proofErr w:type="spellStart"/>
      <w:r>
        <w:rPr>
          <w:rFonts w:ascii="Book Antiqua" w:hAnsi="Book Antiqua" w:cs="Arial"/>
        </w:rPr>
        <w:t>McVeety</w:t>
      </w:r>
      <w:proofErr w:type="spellEnd"/>
      <w:r>
        <w:rPr>
          <w:rFonts w:ascii="Book Antiqua" w:hAnsi="Book Antiqua" w:cs="Arial"/>
        </w:rPr>
        <w:t xml:space="preserve"> submitted that he will place reliance upon the Rule 24 response, and that the appeal was not opposed, and the main question now was whether this matter ought to return back to the First-tier Tribunal so that all the evidence can be considered afresh with a view to deciding whether the Appellant can put forward “specified evidence” that goes to his application for entry clearance.</w:t>
      </w:r>
    </w:p>
    <w:p w14:paraId="2F520C64" w14:textId="77777777" w:rsidR="00C26CF4" w:rsidRDefault="00C52F0B" w:rsidP="00457C3B">
      <w:pPr>
        <w:numPr>
          <w:ilvl w:val="0"/>
          <w:numId w:val="3"/>
        </w:numPr>
        <w:tabs>
          <w:tab w:val="clear" w:pos="567"/>
        </w:tabs>
        <w:spacing w:before="240"/>
        <w:jc w:val="both"/>
        <w:rPr>
          <w:rFonts w:ascii="Book Antiqua" w:hAnsi="Book Antiqua" w:cs="Arial"/>
        </w:rPr>
      </w:pPr>
      <w:r>
        <w:rPr>
          <w:rFonts w:ascii="Book Antiqua" w:hAnsi="Book Antiqua" w:cs="Arial"/>
        </w:rPr>
        <w:t>In reply, Mr Thornhill submitted that the Appellant would have to show that his sponsoring wife earned the requisite</w:t>
      </w:r>
      <w:r w:rsidR="0093195C">
        <w:rPr>
          <w:rFonts w:ascii="Book Antiqua" w:hAnsi="Book Antiqua" w:cs="Arial"/>
        </w:rPr>
        <w:t xml:space="preserve"> </w:t>
      </w:r>
      <w:r>
        <w:rPr>
          <w:rFonts w:ascii="Book Antiqua" w:hAnsi="Book Antiqua" w:cs="Arial"/>
        </w:rPr>
        <w:t xml:space="preserve">£18,600 per annum, which she was now able to do given that she had a new job (as referred to by the grant of permission by the Upper Tribunal); that the Appellant could comply with the English language test requirement; that there had been cohabitation between the two of them (which would not be difficult to show given that there was a child of the marriage).  </w:t>
      </w:r>
    </w:p>
    <w:p w14:paraId="79B2366F" w14:textId="77777777" w:rsidR="00C26CF4" w:rsidRDefault="00C52F0B" w:rsidP="00457C3B">
      <w:pPr>
        <w:numPr>
          <w:ilvl w:val="0"/>
          <w:numId w:val="3"/>
        </w:numPr>
        <w:tabs>
          <w:tab w:val="clear" w:pos="567"/>
        </w:tabs>
        <w:spacing w:before="240"/>
        <w:jc w:val="both"/>
        <w:rPr>
          <w:rFonts w:ascii="Book Antiqua" w:hAnsi="Book Antiqua" w:cs="Arial"/>
        </w:rPr>
      </w:pPr>
      <w:r>
        <w:rPr>
          <w:rFonts w:ascii="Book Antiqua" w:hAnsi="Book Antiqua" w:cs="Arial"/>
        </w:rPr>
        <w:t>Mr</w:t>
      </w:r>
      <w:r w:rsidR="00E11384">
        <w:rPr>
          <w:rFonts w:ascii="Book Antiqua" w:hAnsi="Book Antiqua" w:cs="Arial"/>
        </w:rPr>
        <w:t xml:space="preserve"> Thornhill submitted that the Appellant had only failed on the threshold of “suitability” because when failing in his application he had to enter in a box a statement whether he had ever been deported, removed, “or otherwise required to leave the country” and he had said No, because he had himself wilfully returned back to Pakistan, without being forced</w:t>
      </w:r>
      <w:r w:rsidR="005C7C64">
        <w:rPr>
          <w:rFonts w:ascii="Book Antiqua" w:hAnsi="Book Antiqua" w:cs="Arial"/>
        </w:rPr>
        <w:t xml:space="preserve"> to do so, but that was his misunderstanding, and it was the way in which she had understood the import of these requirements, but not such as would now prevent him from making another application. </w:t>
      </w:r>
    </w:p>
    <w:p w14:paraId="44DF45EC" w14:textId="77777777" w:rsidR="00F3048B" w:rsidRDefault="005C7C64" w:rsidP="00457C3B">
      <w:pPr>
        <w:numPr>
          <w:ilvl w:val="0"/>
          <w:numId w:val="3"/>
        </w:numPr>
        <w:tabs>
          <w:tab w:val="clear" w:pos="567"/>
        </w:tabs>
        <w:spacing w:before="240"/>
        <w:jc w:val="both"/>
        <w:rPr>
          <w:rFonts w:ascii="Book Antiqua" w:hAnsi="Book Antiqua" w:cs="Arial"/>
        </w:rPr>
      </w:pPr>
      <w:r>
        <w:rPr>
          <w:rFonts w:ascii="Book Antiqua" w:hAnsi="Book Antiqua" w:cs="Arial"/>
        </w:rPr>
        <w:t>This the Appellant could do over a five year period during which time there was a valid appeal before the immigration authorities because the Rules allowed him so to do, which meant that if this matter could be remitted back to the First-tier Tribunal, the Appellant would not lose the benefit of the five year period.</w:t>
      </w:r>
    </w:p>
    <w:p w14:paraId="6BDD124A" w14:textId="77777777" w:rsidR="009C3935" w:rsidRDefault="009C3935" w:rsidP="00502E9E">
      <w:pPr>
        <w:spacing w:before="240"/>
        <w:jc w:val="both"/>
        <w:rPr>
          <w:rFonts w:ascii="Book Antiqua" w:hAnsi="Book Antiqua" w:cs="Arial"/>
          <w:b/>
          <w:u w:val="single"/>
        </w:rPr>
      </w:pPr>
    </w:p>
    <w:p w14:paraId="448A437A" w14:textId="2ABB3B42" w:rsidR="00502E9E" w:rsidRPr="00502E9E" w:rsidRDefault="00502E9E" w:rsidP="00502E9E">
      <w:pPr>
        <w:spacing w:before="240"/>
        <w:jc w:val="both"/>
        <w:rPr>
          <w:rFonts w:ascii="Book Antiqua" w:hAnsi="Book Antiqua" w:cs="Arial"/>
          <w:b/>
          <w:u w:val="single"/>
        </w:rPr>
      </w:pPr>
      <w:r>
        <w:rPr>
          <w:rFonts w:ascii="Book Antiqua" w:hAnsi="Book Antiqua" w:cs="Arial"/>
          <w:b/>
          <w:u w:val="single"/>
        </w:rPr>
        <w:lastRenderedPageBreak/>
        <w:t>Error of Law</w:t>
      </w:r>
    </w:p>
    <w:p w14:paraId="074B89DF" w14:textId="77777777" w:rsidR="00C26CF4" w:rsidRDefault="00502E9E" w:rsidP="00FB593A">
      <w:pPr>
        <w:numPr>
          <w:ilvl w:val="0"/>
          <w:numId w:val="3"/>
        </w:numPr>
        <w:tabs>
          <w:tab w:val="clear" w:pos="567"/>
        </w:tabs>
        <w:spacing w:before="240"/>
        <w:jc w:val="both"/>
        <w:rPr>
          <w:rFonts w:ascii="Book Antiqua" w:hAnsi="Book Antiqua" w:cs="Arial"/>
        </w:rPr>
      </w:pPr>
      <w:r>
        <w:rPr>
          <w:rFonts w:ascii="Book Antiqua" w:hAnsi="Book Antiqua" w:cs="Arial"/>
        </w:rPr>
        <w:t>I am satisfied that the making of the decision by the judge involved the making of an error on a point of law (see Section 12(1) of TCEA 2007) such that I should set aside the decision.  My reasons are as follows.</w:t>
      </w:r>
      <w:r w:rsidR="007D1185">
        <w:rPr>
          <w:rFonts w:ascii="Book Antiqua" w:hAnsi="Book Antiqua" w:cs="Arial"/>
        </w:rPr>
        <w:t xml:space="preserve">  Paragraph 320(11) of the Immigration Rules is discretionary in its application.  It looks to “aggravating” circumstances.  </w:t>
      </w:r>
    </w:p>
    <w:p w14:paraId="77F4EEB9" w14:textId="77777777" w:rsidR="00C26CF4" w:rsidRDefault="007D1185" w:rsidP="00FB593A">
      <w:pPr>
        <w:numPr>
          <w:ilvl w:val="0"/>
          <w:numId w:val="3"/>
        </w:numPr>
        <w:tabs>
          <w:tab w:val="clear" w:pos="567"/>
        </w:tabs>
        <w:spacing w:before="240"/>
        <w:jc w:val="both"/>
        <w:rPr>
          <w:rFonts w:ascii="Book Antiqua" w:hAnsi="Book Antiqua" w:cs="Arial"/>
        </w:rPr>
      </w:pPr>
      <w:r>
        <w:rPr>
          <w:rFonts w:ascii="Book Antiqua" w:hAnsi="Book Antiqua" w:cs="Arial"/>
        </w:rPr>
        <w:t xml:space="preserve">The decision by the judge here that the Appellant had made “frivolous applications” was unwarranted because there had only been one application and that was an entirely proper one.  </w:t>
      </w:r>
    </w:p>
    <w:p w14:paraId="0A7730B0" w14:textId="77777777" w:rsidR="00C26CF4" w:rsidRDefault="007D1185" w:rsidP="00FB593A">
      <w:pPr>
        <w:numPr>
          <w:ilvl w:val="0"/>
          <w:numId w:val="3"/>
        </w:numPr>
        <w:tabs>
          <w:tab w:val="clear" w:pos="567"/>
        </w:tabs>
        <w:spacing w:before="240"/>
        <w:jc w:val="both"/>
        <w:rPr>
          <w:rFonts w:ascii="Book Antiqua" w:hAnsi="Book Antiqua" w:cs="Arial"/>
        </w:rPr>
      </w:pPr>
      <w:r>
        <w:rPr>
          <w:rFonts w:ascii="Book Antiqua" w:hAnsi="Book Antiqua" w:cs="Arial"/>
        </w:rPr>
        <w:t xml:space="preserve">In the same way, the finding that the Appellant had, in relation to his reporting requirement, “on more than one occasion failed to do so” was also factually incorrect.  The Appellant had only failed to report once.  Neither of these two circumstances were such as to be “aggravating”.  </w:t>
      </w:r>
    </w:p>
    <w:p w14:paraId="19937E9F" w14:textId="77777777" w:rsidR="002E49E3" w:rsidRPr="00FB593A" w:rsidRDefault="007D1185" w:rsidP="00FB593A">
      <w:pPr>
        <w:numPr>
          <w:ilvl w:val="0"/>
          <w:numId w:val="3"/>
        </w:numPr>
        <w:tabs>
          <w:tab w:val="clear" w:pos="567"/>
        </w:tabs>
        <w:spacing w:before="240"/>
        <w:jc w:val="both"/>
        <w:rPr>
          <w:rFonts w:ascii="Book Antiqua" w:hAnsi="Book Antiqua" w:cs="Arial"/>
        </w:rPr>
      </w:pPr>
      <w:r>
        <w:rPr>
          <w:rFonts w:ascii="Book Antiqua" w:hAnsi="Book Antiqua" w:cs="Arial"/>
        </w:rPr>
        <w:t>In short, paragraph 320(11) could not properly fall to be applied so that the Appellant’s appeal could be rejected.  This matter is remitted back to the First-tier Tribunal to be determined by a judge other than Judge Far</w:t>
      </w:r>
      <w:r w:rsidR="00FB593A">
        <w:rPr>
          <w:rFonts w:ascii="Book Antiqua" w:hAnsi="Book Antiqua" w:cs="Arial"/>
        </w:rPr>
        <w:t>r</w:t>
      </w:r>
      <w:r>
        <w:rPr>
          <w:rFonts w:ascii="Book Antiqua" w:hAnsi="Book Antiqua" w:cs="Arial"/>
        </w:rPr>
        <w:t>elly.</w:t>
      </w:r>
    </w:p>
    <w:p w14:paraId="5911D696" w14:textId="77777777" w:rsidR="006C260F" w:rsidRDefault="004E62D5" w:rsidP="00D33B16">
      <w:pPr>
        <w:spacing w:before="240"/>
        <w:jc w:val="both"/>
        <w:rPr>
          <w:rFonts w:ascii="Book Antiqua" w:hAnsi="Book Antiqua" w:cs="Arial"/>
          <w:b/>
          <w:u w:val="single"/>
        </w:rPr>
      </w:pPr>
      <w:r>
        <w:rPr>
          <w:rFonts w:ascii="Book Antiqua" w:hAnsi="Book Antiqua" w:cs="Arial"/>
          <w:b/>
          <w:u w:val="single"/>
        </w:rPr>
        <w:t xml:space="preserve"> </w:t>
      </w:r>
    </w:p>
    <w:p w14:paraId="4A6D5375" w14:textId="0DFDB4E8" w:rsidR="000E34AA" w:rsidRPr="00856437" w:rsidRDefault="000E34AA" w:rsidP="00D33B16">
      <w:pPr>
        <w:spacing w:before="240"/>
        <w:jc w:val="both"/>
        <w:rPr>
          <w:rFonts w:ascii="Book Antiqua" w:hAnsi="Book Antiqua" w:cs="Arial"/>
          <w:b/>
          <w:u w:val="single"/>
        </w:rPr>
      </w:pPr>
      <w:bookmarkStart w:id="0" w:name="_GoBack"/>
      <w:bookmarkEnd w:id="0"/>
      <w:r w:rsidRPr="00856437">
        <w:rPr>
          <w:rFonts w:ascii="Book Antiqua" w:hAnsi="Book Antiqua" w:cs="Arial"/>
          <w:b/>
          <w:u w:val="single"/>
        </w:rPr>
        <w:t>Notice of Decision</w:t>
      </w:r>
    </w:p>
    <w:p w14:paraId="5F278419" w14:textId="77777777" w:rsidR="000E34AA" w:rsidRPr="000E34AA" w:rsidRDefault="000E34AA" w:rsidP="000E34AA">
      <w:pPr>
        <w:jc w:val="both"/>
        <w:rPr>
          <w:rFonts w:ascii="Book Antiqua" w:hAnsi="Book Antiqua" w:cs="Arial"/>
        </w:rPr>
      </w:pPr>
    </w:p>
    <w:p w14:paraId="0A038FB2" w14:textId="77777777" w:rsidR="000E34AA" w:rsidRPr="000E34AA" w:rsidRDefault="000E34AA" w:rsidP="000E34AA">
      <w:pPr>
        <w:jc w:val="both"/>
        <w:rPr>
          <w:rFonts w:ascii="Book Antiqua" w:hAnsi="Book Antiqua" w:cs="Arial"/>
        </w:rPr>
      </w:pPr>
      <w:r w:rsidRPr="000E34AA">
        <w:rPr>
          <w:rFonts w:ascii="Book Antiqua" w:hAnsi="Book Antiqua" w:cs="Arial"/>
        </w:rPr>
        <w:t xml:space="preserve">The </w:t>
      </w:r>
      <w:r w:rsidR="00FB593A">
        <w:rPr>
          <w:rFonts w:ascii="Book Antiqua" w:hAnsi="Book Antiqua" w:cs="Arial"/>
        </w:rPr>
        <w:t xml:space="preserve">decision of the First-tier Tribunal involved the making of an error of law such that it falls to be set aside.  I set aside the decision of the original judge.  I remake the decision as follows.  This </w:t>
      </w:r>
      <w:r w:rsidRPr="000E34AA">
        <w:rPr>
          <w:rFonts w:ascii="Book Antiqua" w:hAnsi="Book Antiqua" w:cs="Arial"/>
        </w:rPr>
        <w:t xml:space="preserve">appeal is </w:t>
      </w:r>
      <w:r w:rsidR="00FB593A">
        <w:rPr>
          <w:rFonts w:ascii="Book Antiqua" w:hAnsi="Book Antiqua" w:cs="Arial"/>
        </w:rPr>
        <w:t>allowed to the extent that it is remitted back to the First-tier Tribunal to be determined by a judge other than Judge Farrelly.</w:t>
      </w:r>
    </w:p>
    <w:p w14:paraId="45AC669F" w14:textId="77777777" w:rsidR="000E34AA" w:rsidRPr="000E34AA" w:rsidRDefault="000E34AA" w:rsidP="000E34AA">
      <w:pPr>
        <w:jc w:val="both"/>
        <w:rPr>
          <w:rFonts w:ascii="Book Antiqua" w:hAnsi="Book Antiqua" w:cs="Arial"/>
        </w:rPr>
      </w:pPr>
    </w:p>
    <w:p w14:paraId="01E9BC21" w14:textId="77777777" w:rsidR="000E34AA" w:rsidRPr="000E34AA" w:rsidRDefault="000E34AA" w:rsidP="000E34AA">
      <w:pPr>
        <w:jc w:val="both"/>
        <w:rPr>
          <w:rFonts w:ascii="Book Antiqua" w:hAnsi="Book Antiqua" w:cs="Arial"/>
        </w:rPr>
      </w:pPr>
      <w:r w:rsidRPr="000E34AA">
        <w:rPr>
          <w:rFonts w:ascii="Book Antiqua" w:hAnsi="Book Antiqua" w:cs="Arial"/>
        </w:rPr>
        <w:t>No anonymity direction is made.</w:t>
      </w:r>
    </w:p>
    <w:p w14:paraId="7EE2F3B5" w14:textId="77777777" w:rsidR="000E34AA" w:rsidRPr="000E34AA" w:rsidRDefault="000E34AA" w:rsidP="000E34AA">
      <w:pPr>
        <w:jc w:val="both"/>
        <w:rPr>
          <w:rFonts w:ascii="Book Antiqua" w:hAnsi="Book Antiqua" w:cs="Arial"/>
        </w:rPr>
      </w:pPr>
    </w:p>
    <w:p w14:paraId="63AC7006" w14:textId="77777777" w:rsidR="000369F5" w:rsidRPr="00F5664C" w:rsidRDefault="000369F5" w:rsidP="000369F5">
      <w:pPr>
        <w:tabs>
          <w:tab w:val="left" w:pos="2520"/>
        </w:tabs>
        <w:jc w:val="both"/>
        <w:rPr>
          <w:rFonts w:ascii="Book Antiqua" w:hAnsi="Book Antiqua" w:cs="Arial"/>
        </w:rPr>
      </w:pPr>
    </w:p>
    <w:p w14:paraId="69527E1A" w14:textId="77777777" w:rsidR="000369F5" w:rsidRPr="00F5664C" w:rsidRDefault="000369F5" w:rsidP="000369F5">
      <w:pPr>
        <w:tabs>
          <w:tab w:val="left" w:pos="2520"/>
        </w:tabs>
        <w:jc w:val="both"/>
        <w:rPr>
          <w:rFonts w:ascii="Book Antiqua" w:hAnsi="Book Antiqua" w:cs="Arial"/>
        </w:rPr>
      </w:pPr>
    </w:p>
    <w:p w14:paraId="1CBCA92D" w14:textId="77777777" w:rsidR="00C8780C" w:rsidRDefault="00C8780C" w:rsidP="000369F5">
      <w:pPr>
        <w:tabs>
          <w:tab w:val="left" w:pos="2520"/>
        </w:tabs>
        <w:jc w:val="both"/>
        <w:rPr>
          <w:rFonts w:ascii="Book Antiqua" w:hAnsi="Book Antiqua" w:cs="Arial"/>
        </w:rPr>
      </w:pPr>
    </w:p>
    <w:p w14:paraId="0CB2F53F" w14:textId="77777777" w:rsidR="00C8780C" w:rsidRDefault="00C8780C" w:rsidP="000369F5">
      <w:pPr>
        <w:tabs>
          <w:tab w:val="left" w:pos="2520"/>
        </w:tabs>
        <w:jc w:val="both"/>
        <w:rPr>
          <w:rFonts w:ascii="Book Antiqua" w:hAnsi="Book Antiqua" w:cs="Arial"/>
        </w:rPr>
      </w:pPr>
    </w:p>
    <w:p w14:paraId="487739D1" w14:textId="77777777" w:rsidR="00C8780C" w:rsidRDefault="00C8780C" w:rsidP="000369F5">
      <w:pPr>
        <w:tabs>
          <w:tab w:val="left" w:pos="2520"/>
        </w:tabs>
        <w:jc w:val="both"/>
        <w:rPr>
          <w:rFonts w:ascii="Book Antiqua" w:hAnsi="Book Antiqua" w:cs="Arial"/>
        </w:rPr>
      </w:pPr>
    </w:p>
    <w:p w14:paraId="20F1EF27"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14:paraId="7C70780B" w14:textId="77777777" w:rsidR="000E34AA" w:rsidRDefault="000D4112" w:rsidP="000369F5">
      <w:pPr>
        <w:tabs>
          <w:tab w:val="left" w:pos="2520"/>
        </w:tabs>
        <w:jc w:val="both"/>
        <w:rPr>
          <w:rFonts w:ascii="Book Antiqua" w:hAnsi="Book Antiqua" w:cs="Arial"/>
        </w:rPr>
      </w:pPr>
      <w:r>
        <w:rPr>
          <w:rFonts w:ascii="Book Antiqua" w:hAnsi="Book Antiqua" w:cs="Arial"/>
        </w:rPr>
        <w:t>Deputy 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4F50BF">
        <w:rPr>
          <w:rFonts w:ascii="Book Antiqua" w:hAnsi="Book Antiqua" w:cs="Arial"/>
        </w:rPr>
        <w:t>Juss</w:t>
      </w:r>
      <w:r w:rsidR="00C26CF4">
        <w:rPr>
          <w:rFonts w:ascii="Book Antiqua" w:hAnsi="Book Antiqua" w:cs="Arial"/>
        </w:rPr>
        <w:tab/>
      </w:r>
      <w:r w:rsidR="00C26CF4">
        <w:rPr>
          <w:rFonts w:ascii="Book Antiqua" w:hAnsi="Book Antiqua" w:cs="Arial"/>
        </w:rPr>
        <w:tab/>
      </w:r>
      <w:r w:rsidR="00C26CF4">
        <w:rPr>
          <w:rFonts w:ascii="Book Antiqua" w:hAnsi="Book Antiqua" w:cs="Arial"/>
        </w:rPr>
        <w:tab/>
      </w:r>
      <w:r w:rsidR="00C26CF4">
        <w:rPr>
          <w:rFonts w:ascii="Book Antiqua" w:hAnsi="Book Antiqua" w:cs="Arial"/>
        </w:rPr>
        <w:tab/>
        <w:t>8</w:t>
      </w:r>
      <w:r w:rsidR="00C26CF4" w:rsidRPr="00C26CF4">
        <w:rPr>
          <w:rFonts w:ascii="Book Antiqua" w:hAnsi="Book Antiqua" w:cs="Arial"/>
          <w:vertAlign w:val="superscript"/>
        </w:rPr>
        <w:t>th</w:t>
      </w:r>
      <w:r w:rsidR="00C26CF4">
        <w:rPr>
          <w:rFonts w:ascii="Book Antiqua" w:hAnsi="Book Antiqua" w:cs="Arial"/>
        </w:rPr>
        <w:t xml:space="preserve"> September 2018 </w:t>
      </w:r>
    </w:p>
    <w:p w14:paraId="01BA25C7" w14:textId="77777777" w:rsidR="000E34AA" w:rsidRDefault="000E34AA" w:rsidP="000369F5">
      <w:pPr>
        <w:tabs>
          <w:tab w:val="left" w:pos="2520"/>
        </w:tabs>
        <w:jc w:val="both"/>
        <w:rPr>
          <w:rFonts w:ascii="Book Antiqua" w:hAnsi="Book Antiqua" w:cs="Arial"/>
        </w:rPr>
      </w:pPr>
    </w:p>
    <w:p w14:paraId="5D47E66F" w14:textId="77777777" w:rsidR="005B7789" w:rsidRPr="00F5664C" w:rsidRDefault="005B7789" w:rsidP="000369F5">
      <w:pPr>
        <w:tabs>
          <w:tab w:val="left" w:pos="2520"/>
        </w:tabs>
        <w:jc w:val="both"/>
        <w:rPr>
          <w:rFonts w:ascii="Book Antiqua" w:hAnsi="Book Antiqua" w:cs="Arial"/>
        </w:rPr>
        <w:sectPr w:rsidR="005B7789" w:rsidRPr="00F5664C" w:rsidSect="00D21E56">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pPr>
    </w:p>
    <w:p w14:paraId="2A60116F" w14:textId="77777777" w:rsidR="005B7789" w:rsidRPr="00F5664C" w:rsidRDefault="005B7789" w:rsidP="005B7789">
      <w:pPr>
        <w:tabs>
          <w:tab w:val="left" w:pos="2520"/>
        </w:tabs>
        <w:ind w:left="540" w:hanging="540"/>
        <w:jc w:val="both"/>
        <w:rPr>
          <w:rFonts w:ascii="Book Antiqua" w:hAnsi="Book Antiqua" w:cs="Arial"/>
        </w:rPr>
      </w:pPr>
    </w:p>
    <w:p w14:paraId="4289A963" w14:textId="77777777" w:rsidR="005B7789" w:rsidRPr="00F5664C" w:rsidRDefault="005B7789" w:rsidP="000369F5">
      <w:pPr>
        <w:tabs>
          <w:tab w:val="left" w:pos="2520"/>
        </w:tabs>
        <w:jc w:val="both"/>
        <w:rPr>
          <w:rFonts w:ascii="Book Antiqua" w:hAnsi="Book Antiqua" w:cs="Arial"/>
        </w:rPr>
      </w:pPr>
    </w:p>
    <w:sectPr w:rsidR="005B7789" w:rsidRPr="00F5664C" w:rsidSect="00C8780C">
      <w:type w:val="continuous"/>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25AEF" w14:textId="77777777" w:rsidR="00B65345" w:rsidRDefault="00B65345">
      <w:r>
        <w:separator/>
      </w:r>
    </w:p>
  </w:endnote>
  <w:endnote w:type="continuationSeparator" w:id="0">
    <w:p w14:paraId="5400A2AE" w14:textId="77777777" w:rsidR="00B65345" w:rsidRDefault="00B65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70654" w14:textId="287DB4EE" w:rsidR="00CF253F" w:rsidRPr="009C3935" w:rsidRDefault="00CF253F" w:rsidP="00593795">
    <w:pPr>
      <w:pStyle w:val="Footer"/>
      <w:jc w:val="center"/>
      <w:rPr>
        <w:rFonts w:ascii="Book Antiqua" w:hAnsi="Book Antiqua" w:cs="Arial"/>
      </w:rPr>
    </w:pPr>
    <w:r w:rsidRPr="009C3935">
      <w:rPr>
        <w:rStyle w:val="PageNumber"/>
        <w:rFonts w:ascii="Book Antiqua" w:hAnsi="Book Antiqua" w:cs="Arial"/>
      </w:rPr>
      <w:fldChar w:fldCharType="begin"/>
    </w:r>
    <w:r w:rsidRPr="009C3935">
      <w:rPr>
        <w:rStyle w:val="PageNumber"/>
        <w:rFonts w:ascii="Book Antiqua" w:hAnsi="Book Antiqua" w:cs="Arial"/>
      </w:rPr>
      <w:instrText xml:space="preserve"> PAGE </w:instrText>
    </w:r>
    <w:r w:rsidRPr="009C3935">
      <w:rPr>
        <w:rStyle w:val="PageNumber"/>
        <w:rFonts w:ascii="Book Antiqua" w:hAnsi="Book Antiqua" w:cs="Arial"/>
      </w:rPr>
      <w:fldChar w:fldCharType="separate"/>
    </w:r>
    <w:r w:rsidR="00730EE9">
      <w:rPr>
        <w:rStyle w:val="PageNumber"/>
        <w:rFonts w:ascii="Book Antiqua" w:hAnsi="Book Antiqua" w:cs="Arial"/>
        <w:noProof/>
      </w:rPr>
      <w:t>3</w:t>
    </w:r>
    <w:r w:rsidRPr="009C3935">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AB05A" w14:textId="77777777" w:rsidR="00CF253F" w:rsidRPr="00F5664C" w:rsidRDefault="00842418" w:rsidP="006219C2">
    <w:pPr>
      <w:jc w:val="center"/>
      <w:rPr>
        <w:rFonts w:ascii="Book Antiqua" w:hAnsi="Book Antiqua" w:cs="Arial"/>
        <w:b/>
      </w:rPr>
    </w:pPr>
    <w:r w:rsidRPr="00F5664C">
      <w:rPr>
        <w:rFonts w:ascii="Book Antiqua" w:hAnsi="Book Antiqua" w:cs="Arial"/>
        <w:b/>
        <w:spacing w:val="-6"/>
      </w:rPr>
      <w:t>©</w:t>
    </w:r>
    <w:r w:rsidR="00C40EB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F606" w14:textId="77777777" w:rsidR="00B65345" w:rsidRDefault="00B65345">
      <w:r>
        <w:separator/>
      </w:r>
    </w:p>
  </w:footnote>
  <w:footnote w:type="continuationSeparator" w:id="0">
    <w:p w14:paraId="4433CC7F" w14:textId="77777777" w:rsidR="00B65345" w:rsidRDefault="00B653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4D988" w14:textId="77777777" w:rsidR="00CF253F" w:rsidRPr="0029347B" w:rsidRDefault="00CF253F" w:rsidP="000369F5">
    <w:pPr>
      <w:pStyle w:val="Header"/>
      <w:tabs>
        <w:tab w:val="clear" w:pos="4153"/>
        <w:tab w:val="clear" w:pos="8306"/>
        <w:tab w:val="right" w:pos="9639"/>
      </w:tabs>
      <w:jc w:val="right"/>
      <w:rPr>
        <w:rFonts w:ascii="Book Antiqua" w:hAnsi="Book Antiqua" w:cs="Arial"/>
        <w:sz w:val="16"/>
        <w:szCs w:val="16"/>
      </w:rPr>
    </w:pPr>
    <w:r w:rsidRPr="0029347B">
      <w:rPr>
        <w:rFonts w:ascii="Book Antiqua" w:hAnsi="Book Antiqua" w:cs="Arial"/>
        <w:sz w:val="16"/>
        <w:szCs w:val="16"/>
      </w:rPr>
      <w:t>Appeal Number:</w:t>
    </w:r>
    <w:r w:rsidR="000369F5" w:rsidRPr="0029347B">
      <w:rPr>
        <w:rFonts w:ascii="Book Antiqua" w:hAnsi="Book Antiqua" w:cs="Arial"/>
        <w:sz w:val="16"/>
        <w:szCs w:val="16"/>
      </w:rPr>
      <w:t xml:space="preserve"> </w:t>
    </w:r>
    <w:r w:rsidR="002E49E3">
      <w:rPr>
        <w:rFonts w:ascii="Book Antiqua" w:hAnsi="Book Antiqua" w:cs="Arial"/>
        <w:sz w:val="16"/>
        <w:szCs w:val="16"/>
      </w:rPr>
      <w:t>HU/08114/2015</w:t>
    </w:r>
    <w:r w:rsidR="00B65345" w:rsidRPr="005E357E">
      <w:rPr>
        <w:noProof/>
        <w:lang w:val="en-US" w:eastAsia="en-US"/>
      </w:rPr>
      <w:drawing>
        <wp:inline distT="0" distB="0" distL="0" distR="0" wp14:anchorId="3CA7BD98" wp14:editId="0A213A67">
          <wp:extent cx="6117590" cy="173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7590" cy="17399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8D352" w14:textId="77777777"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4920A744"/>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DBB0E78"/>
    <w:multiLevelType w:val="hybridMultilevel"/>
    <w:tmpl w:val="7E0875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06277E"/>
    <w:multiLevelType w:val="multilevel"/>
    <w:tmpl w:val="ABF08D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4C2E401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5"/>
  </w:num>
  <w:num w:numId="3">
    <w:abstractNumId w:val="2"/>
  </w:num>
  <w:num w:numId="4">
    <w:abstractNumId w:val="12"/>
  </w:num>
  <w:num w:numId="5">
    <w:abstractNumId w:val="20"/>
  </w:num>
  <w:num w:numId="6">
    <w:abstractNumId w:val="13"/>
  </w:num>
  <w:num w:numId="7">
    <w:abstractNumId w:val="19"/>
  </w:num>
  <w:num w:numId="8">
    <w:abstractNumId w:val="9"/>
  </w:num>
  <w:num w:numId="9">
    <w:abstractNumId w:val="6"/>
  </w:num>
  <w:num w:numId="10">
    <w:abstractNumId w:val="18"/>
  </w:num>
  <w:num w:numId="11">
    <w:abstractNumId w:val="17"/>
  </w:num>
  <w:num w:numId="12">
    <w:abstractNumId w:val="1"/>
  </w:num>
  <w:num w:numId="13">
    <w:abstractNumId w:val="16"/>
  </w:num>
  <w:num w:numId="14">
    <w:abstractNumId w:val="0"/>
  </w:num>
  <w:num w:numId="15">
    <w:abstractNumId w:val="3"/>
  </w:num>
  <w:num w:numId="16">
    <w:abstractNumId w:val="5"/>
  </w:num>
  <w:num w:numId="17">
    <w:abstractNumId w:val="14"/>
  </w:num>
  <w:num w:numId="18">
    <w:abstractNumId w:val="10"/>
  </w:num>
  <w:num w:numId="19">
    <w:abstractNumId w:val="11"/>
  </w:num>
  <w:num w:numId="20">
    <w:abstractNumId w:val="8"/>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345"/>
    <w:rsid w:val="00000621"/>
    <w:rsid w:val="000036C2"/>
    <w:rsid w:val="00033D3D"/>
    <w:rsid w:val="000369F5"/>
    <w:rsid w:val="000637E2"/>
    <w:rsid w:val="00071A7E"/>
    <w:rsid w:val="000746C0"/>
    <w:rsid w:val="00074D1D"/>
    <w:rsid w:val="00092580"/>
    <w:rsid w:val="000D4112"/>
    <w:rsid w:val="000D5D94"/>
    <w:rsid w:val="000E34AA"/>
    <w:rsid w:val="001165A7"/>
    <w:rsid w:val="00151BB7"/>
    <w:rsid w:val="00154403"/>
    <w:rsid w:val="00167D3A"/>
    <w:rsid w:val="001A1E2C"/>
    <w:rsid w:val="001E6CAB"/>
    <w:rsid w:val="001F2716"/>
    <w:rsid w:val="0020133A"/>
    <w:rsid w:val="00207617"/>
    <w:rsid w:val="00215AA1"/>
    <w:rsid w:val="00217391"/>
    <w:rsid w:val="00250AF7"/>
    <w:rsid w:val="00283659"/>
    <w:rsid w:val="0029347B"/>
    <w:rsid w:val="002C4E73"/>
    <w:rsid w:val="002D68BF"/>
    <w:rsid w:val="002E10BD"/>
    <w:rsid w:val="002E49E3"/>
    <w:rsid w:val="00336CBF"/>
    <w:rsid w:val="00341014"/>
    <w:rsid w:val="003546C8"/>
    <w:rsid w:val="003641E6"/>
    <w:rsid w:val="00381A58"/>
    <w:rsid w:val="003A6289"/>
    <w:rsid w:val="003A7CF2"/>
    <w:rsid w:val="003C3633"/>
    <w:rsid w:val="003C5CE5"/>
    <w:rsid w:val="003E267B"/>
    <w:rsid w:val="003E7CD1"/>
    <w:rsid w:val="00402B9E"/>
    <w:rsid w:val="00423932"/>
    <w:rsid w:val="004249CB"/>
    <w:rsid w:val="004276AD"/>
    <w:rsid w:val="00435EF5"/>
    <w:rsid w:val="0044127D"/>
    <w:rsid w:val="004448DB"/>
    <w:rsid w:val="00446C9A"/>
    <w:rsid w:val="00457C3B"/>
    <w:rsid w:val="00477193"/>
    <w:rsid w:val="00481EE1"/>
    <w:rsid w:val="004937DC"/>
    <w:rsid w:val="004A1848"/>
    <w:rsid w:val="004E1AF1"/>
    <w:rsid w:val="004E62D5"/>
    <w:rsid w:val="004F2E90"/>
    <w:rsid w:val="004F50BF"/>
    <w:rsid w:val="00502E9E"/>
    <w:rsid w:val="00507FEC"/>
    <w:rsid w:val="00510F0E"/>
    <w:rsid w:val="005479E1"/>
    <w:rsid w:val="00556CE0"/>
    <w:rsid w:val="005570FD"/>
    <w:rsid w:val="005575EA"/>
    <w:rsid w:val="0057790C"/>
    <w:rsid w:val="00593795"/>
    <w:rsid w:val="005968F3"/>
    <w:rsid w:val="005A75FF"/>
    <w:rsid w:val="005B4408"/>
    <w:rsid w:val="005B7789"/>
    <w:rsid w:val="005C7C64"/>
    <w:rsid w:val="005D4F3A"/>
    <w:rsid w:val="005E357E"/>
    <w:rsid w:val="00600570"/>
    <w:rsid w:val="0061204C"/>
    <w:rsid w:val="00615970"/>
    <w:rsid w:val="006219C2"/>
    <w:rsid w:val="0065791C"/>
    <w:rsid w:val="00670D4A"/>
    <w:rsid w:val="00690B8A"/>
    <w:rsid w:val="006A31E2"/>
    <w:rsid w:val="006C260F"/>
    <w:rsid w:val="006D1DFA"/>
    <w:rsid w:val="006D506B"/>
    <w:rsid w:val="006E3445"/>
    <w:rsid w:val="006E3C90"/>
    <w:rsid w:val="00704B61"/>
    <w:rsid w:val="00730EE9"/>
    <w:rsid w:val="00742A8D"/>
    <w:rsid w:val="007552A9"/>
    <w:rsid w:val="00761858"/>
    <w:rsid w:val="00767D59"/>
    <w:rsid w:val="00776E97"/>
    <w:rsid w:val="00780FD7"/>
    <w:rsid w:val="007828AB"/>
    <w:rsid w:val="007912AD"/>
    <w:rsid w:val="007A1F28"/>
    <w:rsid w:val="007B0824"/>
    <w:rsid w:val="007D1185"/>
    <w:rsid w:val="007E5339"/>
    <w:rsid w:val="008303B8"/>
    <w:rsid w:val="00833DCE"/>
    <w:rsid w:val="00842418"/>
    <w:rsid w:val="008530D4"/>
    <w:rsid w:val="00856437"/>
    <w:rsid w:val="00871D34"/>
    <w:rsid w:val="008A2B5B"/>
    <w:rsid w:val="008B270C"/>
    <w:rsid w:val="008C3D3D"/>
    <w:rsid w:val="008C4D28"/>
    <w:rsid w:val="008D4131"/>
    <w:rsid w:val="008F1932"/>
    <w:rsid w:val="008F294D"/>
    <w:rsid w:val="008F5E87"/>
    <w:rsid w:val="00920C76"/>
    <w:rsid w:val="00921062"/>
    <w:rsid w:val="0093083E"/>
    <w:rsid w:val="0093195C"/>
    <w:rsid w:val="00965A5D"/>
    <w:rsid w:val="00966ECF"/>
    <w:rsid w:val="009727A3"/>
    <w:rsid w:val="00987774"/>
    <w:rsid w:val="009A11E8"/>
    <w:rsid w:val="009C3935"/>
    <w:rsid w:val="009E4E62"/>
    <w:rsid w:val="009F5220"/>
    <w:rsid w:val="009F7C4D"/>
    <w:rsid w:val="00A00716"/>
    <w:rsid w:val="00A15234"/>
    <w:rsid w:val="00A201AB"/>
    <w:rsid w:val="00A25D24"/>
    <w:rsid w:val="00A31C8B"/>
    <w:rsid w:val="00A3732C"/>
    <w:rsid w:val="00A44E24"/>
    <w:rsid w:val="00A845DC"/>
    <w:rsid w:val="00A97355"/>
    <w:rsid w:val="00A97AEE"/>
    <w:rsid w:val="00AA62A6"/>
    <w:rsid w:val="00AC5CF6"/>
    <w:rsid w:val="00AD624B"/>
    <w:rsid w:val="00B144FA"/>
    <w:rsid w:val="00B16F58"/>
    <w:rsid w:val="00B2116E"/>
    <w:rsid w:val="00B30648"/>
    <w:rsid w:val="00B3524D"/>
    <w:rsid w:val="00B40F69"/>
    <w:rsid w:val="00B46616"/>
    <w:rsid w:val="00B610E3"/>
    <w:rsid w:val="00B61205"/>
    <w:rsid w:val="00B617C4"/>
    <w:rsid w:val="00B626FA"/>
    <w:rsid w:val="00B65345"/>
    <w:rsid w:val="00B7040A"/>
    <w:rsid w:val="00B96FA0"/>
    <w:rsid w:val="00BD4196"/>
    <w:rsid w:val="00BF20D7"/>
    <w:rsid w:val="00BF22CA"/>
    <w:rsid w:val="00C01616"/>
    <w:rsid w:val="00C26032"/>
    <w:rsid w:val="00C265B0"/>
    <w:rsid w:val="00C26CF4"/>
    <w:rsid w:val="00C321B5"/>
    <w:rsid w:val="00C345E1"/>
    <w:rsid w:val="00C37666"/>
    <w:rsid w:val="00C40EBB"/>
    <w:rsid w:val="00C52F0B"/>
    <w:rsid w:val="00C8780C"/>
    <w:rsid w:val="00C977BA"/>
    <w:rsid w:val="00CA763C"/>
    <w:rsid w:val="00CB6E35"/>
    <w:rsid w:val="00CE1A46"/>
    <w:rsid w:val="00CF253F"/>
    <w:rsid w:val="00CF56B4"/>
    <w:rsid w:val="00D0262D"/>
    <w:rsid w:val="00D20F09"/>
    <w:rsid w:val="00D21E56"/>
    <w:rsid w:val="00D22636"/>
    <w:rsid w:val="00D33B16"/>
    <w:rsid w:val="00D40FD9"/>
    <w:rsid w:val="00D53769"/>
    <w:rsid w:val="00D85C13"/>
    <w:rsid w:val="00D91BE3"/>
    <w:rsid w:val="00D94AFC"/>
    <w:rsid w:val="00DB70AE"/>
    <w:rsid w:val="00DB7231"/>
    <w:rsid w:val="00DD4ABC"/>
    <w:rsid w:val="00DD5071"/>
    <w:rsid w:val="00DD5C39"/>
    <w:rsid w:val="00DD74FB"/>
    <w:rsid w:val="00DE26AF"/>
    <w:rsid w:val="00DE7DB7"/>
    <w:rsid w:val="00E00A0A"/>
    <w:rsid w:val="00E07F57"/>
    <w:rsid w:val="00E11384"/>
    <w:rsid w:val="00E20872"/>
    <w:rsid w:val="00E50BCE"/>
    <w:rsid w:val="00E61292"/>
    <w:rsid w:val="00E76309"/>
    <w:rsid w:val="00E77C4D"/>
    <w:rsid w:val="00E81D01"/>
    <w:rsid w:val="00ED2D16"/>
    <w:rsid w:val="00EE45D8"/>
    <w:rsid w:val="00F004CD"/>
    <w:rsid w:val="00F10D45"/>
    <w:rsid w:val="00F22EDA"/>
    <w:rsid w:val="00F3048B"/>
    <w:rsid w:val="00F3224D"/>
    <w:rsid w:val="00F33E0E"/>
    <w:rsid w:val="00F36B20"/>
    <w:rsid w:val="00F42469"/>
    <w:rsid w:val="00F5664C"/>
    <w:rsid w:val="00FA0BC6"/>
    <w:rsid w:val="00FB593A"/>
    <w:rsid w:val="00FB7E80"/>
    <w:rsid w:val="00FD23A3"/>
    <w:rsid w:val="00FF247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37CA2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1472</Words>
  <Characters>7331</Characters>
  <Application>Microsoft Office Word</Application>
  <DocSecurity>0</DocSecurity>
  <Lines>61</Lines>
  <Paragraphs>17</Paragraphs>
  <ScaleCrop>false</ScaleCrop>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2018-10-01T12:49:00Z</dcterms:created>
  <dcterms:modified xsi:type="dcterms:W3CDTF">2018-10-01T12:49:00Z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