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4D2" w:rsidRDefault="004654D2" w:rsidP="00933B65">
      <w:pPr>
        <w:jc w:val="center"/>
        <w:rPr>
          <w:rFonts w:ascii="Book Antiqua" w:hAnsi="Book Antiqua" w:cs="Arial"/>
          <w:color w:val="000000"/>
        </w:rPr>
      </w:pPr>
    </w:p>
    <w:p w:rsidR="004654D2" w:rsidRDefault="004654D2" w:rsidP="00933B65">
      <w:pPr>
        <w:jc w:val="center"/>
        <w:rPr>
          <w:rFonts w:ascii="Book Antiqua" w:hAnsi="Book Antiqua" w:cs="Arial"/>
          <w:color w:val="000000"/>
        </w:rPr>
      </w:pPr>
    </w:p>
    <w:p w:rsidR="00933B65" w:rsidRDefault="00355128" w:rsidP="00933B65">
      <w:pPr>
        <w:jc w:val="center"/>
        <w:rPr>
          <w:rFonts w:ascii="Book Antiqua" w:hAnsi="Book Antiqua" w:cs="Arial"/>
          <w:color w:val="000000"/>
        </w:rPr>
      </w:pPr>
      <w:r>
        <w:rPr>
          <w:noProof/>
        </w:rPr>
        <w:drawing>
          <wp:inline distT="0" distB="0" distL="0" distR="0">
            <wp:extent cx="1429200" cy="10800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bookmarkStart w:id="0" w:name="_GoBack"/>
      <w:bookmarkEnd w:id="0"/>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Pr="00421308" w:rsidRDefault="00933B65" w:rsidP="00933B65">
      <w:pPr>
        <w:tabs>
          <w:tab w:val="right" w:pos="9720"/>
        </w:tabs>
        <w:ind w:right="-82"/>
        <w:rPr>
          <w:rFonts w:ascii="Book Antiqua" w:hAnsi="Book Antiqua" w:cs="Arial"/>
          <w:b/>
          <w:color w:val="000000"/>
        </w:rPr>
      </w:pPr>
      <w:r w:rsidRPr="00F97703">
        <w:rPr>
          <w:rFonts w:ascii="Book Antiqua" w:hAnsi="Book Antiqua" w:cs="Arial"/>
          <w:b/>
          <w:color w:val="000000"/>
        </w:rPr>
        <w:t xml:space="preserve">(Immigration and Asylum </w:t>
      </w:r>
      <w:proofErr w:type="gramStart"/>
      <w:r w:rsidRPr="00F97703">
        <w:rPr>
          <w:rFonts w:ascii="Book Antiqua" w:hAnsi="Book Antiqua" w:cs="Arial"/>
          <w:b/>
          <w:color w:val="000000"/>
        </w:rPr>
        <w:t>Chamber)</w:t>
      </w:r>
      <w:r w:rsidR="00421308">
        <w:rPr>
          <w:rFonts w:ascii="Book Antiqua" w:hAnsi="Book Antiqua" w:cs="Arial"/>
          <w:b/>
          <w:color w:val="000000"/>
        </w:rPr>
        <w:t xml:space="preserve">   </w:t>
      </w:r>
      <w:proofErr w:type="gramEnd"/>
      <w:r w:rsidR="00421308">
        <w:rPr>
          <w:rFonts w:ascii="Book Antiqua" w:hAnsi="Book Antiqua" w:cs="Arial"/>
          <w:b/>
          <w:color w:val="000000"/>
        </w:rPr>
        <w:t xml:space="preserve">                     </w:t>
      </w:r>
      <w:r w:rsidRPr="00421308">
        <w:rPr>
          <w:rFonts w:ascii="Book Antiqua" w:hAnsi="Book Antiqua" w:cs="Arial"/>
          <w:b/>
          <w:color w:val="000000"/>
        </w:rPr>
        <w:t>Appeal Number:</w:t>
      </w:r>
      <w:r w:rsidR="006748D6" w:rsidRPr="00421308">
        <w:rPr>
          <w:rFonts w:ascii="Book Antiqua" w:hAnsi="Book Antiqua" w:cs="Arial"/>
          <w:b/>
          <w:color w:val="000000"/>
        </w:rPr>
        <w:t xml:space="preserve"> </w:t>
      </w:r>
      <w:bookmarkStart w:id="1" w:name="_Hlk514767908"/>
      <w:r w:rsidR="00CD3E7C" w:rsidRPr="00421308">
        <w:rPr>
          <w:rFonts w:ascii="Book Antiqua" w:hAnsi="Book Antiqua" w:cs="Arial"/>
          <w:b/>
          <w:color w:val="000000"/>
        </w:rPr>
        <w:t>HU/08259/2016</w:t>
      </w:r>
      <w:bookmarkEnd w:id="1"/>
    </w:p>
    <w:p w:rsidR="00933B65" w:rsidRPr="00F97703" w:rsidRDefault="00933B65"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4962"/>
        <w:gridCol w:w="4676"/>
      </w:tblGrid>
      <w:tr w:rsidR="00933B65" w:rsidRPr="009D328D" w:rsidTr="00355128">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Heard at </w:t>
            </w:r>
            <w:r w:rsidR="00CD3E7C">
              <w:rPr>
                <w:rFonts w:ascii="Book Antiqua" w:hAnsi="Book Antiqua" w:cs="Arial"/>
                <w:b/>
              </w:rPr>
              <w:t>Field House</w:t>
            </w:r>
          </w:p>
        </w:tc>
        <w:tc>
          <w:tcPr>
            <w:tcW w:w="4758" w:type="dxa"/>
            <w:shd w:val="clear" w:color="auto" w:fill="auto"/>
          </w:tcPr>
          <w:p w:rsidR="00933B65" w:rsidRPr="009D328D" w:rsidRDefault="00421308" w:rsidP="009D328D">
            <w:pPr>
              <w:jc w:val="both"/>
              <w:rPr>
                <w:rFonts w:ascii="Book Antiqua" w:hAnsi="Book Antiqua" w:cs="Arial"/>
                <w:b/>
                <w:color w:val="000000"/>
              </w:rPr>
            </w:pPr>
            <w:r>
              <w:rPr>
                <w:rFonts w:ascii="Book Antiqua" w:hAnsi="Book Antiqua" w:cs="Arial"/>
                <w:b/>
                <w:color w:val="000000"/>
              </w:rPr>
              <w:t xml:space="preserve">      </w:t>
            </w:r>
            <w:r w:rsidR="00355128">
              <w:rPr>
                <w:rFonts w:ascii="Book Antiqua" w:hAnsi="Book Antiqua" w:cs="Arial"/>
                <w:b/>
                <w:color w:val="000000"/>
              </w:rPr>
              <w:t>Decision &amp; Reasons</w:t>
            </w:r>
            <w:r w:rsidR="00933B65" w:rsidRPr="009D328D">
              <w:rPr>
                <w:rFonts w:ascii="Book Antiqua" w:hAnsi="Book Antiqua" w:cs="Arial"/>
                <w:b/>
                <w:color w:val="000000"/>
              </w:rPr>
              <w:t xml:space="preserve"> Promulgated</w:t>
            </w:r>
          </w:p>
        </w:tc>
      </w:tr>
      <w:tr w:rsidR="00933B65" w:rsidRPr="009D328D" w:rsidTr="00355128">
        <w:tc>
          <w:tcPr>
            <w:tcW w:w="5070" w:type="dxa"/>
            <w:shd w:val="clear" w:color="auto" w:fill="auto"/>
          </w:tcPr>
          <w:p w:rsidR="00933B65" w:rsidRPr="009D328D" w:rsidRDefault="00933B65" w:rsidP="009D328D">
            <w:pPr>
              <w:jc w:val="both"/>
              <w:rPr>
                <w:rFonts w:ascii="Book Antiqua" w:hAnsi="Book Antiqua" w:cs="Arial"/>
                <w:b/>
              </w:rPr>
            </w:pPr>
            <w:r w:rsidRPr="009D328D">
              <w:rPr>
                <w:rFonts w:ascii="Book Antiqua" w:hAnsi="Book Antiqua" w:cs="Arial"/>
                <w:b/>
              </w:rPr>
              <w:t xml:space="preserve">On </w:t>
            </w:r>
            <w:r w:rsidR="00CD3E7C">
              <w:rPr>
                <w:rFonts w:ascii="Book Antiqua" w:hAnsi="Book Antiqua" w:cs="Arial"/>
                <w:b/>
              </w:rPr>
              <w:t>25 April 2018</w:t>
            </w:r>
          </w:p>
        </w:tc>
        <w:tc>
          <w:tcPr>
            <w:tcW w:w="4758" w:type="dxa"/>
            <w:shd w:val="clear" w:color="auto" w:fill="auto"/>
          </w:tcPr>
          <w:p w:rsidR="00933B65" w:rsidRPr="009D328D" w:rsidRDefault="00421308" w:rsidP="009D328D">
            <w:pPr>
              <w:jc w:val="both"/>
              <w:rPr>
                <w:rFonts w:ascii="Book Antiqua" w:hAnsi="Book Antiqua" w:cs="Arial"/>
                <w:b/>
              </w:rPr>
            </w:pPr>
            <w:r>
              <w:rPr>
                <w:rFonts w:ascii="Book Antiqua" w:hAnsi="Book Antiqua" w:cs="Arial"/>
                <w:b/>
              </w:rPr>
              <w:t xml:space="preserve">      </w:t>
            </w:r>
            <w:r w:rsidR="00355128">
              <w:rPr>
                <w:rFonts w:ascii="Book Antiqua" w:hAnsi="Book Antiqua" w:cs="Arial"/>
                <w:b/>
              </w:rPr>
              <w:t>On 5 June 2018</w:t>
            </w:r>
          </w:p>
        </w:tc>
      </w:tr>
      <w:tr w:rsidR="00933B65" w:rsidRPr="009D328D" w:rsidTr="00355128">
        <w:tc>
          <w:tcPr>
            <w:tcW w:w="5070" w:type="dxa"/>
            <w:shd w:val="clear" w:color="auto" w:fill="auto"/>
          </w:tcPr>
          <w:p w:rsidR="00933B65" w:rsidRPr="009D328D" w:rsidRDefault="00933B65" w:rsidP="009D328D">
            <w:pPr>
              <w:jc w:val="both"/>
              <w:rPr>
                <w:rFonts w:ascii="Book Antiqua" w:hAnsi="Book Antiqua" w:cs="Arial"/>
                <w:b/>
              </w:rPr>
            </w:pPr>
          </w:p>
        </w:tc>
        <w:tc>
          <w:tcPr>
            <w:tcW w:w="4758" w:type="dxa"/>
            <w:shd w:val="clear" w:color="auto" w:fill="auto"/>
          </w:tcPr>
          <w:p w:rsidR="00933B65" w:rsidRPr="009D328D" w:rsidRDefault="00933B65" w:rsidP="009D328D">
            <w:pPr>
              <w:jc w:val="both"/>
              <w:rPr>
                <w:rFonts w:ascii="Book Antiqua" w:hAnsi="Book Antiqua" w:cs="Arial"/>
                <w:b/>
              </w:rPr>
            </w:pPr>
          </w:p>
        </w:tc>
      </w:tr>
    </w:tbl>
    <w:p w:rsidR="00AC5C04" w:rsidRDefault="00AC5C04" w:rsidP="00933B65">
      <w:pPr>
        <w:jc w:val="center"/>
        <w:rPr>
          <w:rFonts w:ascii="Book Antiqua" w:hAnsi="Book Antiqua" w:cs="Arial"/>
          <w:b/>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Default="00933B65" w:rsidP="00933B65">
      <w:pPr>
        <w:jc w:val="center"/>
        <w:rPr>
          <w:rFonts w:ascii="Book Antiqua" w:hAnsi="Book Antiqua" w:cs="Arial"/>
          <w:b/>
        </w:rPr>
      </w:pPr>
    </w:p>
    <w:p w:rsidR="00933B65" w:rsidRPr="00F97703" w:rsidRDefault="00025F0F" w:rsidP="00933B65">
      <w:pPr>
        <w:jc w:val="center"/>
        <w:rPr>
          <w:rFonts w:ascii="Book Antiqua" w:hAnsi="Book Antiqua" w:cs="Arial"/>
          <w:b/>
          <w:color w:val="000000"/>
        </w:rPr>
      </w:pPr>
      <w:r>
        <w:rPr>
          <w:rFonts w:ascii="Book Antiqua" w:hAnsi="Book Antiqua" w:cs="Arial"/>
          <w:b/>
          <w:color w:val="000000"/>
        </w:rPr>
        <w:t>UPPER TRIBUNAL JUDGE CONWAY</w:t>
      </w:r>
    </w:p>
    <w:p w:rsidR="00933B65" w:rsidRPr="00F97703" w:rsidRDefault="00933B65"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933B65" w:rsidRPr="00F97703" w:rsidRDefault="00CD3E7C" w:rsidP="00933B65">
      <w:pPr>
        <w:jc w:val="center"/>
        <w:rPr>
          <w:rFonts w:ascii="Book Antiqua" w:hAnsi="Book Antiqua" w:cs="Arial"/>
          <w:b/>
        </w:rPr>
      </w:pPr>
      <w:r>
        <w:rPr>
          <w:rFonts w:ascii="Book Antiqua" w:hAnsi="Book Antiqua" w:cs="Arial"/>
          <w:b/>
        </w:rPr>
        <w:t>ENTRY CLEARANCE OFFICER – NEW DELHI</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Pr="00F97703" w:rsidRDefault="00933B65" w:rsidP="00933B65">
      <w:pPr>
        <w:jc w:val="center"/>
        <w:rPr>
          <w:rFonts w:ascii="Book Antiqua" w:hAnsi="Book Antiqua" w:cs="Arial"/>
          <w:b/>
        </w:rPr>
      </w:pPr>
      <w:r w:rsidRPr="00F97703">
        <w:rPr>
          <w:rFonts w:ascii="Book Antiqua" w:hAnsi="Book Antiqua" w:cs="Arial"/>
          <w:b/>
        </w:rPr>
        <w:t>and</w:t>
      </w:r>
    </w:p>
    <w:p w:rsidR="00933B65" w:rsidRDefault="00933B65" w:rsidP="00933B65">
      <w:pPr>
        <w:jc w:val="center"/>
        <w:rPr>
          <w:rFonts w:ascii="Book Antiqua" w:hAnsi="Book Antiqua" w:cs="Arial"/>
          <w:b/>
        </w:rPr>
      </w:pPr>
    </w:p>
    <w:p w:rsidR="00680A32" w:rsidRDefault="00CD3E7C" w:rsidP="00933B65">
      <w:pPr>
        <w:jc w:val="center"/>
        <w:rPr>
          <w:rFonts w:ascii="Book Antiqua" w:hAnsi="Book Antiqua" w:cs="Arial"/>
          <w:b/>
        </w:rPr>
      </w:pPr>
      <w:r>
        <w:rPr>
          <w:rFonts w:ascii="Book Antiqua" w:hAnsi="Book Antiqua" w:cs="Arial"/>
          <w:b/>
        </w:rPr>
        <w:t>MR KUMAR THAPA</w:t>
      </w:r>
    </w:p>
    <w:p w:rsidR="00CD3E7C" w:rsidRPr="00421308" w:rsidRDefault="00CD3E7C" w:rsidP="00933B65">
      <w:pPr>
        <w:jc w:val="center"/>
        <w:rPr>
          <w:rFonts w:ascii="Book Antiqua" w:hAnsi="Book Antiqua" w:cs="Arial"/>
        </w:rPr>
      </w:pPr>
      <w:r w:rsidRPr="00421308">
        <w:rPr>
          <w:rFonts w:ascii="Book Antiqua" w:hAnsi="Book Antiqua" w:cs="Arial"/>
        </w:rPr>
        <w:t>(ANONYMITY ORDER NOT MADE)</w:t>
      </w:r>
    </w:p>
    <w:p w:rsidR="00933B65" w:rsidRPr="00F97703" w:rsidRDefault="00680A32" w:rsidP="00421308">
      <w:pPr>
        <w:jc w:val="right"/>
        <w:rPr>
          <w:rFonts w:ascii="Book Antiqua" w:hAnsi="Book Antiqua" w:cs="Arial"/>
          <w:u w:val="single"/>
        </w:rPr>
      </w:pPr>
      <w:r w:rsidRPr="00421308">
        <w:rPr>
          <w:rFonts w:ascii="Book Antiqua" w:hAnsi="Book Antiqua" w:cs="Arial"/>
        </w:rPr>
        <w:t xml:space="preserve"> </w:t>
      </w:r>
      <w:r w:rsidR="00933B65" w:rsidRPr="00F97703">
        <w:rPr>
          <w:rFonts w:ascii="Book Antiqua" w:hAnsi="Book Antiqua" w:cs="Arial"/>
          <w:u w:val="single"/>
        </w:rPr>
        <w:t>Respondent</w:t>
      </w:r>
    </w:p>
    <w:p w:rsidR="00933B65" w:rsidRPr="00F97703" w:rsidRDefault="00933B65" w:rsidP="00933B65">
      <w:pPr>
        <w:rPr>
          <w:rFonts w:ascii="Book Antiqua" w:hAnsi="Book Antiqua" w:cs="Arial"/>
          <w:u w:val="single"/>
        </w:rPr>
      </w:pPr>
    </w:p>
    <w:p w:rsidR="00421308" w:rsidRDefault="00421308" w:rsidP="00933B65">
      <w:pPr>
        <w:rPr>
          <w:rFonts w:ascii="Book Antiqua" w:hAnsi="Book Antiqua" w:cs="Arial"/>
          <w:b/>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Pr="00F97703" w:rsidRDefault="00933B65" w:rsidP="00933B65">
      <w:pPr>
        <w:rPr>
          <w:rFonts w:ascii="Book Antiqua" w:hAnsi="Book Antiqua" w:cs="Arial"/>
        </w:rPr>
      </w:pP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CD3E7C">
        <w:rPr>
          <w:rFonts w:ascii="Book Antiqua" w:hAnsi="Book Antiqua" w:cs="Arial"/>
        </w:rPr>
        <w:t>Ms Willocks-Briscoe</w:t>
      </w:r>
    </w:p>
    <w:p w:rsidR="00933B65" w:rsidRPr="00F97703" w:rsidRDefault="00933B65" w:rsidP="00933B6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CD3E7C">
        <w:rPr>
          <w:rFonts w:ascii="Book Antiqua" w:hAnsi="Book Antiqua" w:cs="Arial"/>
        </w:rPr>
        <w:t>Ms Daykin, Counsel</w:t>
      </w:r>
      <w:r w:rsidR="006748D6">
        <w:rPr>
          <w:rFonts w:ascii="Book Antiqua" w:hAnsi="Book Antiqua" w:cs="Arial"/>
        </w:rPr>
        <w:t xml:space="preserve"> </w:t>
      </w:r>
    </w:p>
    <w:p w:rsidR="00933B65" w:rsidRDefault="00933B65" w:rsidP="00933B65">
      <w:pPr>
        <w:tabs>
          <w:tab w:val="left" w:pos="2520"/>
        </w:tabs>
        <w:jc w:val="center"/>
        <w:rPr>
          <w:rFonts w:ascii="Book Antiqua" w:hAnsi="Book Antiqua" w:cs="Arial"/>
        </w:rPr>
      </w:pPr>
    </w:p>
    <w:p w:rsidR="00AC5C04" w:rsidRPr="00F97703" w:rsidRDefault="00AC5C04" w:rsidP="00933B65">
      <w:pPr>
        <w:tabs>
          <w:tab w:val="left" w:pos="2520"/>
        </w:tabs>
        <w:jc w:val="center"/>
        <w:rPr>
          <w:rFonts w:ascii="Book Antiqua" w:hAnsi="Book Antiqua" w:cs="Arial"/>
        </w:rPr>
      </w:pPr>
    </w:p>
    <w:p w:rsidR="00933B65" w:rsidRPr="00F97703" w:rsidRDefault="002F3BEB" w:rsidP="00933B65">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933B65" w:rsidRPr="00F97703" w:rsidRDefault="00933B65" w:rsidP="00933B65">
      <w:pPr>
        <w:ind w:left="540" w:hanging="540"/>
        <w:jc w:val="both"/>
        <w:rPr>
          <w:rFonts w:ascii="Book Antiqua" w:hAnsi="Book Antiqua" w:cs="Arial"/>
        </w:rPr>
      </w:pPr>
      <w:r>
        <w:rPr>
          <w:rFonts w:ascii="Book Antiqua" w:hAnsi="Book Antiqua" w:cs="Arial"/>
        </w:rPr>
        <w:t xml:space="preserve">          </w:t>
      </w:r>
    </w:p>
    <w:p w:rsidR="00933B65" w:rsidRDefault="00CD3E7C" w:rsidP="002A54ED">
      <w:pPr>
        <w:numPr>
          <w:ilvl w:val="0"/>
          <w:numId w:val="3"/>
        </w:numPr>
        <w:ind w:left="567" w:hanging="567"/>
        <w:jc w:val="both"/>
        <w:rPr>
          <w:rFonts w:ascii="Book Antiqua" w:hAnsi="Book Antiqua" w:cs="Arial"/>
        </w:rPr>
      </w:pPr>
      <w:r>
        <w:rPr>
          <w:rFonts w:ascii="Book Antiqua" w:hAnsi="Book Antiqua" w:cs="Arial"/>
        </w:rPr>
        <w:t>For ease of reference I refer to the parties as they appeared before the First-tier Tribunal, namely, the appellant is Mr Thapa and the respondent is the Entry Clearance Officer.</w:t>
      </w:r>
    </w:p>
    <w:p w:rsidR="00CD3E7C" w:rsidRDefault="00CD3E7C" w:rsidP="00CD3E7C">
      <w:pPr>
        <w:jc w:val="both"/>
        <w:rPr>
          <w:rFonts w:ascii="Book Antiqua" w:hAnsi="Book Antiqua" w:cs="Arial"/>
        </w:rPr>
      </w:pPr>
    </w:p>
    <w:p w:rsidR="00CD3E7C" w:rsidRDefault="002A54ED" w:rsidP="002A54ED">
      <w:pPr>
        <w:numPr>
          <w:ilvl w:val="0"/>
          <w:numId w:val="3"/>
        </w:numPr>
        <w:ind w:left="567" w:hanging="567"/>
        <w:jc w:val="both"/>
        <w:rPr>
          <w:rFonts w:ascii="Book Antiqua" w:hAnsi="Book Antiqua" w:cs="Arial"/>
        </w:rPr>
      </w:pPr>
      <w:r>
        <w:rPr>
          <w:rFonts w:ascii="Book Antiqua" w:hAnsi="Book Antiqua" w:cs="Arial"/>
        </w:rPr>
        <w:t xml:space="preserve">The appellant is a citizen of Nepal born in 1985.  He appeals against a decision of the </w:t>
      </w:r>
      <w:proofErr w:type="gramStart"/>
      <w:r w:rsidR="00256253">
        <w:rPr>
          <w:rFonts w:ascii="Book Antiqua" w:hAnsi="Book Antiqua" w:cs="Arial"/>
        </w:rPr>
        <w:t xml:space="preserve">respondent </w:t>
      </w:r>
      <w:r w:rsidR="00953CBE">
        <w:rPr>
          <w:rFonts w:ascii="Book Antiqua" w:hAnsi="Book Antiqua" w:cs="Arial"/>
        </w:rPr>
        <w:t xml:space="preserve"> </w:t>
      </w:r>
      <w:r w:rsidR="00256253">
        <w:rPr>
          <w:rFonts w:ascii="Book Antiqua" w:hAnsi="Book Antiqua" w:cs="Arial"/>
        </w:rPr>
        <w:t>made</w:t>
      </w:r>
      <w:proofErr w:type="gramEnd"/>
      <w:r w:rsidR="00256253">
        <w:rPr>
          <w:rFonts w:ascii="Book Antiqua" w:hAnsi="Book Antiqua" w:cs="Arial"/>
        </w:rPr>
        <w:t xml:space="preserve"> on 25 February 2016 to refuse his application for entry clearance to settle in the UK as the dependent son of Tul Bahadun Thapa, a former Gurkha soldier.</w:t>
      </w:r>
    </w:p>
    <w:p w:rsidR="004B3F9E" w:rsidRDefault="004B3F9E" w:rsidP="004B3F9E">
      <w:pPr>
        <w:pStyle w:val="ListParagraph"/>
        <w:rPr>
          <w:rFonts w:ascii="Book Antiqua" w:hAnsi="Book Antiqua" w:cs="Arial"/>
        </w:rPr>
      </w:pPr>
    </w:p>
    <w:p w:rsidR="00256253" w:rsidRDefault="00256253" w:rsidP="002A54ED">
      <w:pPr>
        <w:numPr>
          <w:ilvl w:val="0"/>
          <w:numId w:val="3"/>
        </w:numPr>
        <w:ind w:left="567" w:hanging="567"/>
        <w:jc w:val="both"/>
        <w:rPr>
          <w:rFonts w:ascii="Book Antiqua" w:hAnsi="Book Antiqua" w:cs="Arial"/>
        </w:rPr>
      </w:pPr>
      <w:r>
        <w:rPr>
          <w:rFonts w:ascii="Book Antiqua" w:hAnsi="Book Antiqua" w:cs="Arial"/>
        </w:rPr>
        <w:t xml:space="preserve">The decision was refused with reference to Annex K IDI Chapter 15 as amended on 5 January 2015 not least because the appellant and sponsor, his ex-Gurkha father had </w:t>
      </w:r>
      <w:r>
        <w:rPr>
          <w:rFonts w:ascii="Book Antiqua" w:hAnsi="Book Antiqua" w:cs="Arial"/>
        </w:rPr>
        <w:lastRenderedPageBreak/>
        <w:t xml:space="preserve">lived apart </w:t>
      </w:r>
      <w:proofErr w:type="gramStart"/>
      <w:r>
        <w:rPr>
          <w:rFonts w:ascii="Book Antiqua" w:hAnsi="Book Antiqua" w:cs="Arial"/>
        </w:rPr>
        <w:t>in excess of</w:t>
      </w:r>
      <w:proofErr w:type="gramEnd"/>
      <w:r>
        <w:rPr>
          <w:rFonts w:ascii="Book Antiqua" w:hAnsi="Book Antiqua" w:cs="Arial"/>
        </w:rPr>
        <w:t xml:space="preserve"> two years and the appellant was not wholly financially or emotionally dependent on the sponsor.</w:t>
      </w:r>
    </w:p>
    <w:p w:rsidR="00256253" w:rsidRDefault="00256253" w:rsidP="00256253">
      <w:pPr>
        <w:pStyle w:val="ListParagraph"/>
        <w:rPr>
          <w:rFonts w:ascii="Book Antiqua" w:hAnsi="Book Antiqua" w:cs="Arial"/>
        </w:rPr>
      </w:pPr>
    </w:p>
    <w:p w:rsidR="00256253" w:rsidRDefault="00256253" w:rsidP="002A54ED">
      <w:pPr>
        <w:numPr>
          <w:ilvl w:val="0"/>
          <w:numId w:val="3"/>
        </w:numPr>
        <w:ind w:left="567" w:hanging="567"/>
        <w:jc w:val="both"/>
        <w:rPr>
          <w:rFonts w:ascii="Book Antiqua" w:hAnsi="Book Antiqua" w:cs="Arial"/>
        </w:rPr>
      </w:pPr>
      <w:r>
        <w:rPr>
          <w:rFonts w:ascii="Book Antiqua" w:hAnsi="Book Antiqua" w:cs="Arial"/>
        </w:rPr>
        <w:t>He appealed.</w:t>
      </w:r>
    </w:p>
    <w:p w:rsidR="00296B36" w:rsidRDefault="00296B36" w:rsidP="00296B36">
      <w:pPr>
        <w:pStyle w:val="ListParagraph"/>
        <w:rPr>
          <w:rFonts w:ascii="Book Antiqua" w:hAnsi="Book Antiqua" w:cs="Arial"/>
        </w:rPr>
      </w:pPr>
    </w:p>
    <w:p w:rsidR="00296B36" w:rsidRPr="00296B36" w:rsidRDefault="00296B36" w:rsidP="00296B36">
      <w:pPr>
        <w:ind w:left="567"/>
        <w:jc w:val="both"/>
        <w:rPr>
          <w:rFonts w:ascii="Book Antiqua" w:hAnsi="Book Antiqua" w:cs="Arial"/>
          <w:b/>
        </w:rPr>
      </w:pPr>
      <w:r w:rsidRPr="00296B36">
        <w:rPr>
          <w:rFonts w:ascii="Book Antiqua" w:hAnsi="Book Antiqua" w:cs="Arial"/>
          <w:b/>
        </w:rPr>
        <w:t>First tier hearing</w:t>
      </w:r>
    </w:p>
    <w:p w:rsidR="00256253" w:rsidRDefault="00256253" w:rsidP="00256253">
      <w:pPr>
        <w:pStyle w:val="ListParagraph"/>
        <w:rPr>
          <w:rFonts w:ascii="Book Antiqua" w:hAnsi="Book Antiqua" w:cs="Arial"/>
        </w:rPr>
      </w:pPr>
    </w:p>
    <w:p w:rsidR="00CE40C1" w:rsidRDefault="00256253" w:rsidP="002A54ED">
      <w:pPr>
        <w:numPr>
          <w:ilvl w:val="0"/>
          <w:numId w:val="3"/>
        </w:numPr>
        <w:ind w:left="567" w:hanging="567"/>
        <w:jc w:val="both"/>
        <w:rPr>
          <w:rFonts w:ascii="Book Antiqua" w:hAnsi="Book Antiqua" w:cs="Arial"/>
        </w:rPr>
      </w:pPr>
      <w:r>
        <w:rPr>
          <w:rFonts w:ascii="Book Antiqua" w:hAnsi="Book Antiqua" w:cs="Arial"/>
        </w:rPr>
        <w:t xml:space="preserve">Following a hearing at Taylor House on 26 June 2017, Judge of the First-tier Davey </w:t>
      </w:r>
      <w:r w:rsidR="00E87973">
        <w:rPr>
          <w:rFonts w:ascii="Book Antiqua" w:hAnsi="Book Antiqua" w:cs="Arial"/>
        </w:rPr>
        <w:t>allowed the appeal on human rights grounds.</w:t>
      </w:r>
    </w:p>
    <w:p w:rsidR="00CE40C1" w:rsidRDefault="00CE40C1" w:rsidP="00CE40C1">
      <w:pPr>
        <w:pStyle w:val="ListParagraph"/>
        <w:rPr>
          <w:rFonts w:ascii="Book Antiqua" w:hAnsi="Book Antiqua" w:cs="Arial"/>
        </w:rPr>
      </w:pPr>
    </w:p>
    <w:p w:rsidR="00CE40C1" w:rsidRDefault="00CE40C1" w:rsidP="002A54ED">
      <w:pPr>
        <w:numPr>
          <w:ilvl w:val="0"/>
          <w:numId w:val="3"/>
        </w:numPr>
        <w:ind w:left="567" w:hanging="567"/>
        <w:jc w:val="both"/>
        <w:rPr>
          <w:rFonts w:ascii="Book Antiqua" w:hAnsi="Book Antiqua" w:cs="Arial"/>
        </w:rPr>
      </w:pPr>
      <w:r>
        <w:rPr>
          <w:rFonts w:ascii="Book Antiqua" w:hAnsi="Book Antiqua" w:cs="Arial"/>
        </w:rPr>
        <w:t>The appellant’s position was that he was wholly financially and emotionally dependant on the sponsor.  The respondent’s decision was an unlawful interference with family/private life rights contrary to</w:t>
      </w:r>
      <w:r w:rsidR="00941FA5">
        <w:rPr>
          <w:rFonts w:ascii="Book Antiqua" w:hAnsi="Book Antiqua" w:cs="Arial"/>
        </w:rPr>
        <w:t xml:space="preserve"> a</w:t>
      </w:r>
      <w:r>
        <w:rPr>
          <w:rFonts w:ascii="Book Antiqua" w:hAnsi="Book Antiqua" w:cs="Arial"/>
        </w:rPr>
        <w:t>rticle 8 ECHR.</w:t>
      </w:r>
    </w:p>
    <w:p w:rsidR="00CE40C1" w:rsidRDefault="00CE40C1" w:rsidP="00CE40C1">
      <w:pPr>
        <w:pStyle w:val="ListParagraph"/>
        <w:rPr>
          <w:rFonts w:ascii="Book Antiqua" w:hAnsi="Book Antiqua" w:cs="Arial"/>
        </w:rPr>
      </w:pPr>
    </w:p>
    <w:p w:rsidR="00393CAD" w:rsidRDefault="00FC1BD7" w:rsidP="002A54ED">
      <w:pPr>
        <w:numPr>
          <w:ilvl w:val="0"/>
          <w:numId w:val="3"/>
        </w:numPr>
        <w:ind w:left="567" w:hanging="567"/>
        <w:jc w:val="both"/>
        <w:rPr>
          <w:rFonts w:ascii="Book Antiqua" w:hAnsi="Book Antiqua" w:cs="Arial"/>
        </w:rPr>
      </w:pPr>
      <w:r>
        <w:rPr>
          <w:rFonts w:ascii="Book Antiqua" w:hAnsi="Book Antiqua" w:cs="Arial"/>
        </w:rPr>
        <w:t>The j</w:t>
      </w:r>
      <w:r w:rsidR="00CE40C1">
        <w:rPr>
          <w:rFonts w:ascii="Book Antiqua" w:hAnsi="Book Antiqua" w:cs="Arial"/>
        </w:rPr>
        <w:t>udge noted th</w:t>
      </w:r>
      <w:r w:rsidR="00E87973">
        <w:rPr>
          <w:rFonts w:ascii="Book Antiqua" w:hAnsi="Book Antiqua" w:cs="Arial"/>
        </w:rPr>
        <w:t>e unchallenged evidence, namely,</w:t>
      </w:r>
      <w:r w:rsidR="00CE40C1">
        <w:rPr>
          <w:rFonts w:ascii="Book Antiqua" w:hAnsi="Book Antiqua" w:cs="Arial"/>
        </w:rPr>
        <w:t xml:space="preserve"> that </w:t>
      </w:r>
      <w:r w:rsidR="00393CAD">
        <w:rPr>
          <w:rFonts w:ascii="Book Antiqua" w:hAnsi="Book Antiqua" w:cs="Arial"/>
        </w:rPr>
        <w:t xml:space="preserve">having served as a Gurkha soldier his father was discharged with an exemplary conduct assessment in 1986.  </w:t>
      </w:r>
      <w:r w:rsidR="00E87973">
        <w:rPr>
          <w:rFonts w:ascii="Book Antiqua" w:hAnsi="Book Antiqua" w:cs="Arial"/>
        </w:rPr>
        <w:t xml:space="preserve">The appellant was born in Brunei during British Army service. </w:t>
      </w:r>
      <w:r w:rsidR="00393CAD">
        <w:rPr>
          <w:rFonts w:ascii="Book Antiqua" w:hAnsi="Book Antiqua" w:cs="Arial"/>
        </w:rPr>
        <w:t xml:space="preserve">Following </w:t>
      </w:r>
      <w:proofErr w:type="gramStart"/>
      <w:r w:rsidR="00393CAD">
        <w:rPr>
          <w:rFonts w:ascii="Book Antiqua" w:hAnsi="Book Antiqua" w:cs="Arial"/>
        </w:rPr>
        <w:t>discharge</w:t>
      </w:r>
      <w:proofErr w:type="gramEnd"/>
      <w:r w:rsidR="00393CAD">
        <w:rPr>
          <w:rFonts w:ascii="Book Antiqua" w:hAnsi="Book Antiqua" w:cs="Arial"/>
        </w:rPr>
        <w:t xml:space="preserve"> </w:t>
      </w:r>
      <w:r w:rsidR="00C70D82">
        <w:rPr>
          <w:rFonts w:ascii="Book Antiqua" w:hAnsi="Book Antiqua" w:cs="Arial"/>
        </w:rPr>
        <w:t>t</w:t>
      </w:r>
      <w:r w:rsidR="00393CAD">
        <w:rPr>
          <w:rFonts w:ascii="Book Antiqua" w:hAnsi="Book Antiqua" w:cs="Arial"/>
        </w:rPr>
        <w:t>he</w:t>
      </w:r>
      <w:r w:rsidR="00C70D82">
        <w:rPr>
          <w:rFonts w:ascii="Book Antiqua" w:hAnsi="Book Antiqua" w:cs="Arial"/>
        </w:rPr>
        <w:t xml:space="preserve"> sponsor</w:t>
      </w:r>
      <w:r w:rsidR="00393CAD">
        <w:rPr>
          <w:rFonts w:ascii="Book Antiqua" w:hAnsi="Book Antiqua" w:cs="Arial"/>
        </w:rPr>
        <w:t xml:space="preserve"> found work i</w:t>
      </w:r>
      <w:r w:rsidR="00E87973">
        <w:rPr>
          <w:rFonts w:ascii="Book Antiqua" w:hAnsi="Book Antiqua" w:cs="Arial"/>
        </w:rPr>
        <w:t xml:space="preserve">n Brunei. </w:t>
      </w:r>
    </w:p>
    <w:p w:rsidR="00393CAD" w:rsidRDefault="00393CAD" w:rsidP="00393CAD">
      <w:pPr>
        <w:pStyle w:val="ListParagraph"/>
        <w:rPr>
          <w:rFonts w:ascii="Book Antiqua" w:hAnsi="Book Antiqua" w:cs="Arial"/>
        </w:rPr>
      </w:pPr>
    </w:p>
    <w:p w:rsidR="00393CAD" w:rsidRDefault="00393CAD" w:rsidP="002A54ED">
      <w:pPr>
        <w:numPr>
          <w:ilvl w:val="0"/>
          <w:numId w:val="3"/>
        </w:numPr>
        <w:ind w:left="567" w:hanging="567"/>
        <w:jc w:val="both"/>
        <w:rPr>
          <w:rFonts w:ascii="Book Antiqua" w:hAnsi="Book Antiqua" w:cs="Arial"/>
        </w:rPr>
      </w:pPr>
      <w:r>
        <w:rPr>
          <w:rFonts w:ascii="Book Antiqua" w:hAnsi="Book Antiqua" w:cs="Arial"/>
        </w:rPr>
        <w:t>In 2006 he got ILR enabling him to settle in the UK.  His wife followed him to the UK soon after.  But for</w:t>
      </w:r>
      <w:r w:rsidR="00F51C23">
        <w:rPr>
          <w:rFonts w:ascii="Book Antiqua" w:hAnsi="Book Antiqua" w:cs="Arial"/>
        </w:rPr>
        <w:t xml:space="preserve"> the</w:t>
      </w:r>
      <w:r>
        <w:rPr>
          <w:rFonts w:ascii="Book Antiqua" w:hAnsi="Book Antiqua" w:cs="Arial"/>
        </w:rPr>
        <w:t xml:space="preserve"> the</w:t>
      </w:r>
      <w:r w:rsidR="00E87973">
        <w:rPr>
          <w:rFonts w:ascii="Book Antiqua" w:hAnsi="Book Antiqua" w:cs="Arial"/>
        </w:rPr>
        <w:t>n</w:t>
      </w:r>
      <w:r>
        <w:rPr>
          <w:rFonts w:ascii="Book Antiqua" w:hAnsi="Book Antiqua" w:cs="Arial"/>
        </w:rPr>
        <w:t xml:space="preserve"> policy he would have applied for his children to join him. </w:t>
      </w:r>
    </w:p>
    <w:p w:rsidR="00393CAD" w:rsidRDefault="00393CAD" w:rsidP="00393CAD">
      <w:pPr>
        <w:pStyle w:val="ListParagraph"/>
        <w:rPr>
          <w:rFonts w:ascii="Book Antiqua" w:hAnsi="Book Antiqua" w:cs="Arial"/>
        </w:rPr>
      </w:pPr>
    </w:p>
    <w:p w:rsidR="00393CAD" w:rsidRDefault="00393CAD" w:rsidP="002A54ED">
      <w:pPr>
        <w:numPr>
          <w:ilvl w:val="0"/>
          <w:numId w:val="3"/>
        </w:numPr>
        <w:ind w:left="567" w:hanging="567"/>
        <w:jc w:val="both"/>
        <w:rPr>
          <w:rFonts w:ascii="Book Antiqua" w:hAnsi="Book Antiqua" w:cs="Arial"/>
        </w:rPr>
      </w:pPr>
      <w:r>
        <w:rPr>
          <w:rFonts w:ascii="Book Antiqua" w:hAnsi="Book Antiqua" w:cs="Arial"/>
        </w:rPr>
        <w:t>The sponsor and his wife returned several times to Nepal for lengthy stays but had to return to the UK when necessary to ensure they did not lose settlement status.  They made shorter visits in 2014, 2015, 2016 and 2017.</w:t>
      </w:r>
      <w:r w:rsidR="00634378">
        <w:rPr>
          <w:rFonts w:ascii="Book Antiqua" w:hAnsi="Book Antiqua" w:cs="Arial"/>
        </w:rPr>
        <w:t xml:space="preserve"> The only reason they went was to look after their son.</w:t>
      </w:r>
    </w:p>
    <w:p w:rsidR="00393CAD" w:rsidRDefault="00393CAD" w:rsidP="00393CAD">
      <w:pPr>
        <w:pStyle w:val="ListParagraph"/>
        <w:rPr>
          <w:rFonts w:ascii="Book Antiqua" w:hAnsi="Book Antiqua" w:cs="Arial"/>
        </w:rPr>
      </w:pPr>
    </w:p>
    <w:p w:rsidR="00AC5C1E" w:rsidRDefault="00393CAD" w:rsidP="002A54ED">
      <w:pPr>
        <w:numPr>
          <w:ilvl w:val="0"/>
          <w:numId w:val="3"/>
        </w:numPr>
        <w:ind w:left="567" w:hanging="567"/>
        <w:jc w:val="both"/>
        <w:rPr>
          <w:rFonts w:ascii="Book Antiqua" w:hAnsi="Book Antiqua" w:cs="Arial"/>
        </w:rPr>
      </w:pPr>
      <w:r>
        <w:rPr>
          <w:rFonts w:ascii="Book Antiqua" w:hAnsi="Book Antiqua" w:cs="Arial"/>
        </w:rPr>
        <w:t>The evidence was that the appellant has not formed an independent life, has always been fully financially and emotionally dependant on his parents, they have never truly been separated and that such physical separation as has occurred has not effectively changed family life.</w:t>
      </w:r>
    </w:p>
    <w:p w:rsidR="00AC5C1E" w:rsidRDefault="00AC5C1E" w:rsidP="00AC5C1E">
      <w:pPr>
        <w:pStyle w:val="ListParagraph"/>
        <w:rPr>
          <w:rFonts w:ascii="Book Antiqua" w:hAnsi="Book Antiqua" w:cs="Arial"/>
        </w:rPr>
      </w:pPr>
    </w:p>
    <w:p w:rsidR="00AC5C1E" w:rsidRDefault="00AC5C1E" w:rsidP="002A54ED">
      <w:pPr>
        <w:numPr>
          <w:ilvl w:val="0"/>
          <w:numId w:val="3"/>
        </w:numPr>
        <w:ind w:left="567" w:hanging="567"/>
        <w:jc w:val="both"/>
        <w:rPr>
          <w:rFonts w:ascii="Book Antiqua" w:hAnsi="Book Antiqua" w:cs="Arial"/>
        </w:rPr>
      </w:pPr>
      <w:r>
        <w:rPr>
          <w:rFonts w:ascii="Book Antiqua" w:hAnsi="Book Antiqua" w:cs="Arial"/>
        </w:rPr>
        <w:t>Further evidence was that the appellant has only a limited education, speaks poor Engli</w:t>
      </w:r>
      <w:r w:rsidR="00E87973">
        <w:rPr>
          <w:rFonts w:ascii="Book Antiqua" w:hAnsi="Book Antiqua" w:cs="Arial"/>
        </w:rPr>
        <w:t xml:space="preserve">sh but </w:t>
      </w:r>
      <w:proofErr w:type="gramStart"/>
      <w:r w:rsidR="00E87973">
        <w:rPr>
          <w:rFonts w:ascii="Book Antiqua" w:hAnsi="Book Antiqua" w:cs="Arial"/>
        </w:rPr>
        <w:t>has the ability</w:t>
      </w:r>
      <w:r>
        <w:rPr>
          <w:rFonts w:ascii="Book Antiqua" w:hAnsi="Book Antiqua" w:cs="Arial"/>
        </w:rPr>
        <w:t xml:space="preserve"> to</w:t>
      </w:r>
      <w:proofErr w:type="gramEnd"/>
      <w:r>
        <w:rPr>
          <w:rFonts w:ascii="Book Antiqua" w:hAnsi="Book Antiqua" w:cs="Arial"/>
        </w:rPr>
        <w:t xml:space="preserve"> learn it, is unmarried and unemployed and unable to find work.  A further difficulty in that regard is that following an accident</w:t>
      </w:r>
      <w:r w:rsidR="00E87973">
        <w:rPr>
          <w:rFonts w:ascii="Book Antiqua" w:hAnsi="Book Antiqua" w:cs="Arial"/>
        </w:rPr>
        <w:t xml:space="preserve"> in 2012</w:t>
      </w:r>
      <w:r>
        <w:rPr>
          <w:rFonts w:ascii="Book Antiqua" w:hAnsi="Book Antiqua" w:cs="Arial"/>
        </w:rPr>
        <w:t xml:space="preserve"> when he suffered a serious leg break he has mobility problems</w:t>
      </w:r>
      <w:r w:rsidR="005374A5">
        <w:rPr>
          <w:rFonts w:ascii="Book Antiqua" w:hAnsi="Book Antiqua" w:cs="Arial"/>
        </w:rPr>
        <w:t xml:space="preserve"> for which he required care</w:t>
      </w:r>
      <w:r>
        <w:rPr>
          <w:rFonts w:ascii="Book Antiqua" w:hAnsi="Book Antiqua" w:cs="Arial"/>
        </w:rPr>
        <w:t>.</w:t>
      </w:r>
    </w:p>
    <w:p w:rsidR="00AC5C1E" w:rsidRDefault="00AC5C1E" w:rsidP="00AC5C1E">
      <w:pPr>
        <w:pStyle w:val="ListParagraph"/>
        <w:rPr>
          <w:rFonts w:ascii="Book Antiqua" w:hAnsi="Book Antiqua" w:cs="Arial"/>
        </w:rPr>
      </w:pPr>
    </w:p>
    <w:p w:rsidR="00AC5C1E" w:rsidRDefault="00AC5C1E" w:rsidP="002A54ED">
      <w:pPr>
        <w:numPr>
          <w:ilvl w:val="0"/>
          <w:numId w:val="3"/>
        </w:numPr>
        <w:ind w:left="567" w:hanging="567"/>
        <w:jc w:val="both"/>
        <w:rPr>
          <w:rFonts w:ascii="Book Antiqua" w:hAnsi="Book Antiqua" w:cs="Arial"/>
        </w:rPr>
      </w:pPr>
      <w:r>
        <w:rPr>
          <w:rFonts w:ascii="Book Antiqua" w:hAnsi="Book Antiqua" w:cs="Arial"/>
        </w:rPr>
        <w:t>In moving on to consider his asse</w:t>
      </w:r>
      <w:r w:rsidR="00FC1BD7">
        <w:rPr>
          <w:rFonts w:ascii="Book Antiqua" w:hAnsi="Book Antiqua" w:cs="Arial"/>
        </w:rPr>
        <w:t>ssment of the evidence the j</w:t>
      </w:r>
      <w:r>
        <w:rPr>
          <w:rFonts w:ascii="Book Antiqua" w:hAnsi="Book Antiqua" w:cs="Arial"/>
        </w:rPr>
        <w:t xml:space="preserve">udge took the view that </w:t>
      </w:r>
      <w:proofErr w:type="gramStart"/>
      <w:r>
        <w:rPr>
          <w:rFonts w:ascii="Book Antiqua" w:hAnsi="Book Antiqua" w:cs="Arial"/>
        </w:rPr>
        <w:t>a number of</w:t>
      </w:r>
      <w:proofErr w:type="gramEnd"/>
      <w:r>
        <w:rPr>
          <w:rFonts w:ascii="Book Antiqua" w:hAnsi="Book Antiqua" w:cs="Arial"/>
        </w:rPr>
        <w:t xml:space="preserve"> points were relevant.  These included the historic injustice and consequences of the</w:t>
      </w:r>
      <w:r w:rsidR="00050E2A">
        <w:rPr>
          <w:rFonts w:ascii="Book Antiqua" w:hAnsi="Book Antiqua" w:cs="Arial"/>
        </w:rPr>
        <w:t xml:space="preserve"> then</w:t>
      </w:r>
      <w:r w:rsidR="00E87973">
        <w:rPr>
          <w:rFonts w:ascii="Book Antiqua" w:hAnsi="Book Antiqua" w:cs="Arial"/>
        </w:rPr>
        <w:t xml:space="preserve"> policy; that </w:t>
      </w:r>
      <w:r>
        <w:rPr>
          <w:rFonts w:ascii="Book Antiqua" w:hAnsi="Book Antiqua" w:cs="Arial"/>
        </w:rPr>
        <w:t>in</w:t>
      </w:r>
      <w:r w:rsidR="00E87973">
        <w:rPr>
          <w:rFonts w:ascii="Book Antiqua" w:hAnsi="Book Antiqua" w:cs="Arial"/>
        </w:rPr>
        <w:t xml:space="preserve"> the context of family life</w:t>
      </w:r>
      <w:r>
        <w:rPr>
          <w:rFonts w:ascii="Book Antiqua" w:hAnsi="Book Antiqua" w:cs="Arial"/>
        </w:rPr>
        <w:t xml:space="preserve"> whilst there is a positive obligation to foster the development of family life, something more needs to exist b</w:t>
      </w:r>
      <w:r w:rsidR="00E87973">
        <w:rPr>
          <w:rFonts w:ascii="Book Antiqua" w:hAnsi="Book Antiqua" w:cs="Arial"/>
        </w:rPr>
        <w:t>eyond the normal emotional ties</w:t>
      </w:r>
      <w:r>
        <w:rPr>
          <w:rFonts w:ascii="Book Antiqua" w:hAnsi="Book Antiqua" w:cs="Arial"/>
        </w:rPr>
        <w:t xml:space="preserve"> that might arise between adults </w:t>
      </w:r>
      <w:proofErr w:type="gramStart"/>
      <w:r>
        <w:rPr>
          <w:rFonts w:ascii="Book Antiqua" w:hAnsi="Book Antiqua" w:cs="Arial"/>
        </w:rPr>
        <w:t>in par</w:t>
      </w:r>
      <w:r w:rsidR="00E87973">
        <w:rPr>
          <w:rFonts w:ascii="Book Antiqua" w:hAnsi="Book Antiqua" w:cs="Arial"/>
        </w:rPr>
        <w:t>ticular parents</w:t>
      </w:r>
      <w:proofErr w:type="gramEnd"/>
      <w:r w:rsidR="00E87973">
        <w:rPr>
          <w:rFonts w:ascii="Book Antiqua" w:hAnsi="Book Antiqua" w:cs="Arial"/>
        </w:rPr>
        <w:t xml:space="preserve"> and their child;</w:t>
      </w:r>
      <w:r w:rsidR="00050E2A">
        <w:rPr>
          <w:rFonts w:ascii="Book Antiqua" w:hAnsi="Book Antiqua" w:cs="Arial"/>
        </w:rPr>
        <w:t xml:space="preserve"> that elements of dependency</w:t>
      </w:r>
      <w:r>
        <w:rPr>
          <w:rFonts w:ascii="Book Antiqua" w:hAnsi="Book Antiqua" w:cs="Arial"/>
        </w:rPr>
        <w:t xml:space="preserve"> may be found and that such means</w:t>
      </w:r>
      <w:r w:rsidR="00941FA5" w:rsidRPr="00853349">
        <w:rPr>
          <w:rFonts w:ascii="Book Antiqua" w:hAnsi="Book Antiqua" w:cs="Arial"/>
          <w:i/>
        </w:rPr>
        <w:t xml:space="preserve"> </w:t>
      </w:r>
      <w:r w:rsidR="00853349">
        <w:rPr>
          <w:rFonts w:ascii="Book Antiqua" w:hAnsi="Book Antiqua" w:cs="Arial"/>
          <w:i/>
        </w:rPr>
        <w:t>‘</w:t>
      </w:r>
      <w:r w:rsidR="00941FA5" w:rsidRPr="00853349">
        <w:rPr>
          <w:rFonts w:ascii="Book Antiqua" w:hAnsi="Book Antiqua" w:cs="Arial"/>
          <w:i/>
        </w:rPr>
        <w:t>support</w:t>
      </w:r>
      <w:r w:rsidR="00853349">
        <w:rPr>
          <w:rFonts w:ascii="Book Antiqua" w:hAnsi="Book Antiqua" w:cs="Arial"/>
        </w:rPr>
        <w:t>’</w:t>
      </w:r>
      <w:r w:rsidR="00941FA5">
        <w:rPr>
          <w:rFonts w:ascii="Book Antiqua" w:hAnsi="Book Antiqua" w:cs="Arial"/>
        </w:rPr>
        <w:t xml:space="preserve"> that is</w:t>
      </w:r>
      <w:r>
        <w:rPr>
          <w:rFonts w:ascii="Book Antiqua" w:hAnsi="Book Antiqua" w:cs="Arial"/>
        </w:rPr>
        <w:t xml:space="preserve"> ‘</w:t>
      </w:r>
      <w:r w:rsidRPr="00941FA5">
        <w:rPr>
          <w:rFonts w:ascii="Book Antiqua" w:hAnsi="Book Antiqua" w:cs="Arial"/>
          <w:i/>
        </w:rPr>
        <w:t>real</w:t>
      </w:r>
      <w:r w:rsidR="00941FA5">
        <w:rPr>
          <w:rFonts w:ascii="Book Antiqua" w:hAnsi="Book Antiqua" w:cs="Arial"/>
          <w:i/>
        </w:rPr>
        <w:t>’,</w:t>
      </w:r>
      <w:r>
        <w:rPr>
          <w:rFonts w:ascii="Book Antiqua" w:hAnsi="Book Antiqua" w:cs="Arial"/>
        </w:rPr>
        <w:t xml:space="preserve"> ‘</w:t>
      </w:r>
      <w:r w:rsidR="00853349">
        <w:rPr>
          <w:rFonts w:ascii="Book Antiqua" w:hAnsi="Book Antiqua" w:cs="Arial"/>
          <w:i/>
        </w:rPr>
        <w:t>effective</w:t>
      </w:r>
      <w:r w:rsidRPr="00941FA5">
        <w:rPr>
          <w:rFonts w:ascii="Book Antiqua" w:hAnsi="Book Antiqua" w:cs="Arial"/>
          <w:i/>
        </w:rPr>
        <w:t>’</w:t>
      </w:r>
      <w:r>
        <w:rPr>
          <w:rFonts w:ascii="Book Antiqua" w:hAnsi="Book Antiqua" w:cs="Arial"/>
        </w:rPr>
        <w:t xml:space="preserve"> or ‘</w:t>
      </w:r>
      <w:r w:rsidR="00941FA5">
        <w:rPr>
          <w:rFonts w:ascii="Book Antiqua" w:hAnsi="Book Antiqua" w:cs="Arial"/>
          <w:i/>
        </w:rPr>
        <w:t>committed</w:t>
      </w:r>
      <w:r w:rsidRPr="00941FA5">
        <w:rPr>
          <w:rFonts w:ascii="Book Antiqua" w:hAnsi="Book Antiqua" w:cs="Arial"/>
          <w:i/>
        </w:rPr>
        <w:t>’</w:t>
      </w:r>
      <w:r w:rsidR="00853349">
        <w:rPr>
          <w:rFonts w:ascii="Book Antiqua" w:hAnsi="Book Antiqua" w:cs="Arial"/>
        </w:rPr>
        <w:t xml:space="preserve"> (per </w:t>
      </w:r>
      <w:proofErr w:type="spellStart"/>
      <w:r w:rsidR="00853349" w:rsidRPr="00853349">
        <w:rPr>
          <w:rFonts w:ascii="Book Antiqua" w:hAnsi="Book Antiqua" w:cs="Arial"/>
          <w:b/>
          <w:i/>
        </w:rPr>
        <w:t>K</w:t>
      </w:r>
      <w:r w:rsidR="00853349" w:rsidRPr="00853349">
        <w:rPr>
          <w:rFonts w:ascii="Book Antiqua" w:hAnsi="Book Antiqua" w:cs="Arial"/>
          <w:b/>
          <w:i/>
          <w:u w:val="single"/>
        </w:rPr>
        <w:t>ugathas</w:t>
      </w:r>
      <w:proofErr w:type="spellEnd"/>
      <w:r w:rsidR="00853349">
        <w:rPr>
          <w:rFonts w:ascii="Book Antiqua" w:hAnsi="Book Antiqua" w:cs="Arial"/>
        </w:rPr>
        <w:t xml:space="preserve"> [2003] EWCA </w:t>
      </w:r>
      <w:proofErr w:type="spellStart"/>
      <w:r w:rsidR="00853349">
        <w:rPr>
          <w:rFonts w:ascii="Book Antiqua" w:hAnsi="Book Antiqua" w:cs="Arial"/>
        </w:rPr>
        <w:t>Civ</w:t>
      </w:r>
      <w:proofErr w:type="spellEnd"/>
      <w:r w:rsidR="00853349">
        <w:rPr>
          <w:rFonts w:ascii="Book Antiqua" w:hAnsi="Book Antiqua" w:cs="Arial"/>
        </w:rPr>
        <w:t xml:space="preserve"> 3 at [17]).</w:t>
      </w:r>
      <w:r>
        <w:rPr>
          <w:rFonts w:ascii="Book Antiqua" w:hAnsi="Book Antiqua" w:cs="Arial"/>
        </w:rPr>
        <w:t xml:space="preserve"> Also</w:t>
      </w:r>
      <w:r w:rsidR="00E87973">
        <w:rPr>
          <w:rFonts w:ascii="Book Antiqua" w:hAnsi="Book Antiqua" w:cs="Arial"/>
        </w:rPr>
        <w:t>,</w:t>
      </w:r>
      <w:r>
        <w:rPr>
          <w:rFonts w:ascii="Book Antiqua" w:hAnsi="Book Antiqua" w:cs="Arial"/>
        </w:rPr>
        <w:t xml:space="preserve"> that attaining the age of majority does not end family lif</w:t>
      </w:r>
      <w:r w:rsidR="00E87973">
        <w:rPr>
          <w:rFonts w:ascii="Book Antiqua" w:hAnsi="Book Antiqua" w:cs="Arial"/>
        </w:rPr>
        <w:t>e nor does voluntary separation;</w:t>
      </w:r>
      <w:r>
        <w:rPr>
          <w:rFonts w:ascii="Book Antiqua" w:hAnsi="Book Antiqua" w:cs="Arial"/>
        </w:rPr>
        <w:t xml:space="preserve"> that in assessing the existence of family life obviously relevant is whether the child has established a life of their own.</w:t>
      </w:r>
    </w:p>
    <w:p w:rsidR="00AC5C1E" w:rsidRDefault="00AC5C1E" w:rsidP="00AC5C1E">
      <w:pPr>
        <w:pStyle w:val="ListParagraph"/>
        <w:rPr>
          <w:rFonts w:ascii="Book Antiqua" w:hAnsi="Book Antiqua" w:cs="Arial"/>
        </w:rPr>
      </w:pPr>
    </w:p>
    <w:p w:rsidR="00AC5C1E" w:rsidRDefault="00FC1BD7" w:rsidP="002A54ED">
      <w:pPr>
        <w:numPr>
          <w:ilvl w:val="0"/>
          <w:numId w:val="3"/>
        </w:numPr>
        <w:ind w:left="567" w:hanging="567"/>
        <w:jc w:val="both"/>
        <w:rPr>
          <w:rFonts w:ascii="Book Antiqua" w:hAnsi="Book Antiqua" w:cs="Arial"/>
        </w:rPr>
      </w:pPr>
      <w:r>
        <w:rPr>
          <w:rFonts w:ascii="Book Antiqua" w:hAnsi="Book Antiqua" w:cs="Arial"/>
        </w:rPr>
        <w:t>The j</w:t>
      </w:r>
      <w:r w:rsidR="00AC5C1E">
        <w:rPr>
          <w:rFonts w:ascii="Book Antiqua" w:hAnsi="Book Antiqua" w:cs="Arial"/>
        </w:rPr>
        <w:t>udge’s conclusions are at paragraph 13ff.  He found on the undisputed facts that there is family life.  He noted</w:t>
      </w:r>
      <w:r w:rsidR="00050E2A">
        <w:rPr>
          <w:rFonts w:ascii="Book Antiqua" w:hAnsi="Book Antiqua" w:cs="Arial"/>
        </w:rPr>
        <w:t xml:space="preserve"> again</w:t>
      </w:r>
      <w:r w:rsidR="00AC5C1E">
        <w:rPr>
          <w:rFonts w:ascii="Book Antiqua" w:hAnsi="Book Antiqua" w:cs="Arial"/>
        </w:rPr>
        <w:t xml:space="preserve"> that there </w:t>
      </w:r>
      <w:proofErr w:type="gramStart"/>
      <w:r w:rsidR="00AC5C1E">
        <w:rPr>
          <w:rFonts w:ascii="Book Antiqua" w:hAnsi="Book Antiqua" w:cs="Arial"/>
        </w:rPr>
        <w:t>has to</w:t>
      </w:r>
      <w:proofErr w:type="gramEnd"/>
      <w:r w:rsidR="00AC5C1E">
        <w:rPr>
          <w:rFonts w:ascii="Book Antiqua" w:hAnsi="Book Antiqua" w:cs="Arial"/>
        </w:rPr>
        <w:t xml:space="preserve"> be something more than normal love and affection.  The appellant has a close relationship with his parents and they speak on a very regular basis over and above that which might be expected.  There is clear</w:t>
      </w:r>
      <w:r w:rsidR="00050E2A">
        <w:rPr>
          <w:rFonts w:ascii="Book Antiqua" w:hAnsi="Book Antiqua" w:cs="Arial"/>
        </w:rPr>
        <w:t xml:space="preserve"> financial dependency</w:t>
      </w:r>
      <w:r w:rsidR="00AC5C1E">
        <w:rPr>
          <w:rFonts w:ascii="Book Antiqua" w:hAnsi="Book Antiqua" w:cs="Arial"/>
        </w:rPr>
        <w:t xml:space="preserve"> borne out of necessity and the limitations of his health.  He is still living in the family home, not truly living an independent life and needs the support and external care provided.</w:t>
      </w:r>
    </w:p>
    <w:p w:rsidR="00AC5C1E" w:rsidRDefault="00AC5C1E" w:rsidP="00AC5C1E">
      <w:pPr>
        <w:pStyle w:val="ListParagraph"/>
        <w:rPr>
          <w:rFonts w:ascii="Book Antiqua" w:hAnsi="Book Antiqua" w:cs="Arial"/>
        </w:rPr>
      </w:pPr>
    </w:p>
    <w:p w:rsidR="00AC5C1E" w:rsidRDefault="00AC5C1E" w:rsidP="002A54ED">
      <w:pPr>
        <w:numPr>
          <w:ilvl w:val="0"/>
          <w:numId w:val="3"/>
        </w:numPr>
        <w:ind w:left="567" w:hanging="567"/>
        <w:jc w:val="both"/>
        <w:rPr>
          <w:rFonts w:ascii="Book Antiqua" w:hAnsi="Book Antiqua" w:cs="Arial"/>
        </w:rPr>
      </w:pPr>
      <w:r>
        <w:rPr>
          <w:rFonts w:ascii="Book Antiqua" w:hAnsi="Book Antiqua" w:cs="Arial"/>
        </w:rPr>
        <w:t>In c</w:t>
      </w:r>
      <w:r w:rsidR="00FC1BD7">
        <w:rPr>
          <w:rFonts w:ascii="Book Antiqua" w:hAnsi="Book Antiqua" w:cs="Arial"/>
        </w:rPr>
        <w:t>onsidering proportionality the j</w:t>
      </w:r>
      <w:r>
        <w:rPr>
          <w:rFonts w:ascii="Book Antiqua" w:hAnsi="Book Antiqua" w:cs="Arial"/>
        </w:rPr>
        <w:t>udge found that but for the historic injustice family life would never have been interfered with.</w:t>
      </w:r>
    </w:p>
    <w:p w:rsidR="00AC5C1E" w:rsidRDefault="00AC5C1E" w:rsidP="00AC5C1E">
      <w:pPr>
        <w:pStyle w:val="ListParagraph"/>
        <w:rPr>
          <w:rFonts w:ascii="Book Antiqua" w:hAnsi="Book Antiqua" w:cs="Arial"/>
        </w:rPr>
      </w:pPr>
    </w:p>
    <w:p w:rsidR="00E87973" w:rsidRDefault="00FC1BD7" w:rsidP="002A54ED">
      <w:pPr>
        <w:numPr>
          <w:ilvl w:val="0"/>
          <w:numId w:val="3"/>
        </w:numPr>
        <w:ind w:left="567" w:hanging="567"/>
        <w:jc w:val="both"/>
        <w:rPr>
          <w:rFonts w:ascii="Book Antiqua" w:hAnsi="Book Antiqua" w:cs="Arial"/>
        </w:rPr>
      </w:pPr>
      <w:r>
        <w:rPr>
          <w:rFonts w:ascii="Book Antiqua" w:hAnsi="Book Antiqua" w:cs="Arial"/>
        </w:rPr>
        <w:t>In considering s</w:t>
      </w:r>
      <w:r w:rsidR="00AC5C1E">
        <w:rPr>
          <w:rFonts w:ascii="Book Antiqua" w:hAnsi="Book Antiqua" w:cs="Arial"/>
        </w:rPr>
        <w:t>ection 117A and B of the Nationality, Immig</w:t>
      </w:r>
      <w:r>
        <w:rPr>
          <w:rFonts w:ascii="Book Antiqua" w:hAnsi="Book Antiqua" w:cs="Arial"/>
        </w:rPr>
        <w:t>ration and Asylum Act 2002 the judge found that ‘</w:t>
      </w:r>
      <w:r w:rsidR="00AC5C1E" w:rsidRPr="00F51C23">
        <w:rPr>
          <w:rFonts w:ascii="Book Antiqua" w:hAnsi="Book Antiqua" w:cs="Arial"/>
          <w:i/>
        </w:rPr>
        <w:t>the appellant can improve his English and with assistance be able to find albeit part-time work and therefore there is no reason why he needs to be a burden on the taxpayer in coming to the United Kingdom and maki</w:t>
      </w:r>
      <w:r w:rsidRPr="00F51C23">
        <w:rPr>
          <w:rFonts w:ascii="Book Antiqua" w:hAnsi="Book Antiqua" w:cs="Arial"/>
          <w:i/>
        </w:rPr>
        <w:t>ng a life here</w:t>
      </w:r>
      <w:r>
        <w:rPr>
          <w:rFonts w:ascii="Book Antiqua" w:hAnsi="Book Antiqua" w:cs="Arial"/>
        </w:rPr>
        <w:t xml:space="preserve"> </w:t>
      </w:r>
      <w:r w:rsidRPr="00F51C23">
        <w:rPr>
          <w:rFonts w:ascii="Book Antiqua" w:hAnsi="Book Antiqua" w:cs="Arial"/>
          <w:i/>
        </w:rPr>
        <w:t>with his family.’</w:t>
      </w:r>
      <w:r w:rsidR="00256253">
        <w:rPr>
          <w:rFonts w:ascii="Book Antiqua" w:hAnsi="Book Antiqua" w:cs="Arial"/>
        </w:rPr>
        <w:t xml:space="preserve">  </w:t>
      </w:r>
      <w:r w:rsidR="00F51C23">
        <w:rPr>
          <w:rFonts w:ascii="Book Antiqua" w:hAnsi="Book Antiqua" w:cs="Arial"/>
        </w:rPr>
        <w:t>[16]</w:t>
      </w:r>
    </w:p>
    <w:p w:rsidR="00E87973" w:rsidRDefault="00E87973" w:rsidP="00E87973">
      <w:pPr>
        <w:pStyle w:val="ListParagraph"/>
        <w:rPr>
          <w:rFonts w:ascii="Book Antiqua" w:hAnsi="Book Antiqua" w:cs="Arial"/>
        </w:rPr>
      </w:pPr>
    </w:p>
    <w:p w:rsidR="00256253" w:rsidRPr="00E87973" w:rsidRDefault="00E87973" w:rsidP="00E87973">
      <w:pPr>
        <w:ind w:left="567"/>
        <w:jc w:val="both"/>
        <w:rPr>
          <w:rFonts w:ascii="Book Antiqua" w:hAnsi="Book Antiqua" w:cs="Arial"/>
          <w:b/>
        </w:rPr>
      </w:pPr>
      <w:r w:rsidRPr="00E87973">
        <w:rPr>
          <w:rFonts w:ascii="Book Antiqua" w:hAnsi="Book Antiqua" w:cs="Arial"/>
          <w:b/>
        </w:rPr>
        <w:t>Error of law hearing</w:t>
      </w:r>
      <w:r w:rsidR="00256253" w:rsidRPr="00E87973">
        <w:rPr>
          <w:rFonts w:ascii="Book Antiqua" w:hAnsi="Book Antiqua" w:cs="Arial"/>
          <w:b/>
        </w:rPr>
        <w:t xml:space="preserve"> </w:t>
      </w:r>
    </w:p>
    <w:p w:rsidR="00F66AB9" w:rsidRDefault="00F66AB9" w:rsidP="00F66AB9">
      <w:pPr>
        <w:pStyle w:val="ListParagraph"/>
        <w:rPr>
          <w:rFonts w:ascii="Book Antiqua" w:hAnsi="Book Antiqua" w:cs="Arial"/>
        </w:rPr>
      </w:pPr>
    </w:p>
    <w:p w:rsidR="00E87973" w:rsidRPr="00E87973" w:rsidRDefault="00F66AB9" w:rsidP="00E87973">
      <w:pPr>
        <w:numPr>
          <w:ilvl w:val="0"/>
          <w:numId w:val="3"/>
        </w:numPr>
        <w:ind w:left="567" w:hanging="567"/>
        <w:jc w:val="both"/>
        <w:rPr>
          <w:rFonts w:ascii="Book Antiqua" w:hAnsi="Book Antiqua" w:cs="Arial"/>
        </w:rPr>
      </w:pPr>
      <w:r>
        <w:rPr>
          <w:rFonts w:ascii="Book Antiqua" w:hAnsi="Book Antiqua" w:cs="Arial"/>
        </w:rPr>
        <w:t>The respondent sought permission to appeal which was granted on 25 January 2018.</w:t>
      </w:r>
    </w:p>
    <w:p w:rsidR="00F66AB9" w:rsidRDefault="00F66AB9" w:rsidP="00F66AB9">
      <w:pPr>
        <w:pStyle w:val="ListParagraph"/>
        <w:rPr>
          <w:rFonts w:ascii="Book Antiqua" w:hAnsi="Book Antiqua" w:cs="Arial"/>
        </w:rPr>
      </w:pPr>
    </w:p>
    <w:p w:rsidR="00F66AB9" w:rsidRDefault="00F66AB9" w:rsidP="002A54ED">
      <w:pPr>
        <w:numPr>
          <w:ilvl w:val="0"/>
          <w:numId w:val="3"/>
        </w:numPr>
        <w:ind w:left="567" w:hanging="567"/>
        <w:jc w:val="both"/>
        <w:rPr>
          <w:rFonts w:ascii="Book Antiqua" w:hAnsi="Book Antiqua" w:cs="Arial"/>
        </w:rPr>
      </w:pPr>
      <w:r>
        <w:rPr>
          <w:rFonts w:ascii="Book Antiqua" w:hAnsi="Book Antiqua" w:cs="Arial"/>
        </w:rPr>
        <w:t>At the error of law hearing before me Ms Willocks-Briscoe relied on</w:t>
      </w:r>
      <w:r w:rsidR="00FC1BD7">
        <w:rPr>
          <w:rFonts w:ascii="Book Antiqua" w:hAnsi="Book Antiqua" w:cs="Arial"/>
        </w:rPr>
        <w:t xml:space="preserve"> the grounds.  In summary, the j</w:t>
      </w:r>
      <w:r>
        <w:rPr>
          <w:rFonts w:ascii="Book Antiqua" w:hAnsi="Book Antiqua" w:cs="Arial"/>
        </w:rPr>
        <w:t>udge had not been entitled on the ev</w:t>
      </w:r>
      <w:r w:rsidR="00634378">
        <w:rPr>
          <w:rFonts w:ascii="Book Antiqua" w:hAnsi="Book Antiqua" w:cs="Arial"/>
        </w:rPr>
        <w:t>idence before him to find that a</w:t>
      </w:r>
      <w:r>
        <w:rPr>
          <w:rFonts w:ascii="Book Antiqua" w:hAnsi="Book Antiqua" w:cs="Arial"/>
        </w:rPr>
        <w:t>rticle 8 was engaged.  The evidence did not show elements of dependency beyond the normal emoti</w:t>
      </w:r>
      <w:r w:rsidR="0017487E">
        <w:rPr>
          <w:rFonts w:ascii="Book Antiqua" w:hAnsi="Book Antiqua" w:cs="Arial"/>
        </w:rPr>
        <w:t xml:space="preserve">onal ties between adults.  The </w:t>
      </w:r>
      <w:r w:rsidR="00FC1BD7">
        <w:rPr>
          <w:rFonts w:ascii="Book Antiqua" w:hAnsi="Book Antiqua" w:cs="Arial"/>
        </w:rPr>
        <w:t>j</w:t>
      </w:r>
      <w:r>
        <w:rPr>
          <w:rFonts w:ascii="Book Antiqua" w:hAnsi="Book Antiqua" w:cs="Arial"/>
        </w:rPr>
        <w:t xml:space="preserve">udge recognised there had to be </w:t>
      </w:r>
      <w:r w:rsidRPr="00634378">
        <w:rPr>
          <w:rFonts w:ascii="Book Antiqua" w:hAnsi="Book Antiqua" w:cs="Arial"/>
          <w:i/>
        </w:rPr>
        <w:t>‘something more’</w:t>
      </w:r>
      <w:r w:rsidR="00634378">
        <w:rPr>
          <w:rFonts w:ascii="Book Antiqua" w:hAnsi="Book Antiqua" w:cs="Arial"/>
          <w:i/>
        </w:rPr>
        <w:t xml:space="preserve"> </w:t>
      </w:r>
      <w:r w:rsidR="00634378" w:rsidRPr="00634378">
        <w:rPr>
          <w:rFonts w:ascii="Book Antiqua" w:hAnsi="Book Antiqua" w:cs="Arial"/>
        </w:rPr>
        <w:t>[9</w:t>
      </w:r>
      <w:r w:rsidR="00E6342E">
        <w:rPr>
          <w:rFonts w:ascii="Book Antiqua" w:hAnsi="Book Antiqua" w:cs="Arial"/>
        </w:rPr>
        <w:t>,14</w:t>
      </w:r>
      <w:r w:rsidR="00634378" w:rsidRPr="00634378">
        <w:rPr>
          <w:rFonts w:ascii="Book Antiqua" w:hAnsi="Book Antiqua" w:cs="Arial"/>
        </w:rPr>
        <w:t>]</w:t>
      </w:r>
      <w:r w:rsidRPr="00634378">
        <w:rPr>
          <w:rFonts w:ascii="Book Antiqua" w:hAnsi="Book Antiqua" w:cs="Arial"/>
        </w:rPr>
        <w:t>.</w:t>
      </w:r>
      <w:r>
        <w:rPr>
          <w:rFonts w:ascii="Book Antiqua" w:hAnsi="Book Antiqua" w:cs="Arial"/>
        </w:rPr>
        <w:t xml:space="preserve">  He appeared to take that to be the appellant’s health.  However, he did so on limited evidence and not </w:t>
      </w:r>
      <w:proofErr w:type="gramStart"/>
      <w:r>
        <w:rPr>
          <w:rFonts w:ascii="Book Antiqua" w:hAnsi="Book Antiqua" w:cs="Arial"/>
        </w:rPr>
        <w:t>on the basis of</w:t>
      </w:r>
      <w:proofErr w:type="gramEnd"/>
      <w:r>
        <w:rPr>
          <w:rFonts w:ascii="Book Antiqua" w:hAnsi="Book Antiqua" w:cs="Arial"/>
        </w:rPr>
        <w:t xml:space="preserve"> anything up to date.  As such he should not</w:t>
      </w:r>
      <w:r w:rsidR="00517E7C">
        <w:rPr>
          <w:rFonts w:ascii="Book Antiqua" w:hAnsi="Book Antiqua" w:cs="Arial"/>
        </w:rPr>
        <w:t xml:space="preserve"> have</w:t>
      </w:r>
      <w:r>
        <w:rPr>
          <w:rFonts w:ascii="Book Antiqua" w:hAnsi="Book Antiqua" w:cs="Arial"/>
        </w:rPr>
        <w:t xml:space="preserve"> given weight to that limited evidence and in doing so he misdirected himself.</w:t>
      </w:r>
    </w:p>
    <w:p w:rsidR="00F66AB9" w:rsidRDefault="00F66AB9" w:rsidP="00F66AB9">
      <w:pPr>
        <w:pStyle w:val="ListParagraph"/>
        <w:rPr>
          <w:rFonts w:ascii="Book Antiqua" w:hAnsi="Book Antiqua" w:cs="Arial"/>
        </w:rPr>
      </w:pPr>
    </w:p>
    <w:p w:rsidR="00F66AB9" w:rsidRDefault="00F66AB9" w:rsidP="002A54ED">
      <w:pPr>
        <w:numPr>
          <w:ilvl w:val="0"/>
          <w:numId w:val="3"/>
        </w:numPr>
        <w:ind w:left="567" w:hanging="567"/>
        <w:jc w:val="both"/>
        <w:rPr>
          <w:rFonts w:ascii="Book Antiqua" w:hAnsi="Book Antiqua" w:cs="Arial"/>
        </w:rPr>
      </w:pPr>
      <w:r>
        <w:rPr>
          <w:rFonts w:ascii="Book Antiqua" w:hAnsi="Book Antiqua" w:cs="Arial"/>
        </w:rPr>
        <w:t>Ms W</w:t>
      </w:r>
      <w:r w:rsidR="00FC1BD7">
        <w:rPr>
          <w:rFonts w:ascii="Book Antiqua" w:hAnsi="Book Antiqua" w:cs="Arial"/>
        </w:rPr>
        <w:t>illocks-Briscoe added that the j</w:t>
      </w:r>
      <w:r>
        <w:rPr>
          <w:rFonts w:ascii="Book Antiqua" w:hAnsi="Book Antiqua" w:cs="Arial"/>
        </w:rPr>
        <w:t>udge appeared to have found that</w:t>
      </w:r>
      <w:r w:rsidR="00FC1BD7">
        <w:rPr>
          <w:rFonts w:ascii="Book Antiqua" w:hAnsi="Book Antiqua" w:cs="Arial"/>
        </w:rPr>
        <w:t xml:space="preserve"> were it not for the historic injustice</w:t>
      </w:r>
      <w:r>
        <w:rPr>
          <w:rFonts w:ascii="Book Antiqua" w:hAnsi="Book Antiqua" w:cs="Arial"/>
        </w:rPr>
        <w:t xml:space="preserve"> of Gurkha settlement policy the sponsor would have come to the UK on his retirement.  Such, however, was speculation and should not have been given weight in the proportionality assessment.</w:t>
      </w:r>
    </w:p>
    <w:p w:rsidR="00F66AB9" w:rsidRDefault="00F66AB9" w:rsidP="00F66AB9">
      <w:pPr>
        <w:pStyle w:val="ListParagraph"/>
        <w:rPr>
          <w:rFonts w:ascii="Book Antiqua" w:hAnsi="Book Antiqua" w:cs="Arial"/>
        </w:rPr>
      </w:pPr>
    </w:p>
    <w:p w:rsidR="00F66AB9" w:rsidRDefault="00FC1BD7" w:rsidP="002A54ED">
      <w:pPr>
        <w:numPr>
          <w:ilvl w:val="0"/>
          <w:numId w:val="3"/>
        </w:numPr>
        <w:ind w:left="567" w:hanging="567"/>
        <w:jc w:val="both"/>
        <w:rPr>
          <w:rFonts w:ascii="Book Antiqua" w:hAnsi="Book Antiqua" w:cs="Arial"/>
        </w:rPr>
      </w:pPr>
      <w:r>
        <w:rPr>
          <w:rFonts w:ascii="Book Antiqua" w:hAnsi="Book Antiqua" w:cs="Arial"/>
        </w:rPr>
        <w:t>Further, although the j</w:t>
      </w:r>
      <w:r w:rsidR="00F66AB9">
        <w:rPr>
          <w:rFonts w:ascii="Book Antiqua" w:hAnsi="Book Antiqua" w:cs="Arial"/>
        </w:rPr>
        <w:t>udge no</w:t>
      </w:r>
      <w:r>
        <w:rPr>
          <w:rFonts w:ascii="Book Antiqua" w:hAnsi="Book Antiqua" w:cs="Arial"/>
        </w:rPr>
        <w:t>ted the need to have regard to s</w:t>
      </w:r>
      <w:r w:rsidR="00F66AB9">
        <w:rPr>
          <w:rFonts w:ascii="Book Antiqua" w:hAnsi="Book Antiqua" w:cs="Arial"/>
        </w:rPr>
        <w:t>ection 117 and noted that the appellant cannot speak English, he erred in f</w:t>
      </w:r>
      <w:r w:rsidR="00050E2A">
        <w:rPr>
          <w:rFonts w:ascii="Book Antiqua" w:hAnsi="Book Antiqua" w:cs="Arial"/>
        </w:rPr>
        <w:t xml:space="preserve">inding that there was no </w:t>
      </w:r>
      <w:r w:rsidR="00F66AB9">
        <w:rPr>
          <w:rFonts w:ascii="Book Antiqua" w:hAnsi="Book Antiqua" w:cs="Arial"/>
        </w:rPr>
        <w:t>reason why, despite that and despite his health problems, he would not be able to work or successfully integrate into British society.</w:t>
      </w:r>
    </w:p>
    <w:p w:rsidR="00F66AB9" w:rsidRDefault="00F66AB9" w:rsidP="00F66AB9">
      <w:pPr>
        <w:pStyle w:val="ListParagraph"/>
        <w:rPr>
          <w:rFonts w:ascii="Book Antiqua" w:hAnsi="Book Antiqua" w:cs="Arial"/>
        </w:rPr>
      </w:pPr>
    </w:p>
    <w:p w:rsidR="00F66AB9" w:rsidRDefault="00DB0374" w:rsidP="002A54ED">
      <w:pPr>
        <w:numPr>
          <w:ilvl w:val="0"/>
          <w:numId w:val="3"/>
        </w:numPr>
        <w:ind w:left="567" w:hanging="567"/>
        <w:jc w:val="both"/>
        <w:rPr>
          <w:rFonts w:ascii="Book Antiqua" w:hAnsi="Book Antiqua" w:cs="Arial"/>
        </w:rPr>
      </w:pPr>
      <w:r>
        <w:rPr>
          <w:rFonts w:ascii="Book Antiqua" w:hAnsi="Book Antiqua" w:cs="Arial"/>
        </w:rPr>
        <w:t>In reply, Ms Daykin submitted that Ms Willocks-Briscoe</w:t>
      </w:r>
      <w:r w:rsidR="00B0127F">
        <w:rPr>
          <w:rFonts w:ascii="Book Antiqua" w:hAnsi="Book Antiqua" w:cs="Arial"/>
        </w:rPr>
        <w:t xml:space="preserve"> was wrong in stating that there was no up to date medical evidence and that the sponsor had not indicated that he would have come to the UK on retirement if he had been able to.  He said such in his witness statement.  She emphasised that there had been no challenge to the evidence.  It was clear that this was a close relationship over and above what might be expected.  Not only is he wholly reliant on them financially, his emotional reliance also goes well beyond a regular relationship.  Their separation had not been voluntary.  </w:t>
      </w:r>
      <w:r w:rsidR="00B0127F">
        <w:rPr>
          <w:rFonts w:ascii="Book Antiqua" w:hAnsi="Book Antiqua" w:cs="Arial"/>
        </w:rPr>
        <w:lastRenderedPageBreak/>
        <w:t>They have ke</w:t>
      </w:r>
      <w:r w:rsidR="00FC1BD7">
        <w:rPr>
          <w:rFonts w:ascii="Book Antiqua" w:hAnsi="Book Antiqua" w:cs="Arial"/>
        </w:rPr>
        <w:t>pt going back to see him.  The j</w:t>
      </w:r>
      <w:r w:rsidR="00B0127F">
        <w:rPr>
          <w:rFonts w:ascii="Book Antiqua" w:hAnsi="Book Antiqua" w:cs="Arial"/>
        </w:rPr>
        <w:t xml:space="preserve">udge’s conclusion that there is family life was sustainable.  Any error in </w:t>
      </w:r>
      <w:r w:rsidR="00FC1BD7">
        <w:rPr>
          <w:rFonts w:ascii="Book Antiqua" w:hAnsi="Book Antiqua" w:cs="Arial"/>
        </w:rPr>
        <w:t>his consideration of s</w:t>
      </w:r>
      <w:r w:rsidR="00050E2A">
        <w:rPr>
          <w:rFonts w:ascii="Book Antiqua" w:hAnsi="Book Antiqua" w:cs="Arial"/>
        </w:rPr>
        <w:t>ection 117 was immaterial</w:t>
      </w:r>
      <w:r w:rsidR="00B0127F">
        <w:rPr>
          <w:rFonts w:ascii="Book Antiqua" w:hAnsi="Book Antiqua" w:cs="Arial"/>
        </w:rPr>
        <w:t xml:space="preserve"> as the case law indi</w:t>
      </w:r>
      <w:r w:rsidR="00FC1BD7">
        <w:rPr>
          <w:rFonts w:ascii="Book Antiqua" w:hAnsi="Book Antiqua" w:cs="Arial"/>
        </w:rPr>
        <w:t>cated that if it is found that a</w:t>
      </w:r>
      <w:r w:rsidR="00B0127F">
        <w:rPr>
          <w:rFonts w:ascii="Book Antiqua" w:hAnsi="Book Antiqua" w:cs="Arial"/>
        </w:rPr>
        <w:t>rticle 8 is engaged and had it not been for the historic wrong the appellant would have settled in the UK long ago, such will ordinarily determine the proportionality assessment in his favour.</w:t>
      </w:r>
    </w:p>
    <w:p w:rsidR="00FC1BD7" w:rsidRDefault="00FC1BD7" w:rsidP="00FC1BD7">
      <w:pPr>
        <w:pStyle w:val="ListParagraph"/>
        <w:rPr>
          <w:rFonts w:ascii="Book Antiqua" w:hAnsi="Book Antiqua" w:cs="Arial"/>
        </w:rPr>
      </w:pPr>
    </w:p>
    <w:p w:rsidR="00FC1BD7" w:rsidRPr="00FC1BD7" w:rsidRDefault="00FC1BD7" w:rsidP="00FC1BD7">
      <w:pPr>
        <w:ind w:left="567"/>
        <w:jc w:val="both"/>
        <w:rPr>
          <w:rFonts w:ascii="Book Antiqua" w:hAnsi="Book Antiqua" w:cs="Arial"/>
          <w:b/>
        </w:rPr>
      </w:pPr>
      <w:r w:rsidRPr="00FC1BD7">
        <w:rPr>
          <w:rFonts w:ascii="Book Antiqua" w:hAnsi="Book Antiqua" w:cs="Arial"/>
          <w:b/>
        </w:rPr>
        <w:t>Consideration</w:t>
      </w:r>
    </w:p>
    <w:p w:rsidR="00B0127F" w:rsidRDefault="00B0127F" w:rsidP="00B0127F">
      <w:pPr>
        <w:pStyle w:val="ListParagraph"/>
        <w:rPr>
          <w:rFonts w:ascii="Book Antiqua" w:hAnsi="Book Antiqua" w:cs="Arial"/>
        </w:rPr>
      </w:pPr>
    </w:p>
    <w:p w:rsidR="00B0127F" w:rsidRDefault="00B0127F" w:rsidP="002A54ED">
      <w:pPr>
        <w:numPr>
          <w:ilvl w:val="0"/>
          <w:numId w:val="3"/>
        </w:numPr>
        <w:ind w:left="567" w:hanging="567"/>
        <w:jc w:val="both"/>
        <w:rPr>
          <w:rFonts w:ascii="Book Antiqua" w:hAnsi="Book Antiqua" w:cs="Arial"/>
        </w:rPr>
      </w:pPr>
      <w:r>
        <w:rPr>
          <w:rFonts w:ascii="Book Antiqua" w:hAnsi="Book Antiqua" w:cs="Arial"/>
        </w:rPr>
        <w:t>In considering this matter the first criticism</w:t>
      </w:r>
      <w:r w:rsidR="00FC1BD7">
        <w:rPr>
          <w:rFonts w:ascii="Book Antiqua" w:hAnsi="Book Antiqua" w:cs="Arial"/>
        </w:rPr>
        <w:t xml:space="preserve"> of the respondent is that the j</w:t>
      </w:r>
      <w:r>
        <w:rPr>
          <w:rFonts w:ascii="Book Antiqua" w:hAnsi="Book Antiqua" w:cs="Arial"/>
        </w:rPr>
        <w:t>udge s</w:t>
      </w:r>
      <w:r w:rsidR="00FC1BD7">
        <w:rPr>
          <w:rFonts w:ascii="Book Antiqua" w:hAnsi="Book Antiqua" w:cs="Arial"/>
        </w:rPr>
        <w:t>hould not have found there was a</w:t>
      </w:r>
      <w:r>
        <w:rPr>
          <w:rFonts w:ascii="Book Antiqua" w:hAnsi="Book Antiqua" w:cs="Arial"/>
        </w:rPr>
        <w:t>rticle 8 family life.</w:t>
      </w:r>
    </w:p>
    <w:p w:rsidR="00B0127F" w:rsidRDefault="00B0127F" w:rsidP="00B0127F">
      <w:pPr>
        <w:pStyle w:val="ListParagraph"/>
        <w:rPr>
          <w:rFonts w:ascii="Book Antiqua" w:hAnsi="Book Antiqua" w:cs="Arial"/>
        </w:rPr>
      </w:pPr>
    </w:p>
    <w:p w:rsidR="00B0127F" w:rsidRDefault="00B0127F" w:rsidP="002A54ED">
      <w:pPr>
        <w:numPr>
          <w:ilvl w:val="0"/>
          <w:numId w:val="3"/>
        </w:numPr>
        <w:ind w:left="567" w:hanging="567"/>
        <w:jc w:val="both"/>
        <w:rPr>
          <w:rFonts w:ascii="Book Antiqua" w:hAnsi="Book Antiqua" w:cs="Arial"/>
        </w:rPr>
      </w:pPr>
      <w:r>
        <w:rPr>
          <w:rFonts w:ascii="Book Antiqua" w:hAnsi="Book Antiqua" w:cs="Arial"/>
        </w:rPr>
        <w:t xml:space="preserve">In </w:t>
      </w:r>
      <w:r w:rsidRPr="00B0127F">
        <w:rPr>
          <w:rFonts w:ascii="Book Antiqua" w:hAnsi="Book Antiqua" w:cs="Arial"/>
          <w:b/>
          <w:i/>
          <w:u w:val="single"/>
        </w:rPr>
        <w:t>PT (Sri Lanka) v ECO</w:t>
      </w:r>
      <w:r>
        <w:rPr>
          <w:rFonts w:ascii="Book Antiqua" w:hAnsi="Book Antiqua" w:cs="Arial"/>
        </w:rPr>
        <w:t xml:space="preserve">, </w:t>
      </w:r>
      <w:r w:rsidRPr="00B0127F">
        <w:rPr>
          <w:rFonts w:ascii="Book Antiqua" w:hAnsi="Book Antiqua" w:cs="Arial"/>
          <w:b/>
          <w:i/>
          <w:u w:val="single"/>
        </w:rPr>
        <w:t>Chennai</w:t>
      </w:r>
      <w:r>
        <w:rPr>
          <w:rFonts w:ascii="Book Antiqua" w:hAnsi="Book Antiqua" w:cs="Arial"/>
        </w:rPr>
        <w:t xml:space="preserve"> [2016] EWCA</w:t>
      </w:r>
      <w:r w:rsidR="00FC1BD7">
        <w:rPr>
          <w:rFonts w:ascii="Book Antiqua" w:hAnsi="Book Antiqua" w:cs="Arial"/>
        </w:rPr>
        <w:t xml:space="preserve"> </w:t>
      </w:r>
      <w:proofErr w:type="gramStart"/>
      <w:r w:rsidR="00FC1BD7">
        <w:rPr>
          <w:rFonts w:ascii="Book Antiqua" w:hAnsi="Book Antiqua" w:cs="Arial"/>
        </w:rPr>
        <w:t xml:space="preserve">612 </w:t>
      </w:r>
      <w:r>
        <w:rPr>
          <w:rFonts w:ascii="Book Antiqua" w:hAnsi="Book Antiqua" w:cs="Arial"/>
        </w:rPr>
        <w:t xml:space="preserve"> it</w:t>
      </w:r>
      <w:proofErr w:type="gramEnd"/>
      <w:r>
        <w:rPr>
          <w:rFonts w:ascii="Book Antiqua" w:hAnsi="Book Antiqua" w:cs="Arial"/>
        </w:rPr>
        <w:t xml:space="preserve"> was held that some Tribunals appeared to have read </w:t>
      </w:r>
      <w:proofErr w:type="spellStart"/>
      <w:r w:rsidR="00FC1BD7">
        <w:rPr>
          <w:rFonts w:ascii="Book Antiqua" w:hAnsi="Book Antiqua" w:cs="Arial"/>
          <w:b/>
          <w:i/>
          <w:u w:val="single"/>
        </w:rPr>
        <w:t>K</w:t>
      </w:r>
      <w:r w:rsidRPr="00B0127F">
        <w:rPr>
          <w:rFonts w:ascii="Book Antiqua" w:hAnsi="Book Antiqua" w:cs="Arial"/>
          <w:b/>
          <w:i/>
          <w:u w:val="single"/>
        </w:rPr>
        <w:t>ugath</w:t>
      </w:r>
      <w:r>
        <w:rPr>
          <w:rFonts w:ascii="Book Antiqua" w:hAnsi="Book Antiqua" w:cs="Arial"/>
          <w:b/>
          <w:i/>
          <w:u w:val="single"/>
        </w:rPr>
        <w:t>a</w:t>
      </w:r>
      <w:r w:rsidRPr="00B0127F">
        <w:rPr>
          <w:rFonts w:ascii="Book Antiqua" w:hAnsi="Book Antiqua" w:cs="Arial"/>
          <w:b/>
          <w:i/>
          <w:u w:val="single"/>
        </w:rPr>
        <w:t>s</w:t>
      </w:r>
      <w:proofErr w:type="spellEnd"/>
      <w:r>
        <w:rPr>
          <w:rFonts w:ascii="Book Antiqua" w:hAnsi="Book Antiqua" w:cs="Arial"/>
        </w:rPr>
        <w:t xml:space="preserve"> as establishing a rebuttable presumption against any relationship between an adult child and his parents being sufficient to engage Article 8.  That was not</w:t>
      </w:r>
      <w:r w:rsidR="006F6E89">
        <w:rPr>
          <w:rFonts w:ascii="Book Antiqua" w:hAnsi="Book Antiqua" w:cs="Arial"/>
        </w:rPr>
        <w:t xml:space="preserve"> correct.  </w:t>
      </w:r>
      <w:proofErr w:type="spellStart"/>
      <w:r w:rsidR="00FC1BD7">
        <w:rPr>
          <w:rFonts w:ascii="Book Antiqua" w:hAnsi="Book Antiqua" w:cs="Arial"/>
          <w:b/>
          <w:i/>
          <w:u w:val="single"/>
        </w:rPr>
        <w:t>K</w:t>
      </w:r>
      <w:r w:rsidR="006F6E89" w:rsidRPr="006F6E89">
        <w:rPr>
          <w:rFonts w:ascii="Book Antiqua" w:hAnsi="Book Antiqua" w:cs="Arial"/>
          <w:b/>
          <w:i/>
          <w:u w:val="single"/>
        </w:rPr>
        <w:t>ugathas</w:t>
      </w:r>
      <w:proofErr w:type="spellEnd"/>
      <w:r w:rsidR="006F6E89">
        <w:rPr>
          <w:rFonts w:ascii="Book Antiqua" w:hAnsi="Book Antiqua" w:cs="Arial"/>
        </w:rPr>
        <w:t xml:space="preserve"> required a fact sensitive approach, and should be understood in the light of the subsequent case law summarised in </w:t>
      </w:r>
      <w:r w:rsidR="006F6E89" w:rsidRPr="006F6E89">
        <w:rPr>
          <w:rFonts w:ascii="Book Antiqua" w:hAnsi="Book Antiqua" w:cs="Arial"/>
          <w:b/>
          <w:i/>
          <w:u w:val="single"/>
        </w:rPr>
        <w:t>Ghising (family life – adults – Gurkha policy)</w:t>
      </w:r>
      <w:r w:rsidR="006F6E89">
        <w:rPr>
          <w:rFonts w:ascii="Book Antiqua" w:hAnsi="Book Antiqua" w:cs="Arial"/>
        </w:rPr>
        <w:t xml:space="preserve"> [2012] UKUT 160 and </w:t>
      </w:r>
      <w:r w:rsidR="006F6E89" w:rsidRPr="006F6E89">
        <w:rPr>
          <w:rFonts w:ascii="Book Antiqua" w:hAnsi="Book Antiqua" w:cs="Arial"/>
          <w:b/>
          <w:i/>
          <w:u w:val="single"/>
        </w:rPr>
        <w:t>Singh</w:t>
      </w:r>
      <w:r w:rsidR="006F6E89">
        <w:rPr>
          <w:rFonts w:ascii="Book Antiqua" w:hAnsi="Book Antiqua" w:cs="Arial"/>
        </w:rPr>
        <w:t xml:space="preserve"> [2015] EWCA Civ 630.  There was no legal or factual presumption as to the existe</w:t>
      </w:r>
      <w:r w:rsidR="0017487E">
        <w:rPr>
          <w:rFonts w:ascii="Book Antiqua" w:hAnsi="Book Antiqua" w:cs="Arial"/>
        </w:rPr>
        <w:t>nce or absence of family life</w:t>
      </w:r>
      <w:r w:rsidR="00DF06DA">
        <w:rPr>
          <w:rFonts w:ascii="Book Antiqua" w:hAnsi="Book Antiqua" w:cs="Arial"/>
        </w:rPr>
        <w:t>.  It all depends</w:t>
      </w:r>
      <w:r w:rsidR="006F6E89">
        <w:rPr>
          <w:rFonts w:ascii="Book Antiqua" w:hAnsi="Book Antiqua" w:cs="Arial"/>
        </w:rPr>
        <w:t xml:space="preserve"> on the facts.  The line of case law was again considered in </w:t>
      </w:r>
      <w:r w:rsidR="006F6E89" w:rsidRPr="006F6E89">
        <w:rPr>
          <w:rFonts w:ascii="Book Antiqua" w:hAnsi="Book Antiqua" w:cs="Arial"/>
          <w:b/>
          <w:i/>
          <w:u w:val="single"/>
        </w:rPr>
        <w:t>Rai v ECO, New Delhi</w:t>
      </w:r>
      <w:r w:rsidR="006F6E89">
        <w:rPr>
          <w:rFonts w:ascii="Book Antiqua" w:hAnsi="Book Antiqua" w:cs="Arial"/>
        </w:rPr>
        <w:t xml:space="preserve"> [2017] EWCA Civ 320 (in the context of the adult son of a former Gurkha soldier</w:t>
      </w:r>
      <w:r w:rsidR="00517E7C">
        <w:rPr>
          <w:rFonts w:ascii="Book Antiqua" w:hAnsi="Book Antiqua" w:cs="Arial"/>
        </w:rPr>
        <w:t>)</w:t>
      </w:r>
      <w:r w:rsidR="006F6E89">
        <w:rPr>
          <w:rFonts w:ascii="Book Antiqua" w:hAnsi="Book Antiqua" w:cs="Arial"/>
        </w:rPr>
        <w:t xml:space="preserve">. </w:t>
      </w:r>
      <w:r w:rsidR="00941FA5">
        <w:rPr>
          <w:rFonts w:ascii="Book Antiqua" w:hAnsi="Book Antiqua" w:cs="Arial"/>
        </w:rPr>
        <w:t>There is no test of exceptionality</w:t>
      </w:r>
      <w:r w:rsidR="00634378">
        <w:rPr>
          <w:rFonts w:ascii="Book Antiqua" w:hAnsi="Book Antiqua" w:cs="Arial"/>
        </w:rPr>
        <w:t xml:space="preserve"> in determining whether family life exists between the appellant and his parents</w:t>
      </w:r>
      <w:r w:rsidR="00941FA5">
        <w:rPr>
          <w:rFonts w:ascii="Book Antiqua" w:hAnsi="Book Antiqua" w:cs="Arial"/>
        </w:rPr>
        <w:t>.</w:t>
      </w:r>
    </w:p>
    <w:p w:rsidR="006F6E89" w:rsidRDefault="006F6E89" w:rsidP="006F6E89">
      <w:pPr>
        <w:pStyle w:val="ListParagraph"/>
        <w:rPr>
          <w:rFonts w:ascii="Book Antiqua" w:hAnsi="Book Antiqua" w:cs="Arial"/>
        </w:rPr>
      </w:pPr>
    </w:p>
    <w:p w:rsidR="006F6E89" w:rsidRDefault="006F6E89" w:rsidP="002A54ED">
      <w:pPr>
        <w:numPr>
          <w:ilvl w:val="0"/>
          <w:numId w:val="3"/>
        </w:numPr>
        <w:ind w:left="567" w:hanging="567"/>
        <w:jc w:val="both"/>
        <w:rPr>
          <w:rFonts w:ascii="Book Antiqua" w:hAnsi="Book Antiqua" w:cs="Arial"/>
        </w:rPr>
      </w:pPr>
      <w:r>
        <w:rPr>
          <w:rFonts w:ascii="Book Antiqua" w:hAnsi="Book Antiqua" w:cs="Arial"/>
        </w:rPr>
        <w:t xml:space="preserve">In </w:t>
      </w:r>
      <w:r w:rsidR="00FC1BD7">
        <w:rPr>
          <w:rFonts w:ascii="Book Antiqua" w:hAnsi="Book Antiqua" w:cs="Arial"/>
        </w:rPr>
        <w:t>this case the facts, which the j</w:t>
      </w:r>
      <w:r>
        <w:rPr>
          <w:rFonts w:ascii="Book Antiqua" w:hAnsi="Book Antiqua" w:cs="Arial"/>
        </w:rPr>
        <w:t xml:space="preserve">udge </w:t>
      </w:r>
      <w:r w:rsidR="00517E7C">
        <w:rPr>
          <w:rFonts w:ascii="Book Antiqua" w:hAnsi="Book Antiqua" w:cs="Arial"/>
        </w:rPr>
        <w:t>emphasised were</w:t>
      </w:r>
      <w:r>
        <w:rPr>
          <w:rFonts w:ascii="Book Antiqua" w:hAnsi="Book Antiqua" w:cs="Arial"/>
        </w:rPr>
        <w:t xml:space="preserve"> unchallenged, included that the sponsor having been enabled to settle in the UK</w:t>
      </w:r>
      <w:r w:rsidR="00050E2A">
        <w:rPr>
          <w:rFonts w:ascii="Book Antiqua" w:hAnsi="Book Antiqua" w:cs="Arial"/>
        </w:rPr>
        <w:t xml:space="preserve"> in 2006</w:t>
      </w:r>
      <w:r w:rsidR="00774A42">
        <w:rPr>
          <w:rFonts w:ascii="Book Antiqua" w:hAnsi="Book Antiqua" w:cs="Arial"/>
        </w:rPr>
        <w:t xml:space="preserve"> and his wife later that</w:t>
      </w:r>
      <w:r>
        <w:rPr>
          <w:rFonts w:ascii="Book Antiqua" w:hAnsi="Book Antiqua" w:cs="Arial"/>
        </w:rPr>
        <w:t xml:space="preserve"> year, they quickly returned to Nepal but had to return to the UK in two years otherwise they would have risked losing their settlement rights. </w:t>
      </w:r>
      <w:r w:rsidR="00634378">
        <w:rPr>
          <w:rFonts w:ascii="Book Antiqua" w:hAnsi="Book Antiqua" w:cs="Arial"/>
        </w:rPr>
        <w:t>This I take to be a reference to article 13(4)(a) of the Immigration (Leave to Enter or Remain) Order 2000</w:t>
      </w:r>
      <w:r w:rsidR="008171C0">
        <w:rPr>
          <w:rFonts w:ascii="Book Antiqua" w:hAnsi="Book Antiqua" w:cs="Arial"/>
        </w:rPr>
        <w:t>: ‘</w:t>
      </w:r>
      <w:r w:rsidR="00F51C23">
        <w:rPr>
          <w:rFonts w:ascii="Book Antiqua" w:hAnsi="Book Antiqua" w:cs="Arial"/>
          <w:i/>
        </w:rPr>
        <w:t>where the holder has stay</w:t>
      </w:r>
      <w:r w:rsidR="008171C0" w:rsidRPr="00F51C23">
        <w:rPr>
          <w:rFonts w:ascii="Book Antiqua" w:hAnsi="Book Antiqua" w:cs="Arial"/>
          <w:i/>
        </w:rPr>
        <w:t>ed outside the UK for a continuous period of more</w:t>
      </w:r>
      <w:r w:rsidR="008171C0">
        <w:rPr>
          <w:rFonts w:ascii="Book Antiqua" w:hAnsi="Book Antiqua" w:cs="Arial"/>
        </w:rPr>
        <w:t xml:space="preserve"> </w:t>
      </w:r>
      <w:r w:rsidR="008171C0" w:rsidRPr="00F51C23">
        <w:rPr>
          <w:rFonts w:ascii="Book Antiqua" w:hAnsi="Book Antiqua" w:cs="Arial"/>
          <w:i/>
        </w:rPr>
        <w:t>than two</w:t>
      </w:r>
      <w:r w:rsidR="008171C0">
        <w:rPr>
          <w:rFonts w:ascii="Book Antiqua" w:hAnsi="Book Antiqua" w:cs="Arial"/>
        </w:rPr>
        <w:t xml:space="preserve"> </w:t>
      </w:r>
      <w:r w:rsidR="008171C0" w:rsidRPr="00F51C23">
        <w:rPr>
          <w:rFonts w:ascii="Book Antiqua" w:hAnsi="Book Antiqua" w:cs="Arial"/>
          <w:i/>
        </w:rPr>
        <w:t>years, [his leave to enter UK] shall thereupon</w:t>
      </w:r>
      <w:r w:rsidR="008171C0">
        <w:rPr>
          <w:rFonts w:ascii="Book Antiqua" w:hAnsi="Book Antiqua" w:cs="Arial"/>
        </w:rPr>
        <w:t xml:space="preserve"> </w:t>
      </w:r>
      <w:r w:rsidR="008171C0" w:rsidRPr="00F51C23">
        <w:rPr>
          <w:rFonts w:ascii="Book Antiqua" w:hAnsi="Book Antiqua" w:cs="Arial"/>
          <w:i/>
        </w:rPr>
        <w:t>lapse</w:t>
      </w:r>
      <w:r w:rsidR="008171C0">
        <w:rPr>
          <w:rFonts w:ascii="Book Antiqua" w:hAnsi="Book Antiqua" w:cs="Arial"/>
        </w:rPr>
        <w:t xml:space="preserve">.’ </w:t>
      </w:r>
      <w:r>
        <w:rPr>
          <w:rFonts w:ascii="Book Antiqua" w:hAnsi="Book Antiqua" w:cs="Arial"/>
        </w:rPr>
        <w:t xml:space="preserve"> Having returned to the UK they went back again to Nepal the next year, the sponsor once again returning to the UK after two months.  However, his wife remained living in family with the appellant until late 2011.  Once </w:t>
      </w:r>
      <w:proofErr w:type="gramStart"/>
      <w:r>
        <w:rPr>
          <w:rFonts w:ascii="Book Antiqua" w:hAnsi="Book Antiqua" w:cs="Arial"/>
        </w:rPr>
        <w:t>again</w:t>
      </w:r>
      <w:proofErr w:type="gramEnd"/>
      <w:r>
        <w:rPr>
          <w:rFonts w:ascii="Book Antiqua" w:hAnsi="Book Antiqua" w:cs="Arial"/>
        </w:rPr>
        <w:t xml:space="preserve"> the sponsor returned to Nepal and ultimately he and his wife came back to the UK to preserve their status.  Subsequently they went back to him yet aga</w:t>
      </w:r>
      <w:r w:rsidR="008171C0">
        <w:rPr>
          <w:rFonts w:ascii="Book Antiqua" w:hAnsi="Book Antiqua" w:cs="Arial"/>
        </w:rPr>
        <w:t>in in 2014, 2015,2016 and 2017</w:t>
      </w:r>
    </w:p>
    <w:p w:rsidR="006F6E89" w:rsidRDefault="006F6E89" w:rsidP="006F6E89">
      <w:pPr>
        <w:pStyle w:val="ListParagraph"/>
        <w:rPr>
          <w:rFonts w:ascii="Book Antiqua" w:hAnsi="Book Antiqua" w:cs="Arial"/>
        </w:rPr>
      </w:pPr>
    </w:p>
    <w:p w:rsidR="00DA6D4D" w:rsidRDefault="00FC1BD7" w:rsidP="002A54ED">
      <w:pPr>
        <w:numPr>
          <w:ilvl w:val="0"/>
          <w:numId w:val="3"/>
        </w:numPr>
        <w:ind w:left="567" w:hanging="567"/>
        <w:jc w:val="both"/>
        <w:rPr>
          <w:rFonts w:ascii="Book Antiqua" w:hAnsi="Book Antiqua" w:cs="Arial"/>
        </w:rPr>
      </w:pPr>
      <w:r>
        <w:rPr>
          <w:rFonts w:ascii="Book Antiqua" w:hAnsi="Book Antiqua" w:cs="Arial"/>
        </w:rPr>
        <w:t>On that evidence the j</w:t>
      </w:r>
      <w:r w:rsidR="006F6E89">
        <w:rPr>
          <w:rFonts w:ascii="Book Antiqua" w:hAnsi="Book Antiqua" w:cs="Arial"/>
        </w:rPr>
        <w:t xml:space="preserve">udge was entitled to find that the appellant who is unmarried and </w:t>
      </w:r>
      <w:r w:rsidR="001C21D4">
        <w:rPr>
          <w:rFonts w:ascii="Book Antiqua" w:hAnsi="Book Antiqua" w:cs="Arial"/>
        </w:rPr>
        <w:t>is ‘</w:t>
      </w:r>
      <w:r w:rsidR="001C21D4" w:rsidRPr="001C21D4">
        <w:rPr>
          <w:rFonts w:ascii="Book Antiqua" w:hAnsi="Book Antiqua" w:cs="Arial"/>
          <w:i/>
        </w:rPr>
        <w:t>still livi</w:t>
      </w:r>
      <w:r w:rsidR="00C42525">
        <w:rPr>
          <w:rFonts w:ascii="Book Antiqua" w:hAnsi="Book Antiqua" w:cs="Arial"/>
          <w:i/>
        </w:rPr>
        <w:t>ng in the family home</w:t>
      </w:r>
      <w:r w:rsidR="001C21D4" w:rsidRPr="001C21D4">
        <w:rPr>
          <w:rFonts w:ascii="Book Antiqua" w:hAnsi="Book Antiqua" w:cs="Arial"/>
          <w:i/>
        </w:rPr>
        <w:t xml:space="preserve">, </w:t>
      </w:r>
      <w:r w:rsidR="006F6E89" w:rsidRPr="001C21D4">
        <w:rPr>
          <w:rFonts w:ascii="Book Antiqua" w:hAnsi="Book Antiqua" w:cs="Arial"/>
          <w:i/>
        </w:rPr>
        <w:t>no</w:t>
      </w:r>
      <w:r w:rsidR="001C21D4" w:rsidRPr="001C21D4">
        <w:rPr>
          <w:rFonts w:ascii="Book Antiqua" w:hAnsi="Book Antiqua" w:cs="Arial"/>
          <w:i/>
        </w:rPr>
        <w:t>t truly living an independent</w:t>
      </w:r>
      <w:r w:rsidR="006F6E89" w:rsidRPr="001C21D4">
        <w:rPr>
          <w:rFonts w:ascii="Book Antiqua" w:hAnsi="Book Antiqua" w:cs="Arial"/>
          <w:i/>
        </w:rPr>
        <w:t xml:space="preserve"> life</w:t>
      </w:r>
      <w:r w:rsidR="008171C0">
        <w:rPr>
          <w:rFonts w:ascii="Book Antiqua" w:hAnsi="Book Antiqua" w:cs="Arial"/>
          <w:i/>
        </w:rPr>
        <w:t>, needing the support and external care provided, he has not established an independent life</w:t>
      </w:r>
      <w:r w:rsidR="001C21D4" w:rsidRPr="001C21D4">
        <w:rPr>
          <w:rFonts w:ascii="Book Antiqua" w:hAnsi="Book Antiqua" w:cs="Arial"/>
          <w:i/>
        </w:rPr>
        <w:t xml:space="preserve"> but</w:t>
      </w:r>
      <w:r w:rsidR="001C21D4">
        <w:rPr>
          <w:rFonts w:ascii="Book Antiqua" w:hAnsi="Book Antiqua" w:cs="Arial"/>
        </w:rPr>
        <w:t xml:space="preserve"> </w:t>
      </w:r>
      <w:r w:rsidR="001C21D4" w:rsidRPr="001C21D4">
        <w:rPr>
          <w:rFonts w:ascii="Book Antiqua" w:hAnsi="Book Antiqua" w:cs="Arial"/>
          <w:i/>
        </w:rPr>
        <w:t>continues to</w:t>
      </w:r>
      <w:r w:rsidR="001C21D4">
        <w:rPr>
          <w:rFonts w:ascii="Book Antiqua" w:hAnsi="Book Antiqua" w:cs="Arial"/>
        </w:rPr>
        <w:t xml:space="preserve"> </w:t>
      </w:r>
      <w:r w:rsidR="001C21D4" w:rsidRPr="001C21D4">
        <w:rPr>
          <w:rFonts w:ascii="Book Antiqua" w:hAnsi="Book Antiqua" w:cs="Arial"/>
          <w:i/>
        </w:rPr>
        <w:t>be a dependent</w:t>
      </w:r>
      <w:r w:rsidR="008171C0">
        <w:rPr>
          <w:rFonts w:ascii="Book Antiqua" w:hAnsi="Book Antiqua" w:cs="Arial"/>
        </w:rPr>
        <w:t>…</w:t>
      </w:r>
      <w:proofErr w:type="gramStart"/>
      <w:r w:rsidR="00494534">
        <w:rPr>
          <w:rFonts w:ascii="Book Antiqua" w:hAnsi="Book Antiqua" w:cs="Arial"/>
        </w:rPr>
        <w:t>’</w:t>
      </w:r>
      <w:r w:rsidR="004033E8">
        <w:rPr>
          <w:rFonts w:ascii="Book Antiqua" w:hAnsi="Book Antiqua" w:cs="Arial"/>
        </w:rPr>
        <w:t>[</w:t>
      </w:r>
      <w:proofErr w:type="gramEnd"/>
      <w:r w:rsidR="004033E8">
        <w:rPr>
          <w:rFonts w:ascii="Book Antiqua" w:hAnsi="Book Antiqua" w:cs="Arial"/>
        </w:rPr>
        <w:t>15]</w:t>
      </w:r>
      <w:r w:rsidR="00494534">
        <w:rPr>
          <w:rFonts w:ascii="Book Antiqua" w:hAnsi="Book Antiqua" w:cs="Arial"/>
        </w:rPr>
        <w:t>.</w:t>
      </w:r>
      <w:r w:rsidR="008171C0">
        <w:rPr>
          <w:rFonts w:ascii="Book Antiqua" w:hAnsi="Book Antiqua" w:cs="Arial"/>
        </w:rPr>
        <w:t xml:space="preserve"> </w:t>
      </w:r>
      <w:r w:rsidR="001C21D4">
        <w:rPr>
          <w:rFonts w:ascii="Book Antiqua" w:hAnsi="Book Antiqua" w:cs="Arial"/>
        </w:rPr>
        <w:t xml:space="preserve"> Further,</w:t>
      </w:r>
      <w:r w:rsidR="00F51FD6">
        <w:rPr>
          <w:rFonts w:ascii="Book Antiqua" w:hAnsi="Book Antiqua" w:cs="Arial"/>
        </w:rPr>
        <w:t xml:space="preserve"> that ‘</w:t>
      </w:r>
      <w:r w:rsidR="00F51FD6" w:rsidRPr="00F51FD6">
        <w:rPr>
          <w:rFonts w:ascii="Book Antiqua" w:hAnsi="Book Antiqua" w:cs="Arial"/>
          <w:i/>
        </w:rPr>
        <w:t>the sponsor’s</w:t>
      </w:r>
      <w:r w:rsidR="00F51FD6">
        <w:rPr>
          <w:rFonts w:ascii="Book Antiqua" w:hAnsi="Book Antiqua" w:cs="Arial"/>
        </w:rPr>
        <w:t xml:space="preserve"> </w:t>
      </w:r>
      <w:r w:rsidR="00F51FD6" w:rsidRPr="00F51FD6">
        <w:rPr>
          <w:rFonts w:ascii="Book Antiqua" w:hAnsi="Book Antiqua" w:cs="Arial"/>
          <w:i/>
        </w:rPr>
        <w:t>support is a key to the appellant having a roof over his head’</w:t>
      </w:r>
      <w:r w:rsidR="00F51FD6">
        <w:rPr>
          <w:rFonts w:ascii="Book Antiqua" w:hAnsi="Book Antiqua" w:cs="Arial"/>
        </w:rPr>
        <w:t xml:space="preserve"> and that he ‘</w:t>
      </w:r>
      <w:r w:rsidR="006F6E89" w:rsidRPr="00F51FD6">
        <w:rPr>
          <w:rFonts w:ascii="Book Antiqua" w:hAnsi="Book Antiqua" w:cs="Arial"/>
          <w:i/>
        </w:rPr>
        <w:t>has a close</w:t>
      </w:r>
      <w:r w:rsidR="006F6E89">
        <w:rPr>
          <w:rFonts w:ascii="Book Antiqua" w:hAnsi="Book Antiqua" w:cs="Arial"/>
        </w:rPr>
        <w:t xml:space="preserve"> </w:t>
      </w:r>
      <w:r w:rsidR="006F6E89" w:rsidRPr="00F51FD6">
        <w:rPr>
          <w:rFonts w:ascii="Book Antiqua" w:hAnsi="Book Antiqua" w:cs="Arial"/>
          <w:i/>
        </w:rPr>
        <w:t xml:space="preserve">relationship with his parents and they speak on a very regular </w:t>
      </w:r>
      <w:r w:rsidR="00DA6D4D" w:rsidRPr="00F51FD6">
        <w:rPr>
          <w:rFonts w:ascii="Book Antiqua" w:hAnsi="Book Antiqua" w:cs="Arial"/>
          <w:i/>
        </w:rPr>
        <w:t>basis over and above that which might be expected</w:t>
      </w:r>
      <w:r w:rsidR="00F51FD6" w:rsidRPr="00F51FD6">
        <w:rPr>
          <w:rFonts w:ascii="Book Antiqua" w:hAnsi="Book Antiqua" w:cs="Arial"/>
          <w:i/>
        </w:rPr>
        <w:t>’</w:t>
      </w:r>
      <w:r w:rsidR="00F51FD6">
        <w:rPr>
          <w:rFonts w:ascii="Book Antiqua" w:hAnsi="Book Antiqua" w:cs="Arial"/>
          <w:i/>
        </w:rPr>
        <w:t xml:space="preserve"> </w:t>
      </w:r>
      <w:r w:rsidR="00F51FD6" w:rsidRPr="00F51FD6">
        <w:rPr>
          <w:rFonts w:ascii="Book Antiqua" w:hAnsi="Book Antiqua" w:cs="Arial"/>
        </w:rPr>
        <w:t>[13]</w:t>
      </w:r>
      <w:r w:rsidR="00DA6D4D" w:rsidRPr="00F51FD6">
        <w:rPr>
          <w:rFonts w:ascii="Book Antiqua" w:hAnsi="Book Antiqua" w:cs="Arial"/>
        </w:rPr>
        <w:t>.</w:t>
      </w:r>
      <w:r w:rsidR="00DA6D4D">
        <w:rPr>
          <w:rFonts w:ascii="Book Antiqua" w:hAnsi="Book Antiqua" w:cs="Arial"/>
        </w:rPr>
        <w:t xml:space="preserve">  </w:t>
      </w:r>
      <w:proofErr w:type="gramStart"/>
      <w:r w:rsidR="00DA6D4D">
        <w:rPr>
          <w:rFonts w:ascii="Book Antiqua" w:hAnsi="Book Antiqua" w:cs="Arial"/>
        </w:rPr>
        <w:t>Also</w:t>
      </w:r>
      <w:proofErr w:type="gramEnd"/>
      <w:r w:rsidR="00DA6D4D">
        <w:rPr>
          <w:rFonts w:ascii="Book Antiqua" w:hAnsi="Book Antiqua" w:cs="Arial"/>
        </w:rPr>
        <w:t xml:space="preserve"> that he has ‘</w:t>
      </w:r>
      <w:r w:rsidR="00DA6D4D" w:rsidRPr="00DF06DA">
        <w:rPr>
          <w:rFonts w:ascii="Book Antiqua" w:hAnsi="Book Antiqua" w:cs="Arial"/>
          <w:i/>
        </w:rPr>
        <w:t>always been fully financially and emotionally dependent on his parents and they have never truly been separated and</w:t>
      </w:r>
      <w:r w:rsidR="00DA6D4D">
        <w:rPr>
          <w:rFonts w:ascii="Book Antiqua" w:hAnsi="Book Antiqua" w:cs="Arial"/>
        </w:rPr>
        <w:t xml:space="preserve"> </w:t>
      </w:r>
      <w:r w:rsidR="00DA6D4D" w:rsidRPr="00DF06DA">
        <w:rPr>
          <w:rFonts w:ascii="Book Antiqua" w:hAnsi="Book Antiqua" w:cs="Arial"/>
          <w:i/>
        </w:rPr>
        <w:t>such physical separation as has occurred has not effectively changed family life’</w:t>
      </w:r>
      <w:r w:rsidR="00F51FD6">
        <w:rPr>
          <w:rFonts w:ascii="Book Antiqua" w:hAnsi="Book Antiqua" w:cs="Arial"/>
          <w:i/>
        </w:rPr>
        <w:t xml:space="preserve"> </w:t>
      </w:r>
      <w:r w:rsidR="00F51FD6" w:rsidRPr="00F51FD6">
        <w:rPr>
          <w:rFonts w:ascii="Book Antiqua" w:hAnsi="Book Antiqua" w:cs="Arial"/>
        </w:rPr>
        <w:t>[4].</w:t>
      </w:r>
      <w:r w:rsidR="00DA6D4D">
        <w:rPr>
          <w:rFonts w:ascii="Book Antiqua" w:hAnsi="Book Antiqua" w:cs="Arial"/>
        </w:rPr>
        <w:t xml:space="preserve">  In that regard </w:t>
      </w:r>
      <w:r w:rsidR="004033E8">
        <w:rPr>
          <w:rFonts w:ascii="Book Antiqua" w:hAnsi="Book Antiqua" w:cs="Arial"/>
        </w:rPr>
        <w:t>‘</w:t>
      </w:r>
      <w:r w:rsidR="00DA6D4D" w:rsidRPr="004033E8">
        <w:rPr>
          <w:rFonts w:ascii="Book Antiqua" w:hAnsi="Book Antiqua" w:cs="Arial"/>
          <w:i/>
        </w:rPr>
        <w:t>the separation between the appellant and his parents has not in its true sense been voluntary but driven by the limitations on leave to enter</w:t>
      </w:r>
      <w:r w:rsidR="00DA6D4D">
        <w:rPr>
          <w:rFonts w:ascii="Book Antiqua" w:hAnsi="Book Antiqua" w:cs="Arial"/>
        </w:rPr>
        <w:t xml:space="preserve"> </w:t>
      </w:r>
      <w:r w:rsidR="00DA6D4D" w:rsidRPr="004033E8">
        <w:rPr>
          <w:rFonts w:ascii="Book Antiqua" w:hAnsi="Book Antiqua" w:cs="Arial"/>
          <w:i/>
        </w:rPr>
        <w:t>the UK</w:t>
      </w:r>
      <w:r w:rsidR="004033E8" w:rsidRPr="004033E8">
        <w:rPr>
          <w:rFonts w:ascii="Book Antiqua" w:hAnsi="Book Antiqua" w:cs="Arial"/>
          <w:i/>
        </w:rPr>
        <w:t xml:space="preserve"> which</w:t>
      </w:r>
      <w:r w:rsidR="004033E8">
        <w:rPr>
          <w:rFonts w:ascii="Book Antiqua" w:hAnsi="Book Antiqua" w:cs="Arial"/>
        </w:rPr>
        <w:t xml:space="preserve"> </w:t>
      </w:r>
      <w:r w:rsidR="004033E8" w:rsidRPr="004033E8">
        <w:rPr>
          <w:rFonts w:ascii="Book Antiqua" w:hAnsi="Book Antiqua" w:cs="Arial"/>
          <w:i/>
        </w:rPr>
        <w:t>lies on the sponsor and his wife</w:t>
      </w:r>
      <w:r w:rsidR="004033E8">
        <w:rPr>
          <w:rFonts w:ascii="Book Antiqua" w:hAnsi="Book Antiqua" w:cs="Arial"/>
        </w:rPr>
        <w:t>.’ [15]</w:t>
      </w:r>
    </w:p>
    <w:p w:rsidR="00DA6D4D" w:rsidRDefault="00DA6D4D" w:rsidP="00DA6D4D">
      <w:pPr>
        <w:pStyle w:val="ListParagraph"/>
        <w:rPr>
          <w:rFonts w:ascii="Book Antiqua" w:hAnsi="Book Antiqua" w:cs="Arial"/>
        </w:rPr>
      </w:pPr>
    </w:p>
    <w:p w:rsidR="00DA6D4D" w:rsidRDefault="00FC1BD7" w:rsidP="002A54ED">
      <w:pPr>
        <w:numPr>
          <w:ilvl w:val="0"/>
          <w:numId w:val="3"/>
        </w:numPr>
        <w:ind w:left="567" w:hanging="567"/>
        <w:jc w:val="both"/>
        <w:rPr>
          <w:rFonts w:ascii="Book Antiqua" w:hAnsi="Book Antiqua" w:cs="Arial"/>
        </w:rPr>
      </w:pPr>
      <w:proofErr w:type="gramStart"/>
      <w:r>
        <w:rPr>
          <w:rFonts w:ascii="Book Antiqua" w:hAnsi="Book Antiqua" w:cs="Arial"/>
        </w:rPr>
        <w:lastRenderedPageBreak/>
        <w:t>It is clear that the</w:t>
      </w:r>
      <w:proofErr w:type="gramEnd"/>
      <w:r>
        <w:rPr>
          <w:rFonts w:ascii="Book Antiqua" w:hAnsi="Book Antiqua" w:cs="Arial"/>
        </w:rPr>
        <w:t xml:space="preserve"> j</w:t>
      </w:r>
      <w:r w:rsidR="00DA6D4D">
        <w:rPr>
          <w:rFonts w:ascii="Book Antiqua" w:hAnsi="Book Antiqua" w:cs="Arial"/>
        </w:rPr>
        <w:t>udge found the elements of dependency to be beyond the normal emotional ties.</w:t>
      </w:r>
      <w:r w:rsidR="00630D93">
        <w:rPr>
          <w:rFonts w:ascii="Book Antiqua" w:hAnsi="Book Antiqua" w:cs="Arial"/>
        </w:rPr>
        <w:t xml:space="preserve"> He recognised that there had to be ‘</w:t>
      </w:r>
      <w:r w:rsidR="00630D93" w:rsidRPr="00630D93">
        <w:rPr>
          <w:rFonts w:ascii="Book Antiqua" w:hAnsi="Book Antiqua" w:cs="Arial"/>
          <w:i/>
        </w:rPr>
        <w:t>something more’</w:t>
      </w:r>
      <w:r w:rsidR="00630D93">
        <w:rPr>
          <w:rFonts w:ascii="Book Antiqua" w:hAnsi="Book Antiqua" w:cs="Arial"/>
        </w:rPr>
        <w:t xml:space="preserve"> (per </w:t>
      </w:r>
      <w:r w:rsidR="00630D93" w:rsidRPr="00553973">
        <w:rPr>
          <w:rFonts w:ascii="Book Antiqua" w:hAnsi="Book Antiqua" w:cs="Arial"/>
          <w:b/>
          <w:i/>
          <w:u w:val="single"/>
        </w:rPr>
        <w:t>Singh v SSHD</w:t>
      </w:r>
      <w:r w:rsidR="00630D93">
        <w:rPr>
          <w:rFonts w:ascii="Book Antiqua" w:hAnsi="Book Antiqua" w:cs="Arial"/>
        </w:rPr>
        <w:t xml:space="preserve"> </w:t>
      </w:r>
      <w:r w:rsidR="00630D93" w:rsidRPr="00553973">
        <w:rPr>
          <w:rFonts w:ascii="Book Antiqua" w:hAnsi="Book Antiqua" w:cs="Arial"/>
          <w:b/>
          <w:i/>
        </w:rPr>
        <w:t xml:space="preserve">[2015] EWCA </w:t>
      </w:r>
      <w:proofErr w:type="spellStart"/>
      <w:r w:rsidR="00630D93" w:rsidRPr="00553973">
        <w:rPr>
          <w:rFonts w:ascii="Book Antiqua" w:hAnsi="Book Antiqua" w:cs="Arial"/>
          <w:b/>
          <w:i/>
        </w:rPr>
        <w:t>Civ</w:t>
      </w:r>
      <w:proofErr w:type="spellEnd"/>
      <w:r w:rsidR="00630D93" w:rsidRPr="00553973">
        <w:rPr>
          <w:rFonts w:ascii="Book Antiqua" w:hAnsi="Book Antiqua" w:cs="Arial"/>
          <w:b/>
          <w:i/>
        </w:rPr>
        <w:t xml:space="preserve"> 630</w:t>
      </w:r>
      <w:r w:rsidR="00630D93" w:rsidRPr="00553973">
        <w:rPr>
          <w:rFonts w:ascii="Book Antiqua" w:hAnsi="Book Antiqua" w:cs="Arial"/>
          <w:i/>
        </w:rPr>
        <w:t xml:space="preserve"> </w:t>
      </w:r>
      <w:r w:rsidR="00630D93">
        <w:rPr>
          <w:rFonts w:ascii="Book Antiqua" w:hAnsi="Book Antiqua" w:cs="Arial"/>
        </w:rPr>
        <w:t>at [24]).</w:t>
      </w:r>
      <w:r w:rsidR="00DA6D4D">
        <w:rPr>
          <w:rFonts w:ascii="Book Antiqua" w:hAnsi="Book Antiqua" w:cs="Arial"/>
        </w:rPr>
        <w:t xml:space="preserve">  I consider that such was open to him on the evidence.  This was more than, as the grounds claim, keeping in touch and the occasional visit.</w:t>
      </w:r>
    </w:p>
    <w:p w:rsidR="00DA6D4D" w:rsidRDefault="00DA6D4D" w:rsidP="00DA6D4D">
      <w:pPr>
        <w:pStyle w:val="ListParagraph"/>
        <w:rPr>
          <w:rFonts w:ascii="Book Antiqua" w:hAnsi="Book Antiqua" w:cs="Arial"/>
        </w:rPr>
      </w:pPr>
    </w:p>
    <w:p w:rsidR="005C15C6" w:rsidRDefault="00FC1BD7" w:rsidP="002A54ED">
      <w:pPr>
        <w:numPr>
          <w:ilvl w:val="0"/>
          <w:numId w:val="3"/>
        </w:numPr>
        <w:ind w:left="567" w:hanging="567"/>
        <w:jc w:val="both"/>
        <w:rPr>
          <w:rFonts w:ascii="Book Antiqua" w:hAnsi="Book Antiqua" w:cs="Arial"/>
        </w:rPr>
      </w:pPr>
      <w:r>
        <w:rPr>
          <w:rFonts w:ascii="Book Antiqua" w:hAnsi="Book Antiqua" w:cs="Arial"/>
        </w:rPr>
        <w:t>As a further factor the j</w:t>
      </w:r>
      <w:r w:rsidR="00DA6D4D">
        <w:rPr>
          <w:rFonts w:ascii="Book Antiqua" w:hAnsi="Book Antiqua" w:cs="Arial"/>
        </w:rPr>
        <w:t>udge placed reliance on the appellant’s medical condition namely, a serious leg condition which hampers his mobility.  I do not find merit in Ms Willocks</w:t>
      </w:r>
      <w:r>
        <w:rPr>
          <w:rFonts w:ascii="Book Antiqua" w:hAnsi="Book Antiqua" w:cs="Arial"/>
        </w:rPr>
        <w:t>-Briscoe’s submission that the j</w:t>
      </w:r>
      <w:r w:rsidR="00DA6D4D">
        <w:rPr>
          <w:rFonts w:ascii="Book Antiqua" w:hAnsi="Book Antiqua" w:cs="Arial"/>
        </w:rPr>
        <w:t>udge erred in his assessment of the evidence of the sponsor as to his son’s disability in the absence of independent medical evidence confirming his condition.</w:t>
      </w:r>
      <w:r w:rsidR="00B95ADD">
        <w:rPr>
          <w:rFonts w:ascii="Book Antiqua" w:hAnsi="Book Antiqua" w:cs="Arial"/>
        </w:rPr>
        <w:t xml:space="preserve">  First, as indicated the evidence was not challenged before the First-tier.  Second, there is independent medical evidence, namely a letter</w:t>
      </w:r>
      <w:r w:rsidR="00B33770">
        <w:rPr>
          <w:rFonts w:ascii="Book Antiqua" w:hAnsi="Book Antiqua" w:cs="Arial"/>
        </w:rPr>
        <w:t xml:space="preserve"> and medical notes</w:t>
      </w:r>
      <w:r w:rsidR="00B95ADD">
        <w:rPr>
          <w:rFonts w:ascii="Book Antiqua" w:hAnsi="Book Antiqua" w:cs="Arial"/>
        </w:rPr>
        <w:t xml:space="preserve"> from B &amp; B Hospital, Lalitpur, Nepal</w:t>
      </w:r>
      <w:r w:rsidR="00B33770">
        <w:rPr>
          <w:rFonts w:ascii="Book Antiqua" w:hAnsi="Book Antiqua" w:cs="Arial"/>
        </w:rPr>
        <w:t>. The letter,</w:t>
      </w:r>
      <w:r w:rsidR="00B95ADD">
        <w:rPr>
          <w:rFonts w:ascii="Book Antiqua" w:hAnsi="Book Antiqua" w:cs="Arial"/>
        </w:rPr>
        <w:t xml:space="preserve"> dated 8 March 2016</w:t>
      </w:r>
      <w:r w:rsidR="00B33770">
        <w:rPr>
          <w:rFonts w:ascii="Book Antiqua" w:hAnsi="Book Antiqua" w:cs="Arial"/>
        </w:rPr>
        <w:t>,</w:t>
      </w:r>
      <w:r w:rsidR="00B95ADD">
        <w:rPr>
          <w:rFonts w:ascii="Book Antiqua" w:hAnsi="Book Antiqua" w:cs="Arial"/>
        </w:rPr>
        <w:t xml:space="preserve"> by a cons</w:t>
      </w:r>
      <w:r w:rsidR="00B33770">
        <w:rPr>
          <w:rFonts w:ascii="Book Antiqua" w:hAnsi="Book Antiqua" w:cs="Arial"/>
        </w:rPr>
        <w:t>ultant orthopaedic surgeon</w:t>
      </w:r>
      <w:r w:rsidR="00B95ADD">
        <w:rPr>
          <w:rFonts w:ascii="Book Antiqua" w:hAnsi="Book Antiqua" w:cs="Arial"/>
        </w:rPr>
        <w:t xml:space="preserve"> states that the appellant was diagnosed with left sided sub-trochanteric fracture</w:t>
      </w:r>
      <w:r w:rsidR="00B33770">
        <w:rPr>
          <w:rFonts w:ascii="Book Antiqua" w:hAnsi="Book Antiqua" w:cs="Arial"/>
        </w:rPr>
        <w:t xml:space="preserve"> which was</w:t>
      </w:r>
      <w:r w:rsidR="00B95ADD">
        <w:rPr>
          <w:rFonts w:ascii="Book Antiqua" w:hAnsi="Book Antiqua" w:cs="Arial"/>
        </w:rPr>
        <w:t xml:space="preserve"> treated surgically but problems required further surgery.  At follow-up in 2016</w:t>
      </w:r>
      <w:r w:rsidR="005C15C6">
        <w:rPr>
          <w:rFonts w:ascii="Book Antiqua" w:hAnsi="Book Antiqua" w:cs="Arial"/>
        </w:rPr>
        <w:t xml:space="preserve"> it was found that there was </w:t>
      </w:r>
      <w:r w:rsidR="005C15C6" w:rsidRPr="00DF06DA">
        <w:rPr>
          <w:rFonts w:ascii="Book Antiqua" w:hAnsi="Book Antiqua" w:cs="Arial"/>
          <w:i/>
        </w:rPr>
        <w:t>‘leg</w:t>
      </w:r>
      <w:r w:rsidR="005C15C6">
        <w:rPr>
          <w:rFonts w:ascii="Book Antiqua" w:hAnsi="Book Antiqua" w:cs="Arial"/>
        </w:rPr>
        <w:t xml:space="preserve"> </w:t>
      </w:r>
      <w:r w:rsidR="005C15C6" w:rsidRPr="00DF06DA">
        <w:rPr>
          <w:rFonts w:ascii="Book Antiqua" w:hAnsi="Book Antiqua" w:cs="Arial"/>
          <w:i/>
        </w:rPr>
        <w:t>length discrepancy along with malunion of the facture.  The patient uses canes for walk</w:t>
      </w:r>
      <w:r w:rsidR="005C15C6">
        <w:rPr>
          <w:rFonts w:ascii="Book Antiqua" w:hAnsi="Book Antiqua" w:cs="Arial"/>
        </w:rPr>
        <w:t>.’  It was indicated that the appellant should have corrective surgery.</w:t>
      </w:r>
    </w:p>
    <w:p w:rsidR="005C15C6" w:rsidRDefault="005C15C6" w:rsidP="005C15C6">
      <w:pPr>
        <w:pStyle w:val="ListParagraph"/>
        <w:rPr>
          <w:rFonts w:ascii="Book Antiqua" w:hAnsi="Book Antiqua" w:cs="Arial"/>
        </w:rPr>
      </w:pPr>
    </w:p>
    <w:p w:rsidR="005C15C6" w:rsidRDefault="005C15C6" w:rsidP="002A54ED">
      <w:pPr>
        <w:numPr>
          <w:ilvl w:val="0"/>
          <w:numId w:val="3"/>
        </w:numPr>
        <w:ind w:left="567" w:hanging="567"/>
        <w:jc w:val="both"/>
        <w:rPr>
          <w:rFonts w:ascii="Book Antiqua" w:hAnsi="Book Antiqua" w:cs="Arial"/>
        </w:rPr>
      </w:pPr>
      <w:r>
        <w:rPr>
          <w:rFonts w:ascii="Book Antiqua" w:hAnsi="Book Antiqua" w:cs="Arial"/>
        </w:rPr>
        <w:t xml:space="preserve">I </w:t>
      </w:r>
      <w:r w:rsidR="00FC1BD7">
        <w:rPr>
          <w:rFonts w:ascii="Book Antiqua" w:hAnsi="Book Antiqua" w:cs="Arial"/>
        </w:rPr>
        <w:t>conclude that the j</w:t>
      </w:r>
      <w:r>
        <w:rPr>
          <w:rFonts w:ascii="Book Antiqua" w:hAnsi="Book Antiqua" w:cs="Arial"/>
        </w:rPr>
        <w:t>udge was entitled to give the weight he did to the appellant’s disability.  Further, for the reasons given above, tha</w:t>
      </w:r>
      <w:r w:rsidR="00FC1BD7">
        <w:rPr>
          <w:rFonts w:ascii="Book Antiqua" w:hAnsi="Book Antiqua" w:cs="Arial"/>
        </w:rPr>
        <w:t xml:space="preserve">t he was entitled to find that </w:t>
      </w:r>
      <w:proofErr w:type="gramStart"/>
      <w:r w:rsidR="00FC1BD7">
        <w:rPr>
          <w:rFonts w:ascii="Book Antiqua" w:hAnsi="Book Antiqua" w:cs="Arial"/>
        </w:rPr>
        <w:t>a</w:t>
      </w:r>
      <w:r>
        <w:rPr>
          <w:rFonts w:ascii="Book Antiqua" w:hAnsi="Book Antiqua" w:cs="Arial"/>
        </w:rPr>
        <w:t>rticle</w:t>
      </w:r>
      <w:r w:rsidR="00553973">
        <w:rPr>
          <w:rFonts w:ascii="Book Antiqua" w:hAnsi="Book Antiqua" w:cs="Arial"/>
        </w:rPr>
        <w:t xml:space="preserve"> </w:t>
      </w:r>
      <w:r w:rsidR="00C00772">
        <w:rPr>
          <w:rFonts w:ascii="Book Antiqua" w:hAnsi="Book Antiqua" w:cs="Arial"/>
        </w:rPr>
        <w:t xml:space="preserve"> </w:t>
      </w:r>
      <w:r>
        <w:rPr>
          <w:rFonts w:ascii="Book Antiqua" w:hAnsi="Book Antiqua" w:cs="Arial"/>
        </w:rPr>
        <w:t>8</w:t>
      </w:r>
      <w:proofErr w:type="gramEnd"/>
      <w:r>
        <w:rPr>
          <w:rFonts w:ascii="Book Antiqua" w:hAnsi="Book Antiqua" w:cs="Arial"/>
        </w:rPr>
        <w:t xml:space="preserve"> family life was engaged.</w:t>
      </w:r>
      <w:r w:rsidR="00D9465B">
        <w:rPr>
          <w:rFonts w:ascii="Book Antiqua" w:hAnsi="Book Antiqua" w:cs="Arial"/>
        </w:rPr>
        <w:t xml:space="preserve"> The appellant had a family life which existed at the time of the parents’ departure to settle in the UK and had endured beyond it notwithstanding their having left Nepal when they did.</w:t>
      </w:r>
    </w:p>
    <w:p w:rsidR="005C15C6" w:rsidRDefault="005C15C6" w:rsidP="005C15C6">
      <w:pPr>
        <w:pStyle w:val="ListParagraph"/>
        <w:rPr>
          <w:rFonts w:ascii="Book Antiqua" w:hAnsi="Book Antiqua" w:cs="Arial"/>
        </w:rPr>
      </w:pPr>
    </w:p>
    <w:p w:rsidR="005C15C6" w:rsidRDefault="005C15C6" w:rsidP="002A54ED">
      <w:pPr>
        <w:numPr>
          <w:ilvl w:val="0"/>
          <w:numId w:val="3"/>
        </w:numPr>
        <w:ind w:left="567" w:hanging="567"/>
        <w:jc w:val="both"/>
        <w:rPr>
          <w:rFonts w:ascii="Book Antiqua" w:hAnsi="Book Antiqua" w:cs="Arial"/>
        </w:rPr>
      </w:pPr>
      <w:r>
        <w:rPr>
          <w:rFonts w:ascii="Book Antiqua" w:hAnsi="Book Antiqua" w:cs="Arial"/>
        </w:rPr>
        <w:t>Having fou</w:t>
      </w:r>
      <w:r w:rsidR="00FC1BD7">
        <w:rPr>
          <w:rFonts w:ascii="Book Antiqua" w:hAnsi="Book Antiqua" w:cs="Arial"/>
        </w:rPr>
        <w:t>nd that family life exists the j</w:t>
      </w:r>
      <w:r w:rsidR="008F48DB">
        <w:rPr>
          <w:rFonts w:ascii="Book Antiqua" w:hAnsi="Book Antiqua" w:cs="Arial"/>
        </w:rPr>
        <w:t>udge went on</w:t>
      </w:r>
      <w:r>
        <w:rPr>
          <w:rFonts w:ascii="Book Antiqua" w:hAnsi="Book Antiqua" w:cs="Arial"/>
        </w:rPr>
        <w:t xml:space="preserve"> to</w:t>
      </w:r>
      <w:r w:rsidR="00FC1BD7">
        <w:rPr>
          <w:rFonts w:ascii="Book Antiqua" w:hAnsi="Book Antiqua" w:cs="Arial"/>
        </w:rPr>
        <w:t xml:space="preserve"> the</w:t>
      </w:r>
      <w:r>
        <w:rPr>
          <w:rFonts w:ascii="Book Antiqua" w:hAnsi="Book Antiqua" w:cs="Arial"/>
        </w:rPr>
        <w:t xml:space="preserve"> assessment of proportionality.  I do not find merit in Ms Willocks-Briscoe’s submission that it was speculation that the sponsor would h</w:t>
      </w:r>
      <w:r w:rsidR="002C3F14">
        <w:rPr>
          <w:rFonts w:ascii="Book Antiqua" w:hAnsi="Book Antiqua" w:cs="Arial"/>
        </w:rPr>
        <w:t>ave come to the UK o</w:t>
      </w:r>
      <w:r>
        <w:rPr>
          <w:rFonts w:ascii="Book Antiqua" w:hAnsi="Book Antiqua" w:cs="Arial"/>
        </w:rPr>
        <w:t xml:space="preserve">n retirement from the Army had not been </w:t>
      </w:r>
      <w:r w:rsidR="00FC1BD7">
        <w:rPr>
          <w:rFonts w:ascii="Book Antiqua" w:hAnsi="Book Antiqua" w:cs="Arial"/>
        </w:rPr>
        <w:t>prevented from doing so by the historic injustice</w:t>
      </w:r>
      <w:r>
        <w:rPr>
          <w:rFonts w:ascii="Book Antiqua" w:hAnsi="Book Antiqua" w:cs="Arial"/>
        </w:rPr>
        <w:t>.  He said as much in his witness statement [para 3].  As indicated, again, there was no challenge to any of the evidence before the First-tier Judge.</w:t>
      </w:r>
    </w:p>
    <w:p w:rsidR="005C15C6" w:rsidRDefault="005C15C6" w:rsidP="005C15C6">
      <w:pPr>
        <w:pStyle w:val="ListParagraph"/>
        <w:rPr>
          <w:rFonts w:ascii="Book Antiqua" w:hAnsi="Book Antiqua" w:cs="Arial"/>
        </w:rPr>
      </w:pPr>
    </w:p>
    <w:p w:rsidR="006F6E89" w:rsidRDefault="00FC1BD7" w:rsidP="002A54ED">
      <w:pPr>
        <w:numPr>
          <w:ilvl w:val="0"/>
          <w:numId w:val="3"/>
        </w:numPr>
        <w:ind w:left="567" w:hanging="567"/>
        <w:jc w:val="both"/>
        <w:rPr>
          <w:rFonts w:ascii="Book Antiqua" w:hAnsi="Book Antiqua" w:cs="Arial"/>
        </w:rPr>
      </w:pPr>
      <w:r>
        <w:rPr>
          <w:rFonts w:ascii="Book Antiqua" w:hAnsi="Book Antiqua" w:cs="Arial"/>
        </w:rPr>
        <w:t>The j</w:t>
      </w:r>
      <w:r w:rsidR="005C15C6">
        <w:rPr>
          <w:rFonts w:ascii="Book Antiqua" w:hAnsi="Book Antiqua" w:cs="Arial"/>
        </w:rPr>
        <w:t>udge noted that the appellant does not speak English and is not financially independent b</w:t>
      </w:r>
      <w:r w:rsidR="00D9465B">
        <w:rPr>
          <w:rFonts w:ascii="Book Antiqua" w:hAnsi="Book Antiqua" w:cs="Arial"/>
        </w:rPr>
        <w:t xml:space="preserve">ut that he </w:t>
      </w:r>
      <w:proofErr w:type="gramStart"/>
      <w:r w:rsidR="00D9465B">
        <w:rPr>
          <w:rFonts w:ascii="Book Antiqua" w:hAnsi="Book Antiqua" w:cs="Arial"/>
        </w:rPr>
        <w:t>has the ability to</w:t>
      </w:r>
      <w:proofErr w:type="gramEnd"/>
      <w:r w:rsidR="00D9465B">
        <w:rPr>
          <w:rFonts w:ascii="Book Antiqua" w:hAnsi="Book Antiqua" w:cs="Arial"/>
        </w:rPr>
        <w:t xml:space="preserve"> learn</w:t>
      </w:r>
      <w:r w:rsidR="005C15C6">
        <w:rPr>
          <w:rFonts w:ascii="Book Antiqua" w:hAnsi="Book Antiqua" w:cs="Arial"/>
        </w:rPr>
        <w:t xml:space="preserve"> and to get a job.  I do not consider that future possibilities accord with the stated publi</w:t>
      </w:r>
      <w:r w:rsidR="00D9465B">
        <w:rPr>
          <w:rFonts w:ascii="Book Antiqua" w:hAnsi="Book Antiqua" w:cs="Arial"/>
        </w:rPr>
        <w:t>c interest requirements of the s</w:t>
      </w:r>
      <w:r w:rsidR="005C15C6">
        <w:rPr>
          <w:rFonts w:ascii="Book Antiqua" w:hAnsi="Book Antiqua" w:cs="Arial"/>
        </w:rPr>
        <w:t xml:space="preserve">ection and that as such his lack of English and lack of financial independence weighs against the appellant.  However, I do not consider that to be a material error because historic injustice had to be weighed.  </w:t>
      </w:r>
      <w:r w:rsidR="00DA6D4D">
        <w:rPr>
          <w:rFonts w:ascii="Book Antiqua" w:hAnsi="Book Antiqua" w:cs="Arial"/>
        </w:rPr>
        <w:t xml:space="preserve">      </w:t>
      </w:r>
      <w:r w:rsidR="006F6E89">
        <w:rPr>
          <w:rFonts w:ascii="Book Antiqua" w:hAnsi="Book Antiqua" w:cs="Arial"/>
        </w:rPr>
        <w:t xml:space="preserve"> </w:t>
      </w:r>
    </w:p>
    <w:p w:rsidR="005C15C6" w:rsidRDefault="005C15C6" w:rsidP="005C15C6">
      <w:pPr>
        <w:pStyle w:val="ListParagraph"/>
        <w:rPr>
          <w:rFonts w:ascii="Book Antiqua" w:hAnsi="Book Antiqua" w:cs="Arial"/>
        </w:rPr>
      </w:pPr>
    </w:p>
    <w:p w:rsidR="00163DDF" w:rsidRDefault="005C15C6" w:rsidP="002A54ED">
      <w:pPr>
        <w:numPr>
          <w:ilvl w:val="0"/>
          <w:numId w:val="3"/>
        </w:numPr>
        <w:ind w:left="567" w:hanging="567"/>
        <w:jc w:val="both"/>
        <w:rPr>
          <w:rFonts w:ascii="Book Antiqua" w:hAnsi="Book Antiqua" w:cs="Arial"/>
        </w:rPr>
      </w:pPr>
      <w:r>
        <w:rPr>
          <w:rFonts w:ascii="Book Antiqua" w:hAnsi="Book Antiqua" w:cs="Arial"/>
        </w:rPr>
        <w:t xml:space="preserve">In </w:t>
      </w:r>
      <w:r w:rsidRPr="005C15C6">
        <w:rPr>
          <w:rFonts w:ascii="Book Antiqua" w:hAnsi="Book Antiqua" w:cs="Arial"/>
          <w:b/>
          <w:i/>
          <w:u w:val="single"/>
        </w:rPr>
        <w:t>Ghising and other (Gurkhas/BOC’s: historic wrong; weight)</w:t>
      </w:r>
      <w:r>
        <w:rPr>
          <w:rFonts w:ascii="Book Antiqua" w:hAnsi="Book Antiqua" w:cs="Arial"/>
        </w:rPr>
        <w:t xml:space="preserve"> [2013] UKUT 567 the Tribunal stated: </w:t>
      </w:r>
    </w:p>
    <w:p w:rsidR="00163DDF" w:rsidRPr="00A42A36" w:rsidRDefault="00163DDF" w:rsidP="00163DDF">
      <w:pPr>
        <w:pStyle w:val="ListParagraph"/>
        <w:rPr>
          <w:rFonts w:ascii="Book Antiqua" w:hAnsi="Book Antiqua" w:cs="Arial"/>
          <w:b/>
        </w:rPr>
      </w:pPr>
    </w:p>
    <w:p w:rsidR="005C15C6" w:rsidRPr="00163DDF" w:rsidRDefault="00163DDF" w:rsidP="00163DDF">
      <w:pPr>
        <w:ind w:left="567"/>
        <w:jc w:val="both"/>
        <w:rPr>
          <w:rFonts w:ascii="Book Antiqua" w:hAnsi="Book Antiqua" w:cs="Arial"/>
          <w:i/>
        </w:rPr>
      </w:pPr>
      <w:r w:rsidRPr="008569A4">
        <w:rPr>
          <w:rFonts w:ascii="Book Antiqua" w:hAnsi="Book Antiqua" w:cs="Arial"/>
        </w:rPr>
        <w:t xml:space="preserve">               </w:t>
      </w:r>
      <w:r w:rsidRPr="008569A4">
        <w:rPr>
          <w:rFonts w:ascii="Book Antiqua" w:hAnsi="Book Antiqua" w:cs="Arial"/>
          <w:i/>
        </w:rPr>
        <w:t>‘[In</w:t>
      </w:r>
      <w:r w:rsidRPr="00A42A36">
        <w:rPr>
          <w:rFonts w:ascii="Book Antiqua" w:hAnsi="Book Antiqua" w:cs="Arial"/>
          <w:b/>
          <w:i/>
        </w:rPr>
        <w:t xml:space="preserve"> </w:t>
      </w:r>
      <w:r w:rsidRPr="00A42A36">
        <w:rPr>
          <w:rFonts w:ascii="Book Antiqua" w:hAnsi="Book Antiqua" w:cs="Arial"/>
          <w:b/>
          <w:i/>
          <w:u w:val="single"/>
        </w:rPr>
        <w:t>Gurung and others</w:t>
      </w:r>
      <w:r w:rsidRPr="00A42A36">
        <w:rPr>
          <w:rFonts w:ascii="Book Antiqua" w:hAnsi="Book Antiqua" w:cs="Arial"/>
          <w:b/>
          <w:i/>
        </w:rPr>
        <w:t xml:space="preserve"> [2013] EWCA </w:t>
      </w:r>
      <w:proofErr w:type="spellStart"/>
      <w:r w:rsidRPr="00A42A36">
        <w:rPr>
          <w:rFonts w:ascii="Book Antiqua" w:hAnsi="Book Antiqua" w:cs="Arial"/>
          <w:b/>
          <w:i/>
        </w:rPr>
        <w:t>Civ</w:t>
      </w:r>
      <w:proofErr w:type="spellEnd"/>
      <w:r w:rsidRPr="00A42A36">
        <w:rPr>
          <w:rFonts w:ascii="Book Antiqua" w:hAnsi="Book Antiqua" w:cs="Arial"/>
          <w:b/>
          <w:i/>
        </w:rPr>
        <w:t xml:space="preserve"> 8</w:t>
      </w:r>
      <w:r w:rsidRPr="00163DDF">
        <w:rPr>
          <w:rFonts w:ascii="Book Antiqua" w:hAnsi="Book Antiqua" w:cs="Arial"/>
          <w:i/>
        </w:rPr>
        <w:t>] The Court held that, as in the</w:t>
      </w:r>
    </w:p>
    <w:p w:rsidR="00163DDF" w:rsidRPr="00163DDF" w:rsidRDefault="002A6BB1" w:rsidP="00163DDF">
      <w:pPr>
        <w:ind w:left="567"/>
        <w:jc w:val="both"/>
        <w:rPr>
          <w:rFonts w:ascii="Book Antiqua" w:hAnsi="Book Antiqua" w:cs="Arial"/>
          <w:i/>
        </w:rPr>
      </w:pPr>
      <w:r>
        <w:rPr>
          <w:rFonts w:ascii="Book Antiqua" w:hAnsi="Book Antiqua" w:cs="Arial"/>
          <w:i/>
        </w:rPr>
        <w:t xml:space="preserve">                 c</w:t>
      </w:r>
      <w:r w:rsidR="00A42A36">
        <w:rPr>
          <w:rFonts w:ascii="Book Antiqua" w:hAnsi="Book Antiqua" w:cs="Arial"/>
          <w:i/>
        </w:rPr>
        <w:t>ase of</w:t>
      </w:r>
      <w:r w:rsidR="00163DDF" w:rsidRPr="00163DDF">
        <w:rPr>
          <w:rFonts w:ascii="Book Antiqua" w:hAnsi="Book Antiqua" w:cs="Arial"/>
          <w:i/>
        </w:rPr>
        <w:t xml:space="preserve"> British Overseas Citizens, the historic wrong suffered by Gurkha ex</w:t>
      </w:r>
    </w:p>
    <w:p w:rsidR="00163DDF" w:rsidRPr="00163DDF" w:rsidRDefault="00163DDF" w:rsidP="00163DDF">
      <w:pPr>
        <w:ind w:left="567"/>
        <w:jc w:val="both"/>
        <w:rPr>
          <w:rFonts w:ascii="Book Antiqua" w:hAnsi="Book Antiqua" w:cs="Arial"/>
          <w:i/>
        </w:rPr>
      </w:pPr>
      <w:r w:rsidRPr="00163DDF">
        <w:rPr>
          <w:rFonts w:ascii="Book Antiqua" w:hAnsi="Book Antiqua" w:cs="Arial"/>
          <w:i/>
        </w:rPr>
        <w:t xml:space="preserve">                 servicemen should be given substantial weight.’</w:t>
      </w:r>
    </w:p>
    <w:p w:rsidR="00163DDF" w:rsidRDefault="00163DDF" w:rsidP="00163DDF">
      <w:pPr>
        <w:ind w:left="567"/>
        <w:jc w:val="both"/>
        <w:rPr>
          <w:rFonts w:ascii="Book Antiqua" w:hAnsi="Book Antiqua" w:cs="Arial"/>
        </w:rPr>
      </w:pPr>
      <w:r>
        <w:rPr>
          <w:rFonts w:ascii="Book Antiqua" w:hAnsi="Book Antiqua" w:cs="Arial"/>
        </w:rPr>
        <w:t xml:space="preserve">                 (headnote (3)) </w:t>
      </w:r>
    </w:p>
    <w:p w:rsidR="005C15C6" w:rsidRDefault="005C15C6" w:rsidP="005C15C6">
      <w:pPr>
        <w:pStyle w:val="ListParagraph"/>
        <w:rPr>
          <w:rFonts w:ascii="Book Antiqua" w:hAnsi="Book Antiqua" w:cs="Arial"/>
        </w:rPr>
      </w:pPr>
    </w:p>
    <w:p w:rsidR="005C15C6" w:rsidRDefault="00FC1BD7" w:rsidP="005C15C6">
      <w:pPr>
        <w:ind w:left="1440"/>
        <w:jc w:val="both"/>
        <w:rPr>
          <w:rFonts w:ascii="Book Antiqua" w:hAnsi="Book Antiqua" w:cs="Arial"/>
          <w:i/>
        </w:rPr>
      </w:pPr>
      <w:r w:rsidRPr="00D9465B">
        <w:rPr>
          <w:rFonts w:ascii="Book Antiqua" w:hAnsi="Book Antiqua" w:cs="Arial"/>
          <w:i/>
        </w:rPr>
        <w:t>‘</w:t>
      </w:r>
      <w:r w:rsidR="00163DDF">
        <w:rPr>
          <w:rFonts w:ascii="Book Antiqua" w:hAnsi="Book Antiqua" w:cs="Arial"/>
          <w:i/>
        </w:rPr>
        <w:t>Accordingly, w</w:t>
      </w:r>
      <w:r w:rsidR="005C15C6" w:rsidRPr="00D9465B">
        <w:rPr>
          <w:rFonts w:ascii="Book Antiqua" w:hAnsi="Book Antiqua" w:cs="Arial"/>
          <w:i/>
        </w:rPr>
        <w:t xml:space="preserve">here it is found that Article 8 is engaged and, but for the historic wrong, the appellant would have settled in the UK long ago, this will ordinarily </w:t>
      </w:r>
      <w:r w:rsidR="005C15C6" w:rsidRPr="00D9465B">
        <w:rPr>
          <w:rFonts w:ascii="Book Antiqua" w:hAnsi="Book Antiqua" w:cs="Arial"/>
          <w:i/>
        </w:rPr>
        <w:lastRenderedPageBreak/>
        <w:t xml:space="preserve">determine the outcome of the Article 8 proportionality assessment in an appellant’s favour where the matters relied on by the SSHD/ECO consist solely of the public interest in maintaining a firm immigration </w:t>
      </w:r>
      <w:r w:rsidRPr="00D9465B">
        <w:rPr>
          <w:rFonts w:ascii="Book Antiqua" w:hAnsi="Book Antiqua" w:cs="Arial"/>
          <w:i/>
        </w:rPr>
        <w:t>policy.’</w:t>
      </w:r>
    </w:p>
    <w:p w:rsidR="002242B8" w:rsidRPr="002242B8" w:rsidRDefault="002242B8" w:rsidP="005C15C6">
      <w:pPr>
        <w:ind w:left="1440"/>
        <w:jc w:val="both"/>
        <w:rPr>
          <w:rFonts w:ascii="Book Antiqua" w:hAnsi="Book Antiqua" w:cs="Arial"/>
        </w:rPr>
      </w:pPr>
      <w:r w:rsidRPr="002242B8">
        <w:rPr>
          <w:rFonts w:ascii="Book Antiqua" w:hAnsi="Book Antiqua" w:cs="Arial"/>
        </w:rPr>
        <w:t>(headnote (4))</w:t>
      </w:r>
    </w:p>
    <w:p w:rsidR="00F67474" w:rsidRDefault="00F67474" w:rsidP="005C15C6">
      <w:pPr>
        <w:ind w:left="1440"/>
        <w:jc w:val="both"/>
        <w:rPr>
          <w:rFonts w:ascii="Book Antiqua" w:hAnsi="Book Antiqua" w:cs="Arial"/>
        </w:rPr>
      </w:pPr>
    </w:p>
    <w:p w:rsidR="005C15C6" w:rsidRDefault="00F67474" w:rsidP="002A54ED">
      <w:pPr>
        <w:numPr>
          <w:ilvl w:val="0"/>
          <w:numId w:val="3"/>
        </w:numPr>
        <w:ind w:left="567" w:hanging="567"/>
        <w:jc w:val="both"/>
        <w:rPr>
          <w:rFonts w:ascii="Book Antiqua" w:hAnsi="Book Antiqua" w:cs="Arial"/>
        </w:rPr>
      </w:pPr>
      <w:r>
        <w:rPr>
          <w:rFonts w:ascii="Book Antiqua" w:hAnsi="Book Antiqua" w:cs="Arial"/>
        </w:rPr>
        <w:t>On the</w:t>
      </w:r>
      <w:r w:rsidR="00FC1BD7">
        <w:rPr>
          <w:rFonts w:ascii="Book Antiqua" w:hAnsi="Book Antiqua" w:cs="Arial"/>
        </w:rPr>
        <w:t xml:space="preserve"> facts as they were before the j</w:t>
      </w:r>
      <w:r>
        <w:rPr>
          <w:rFonts w:ascii="Book Antiqua" w:hAnsi="Book Antiqua" w:cs="Arial"/>
        </w:rPr>
        <w:t>udge he was entitled to find that the appellant would have settled in the UK with his parents long ago were it not for the historic injustice which is recognised by both the respondent and the courts.  In the circumstances he was entitled to find that the respondent’s decision was a disproportionate breach of the right to family life.</w:t>
      </w:r>
    </w:p>
    <w:p w:rsidR="00F67474" w:rsidRDefault="00F67474" w:rsidP="00F67474">
      <w:pPr>
        <w:jc w:val="both"/>
        <w:rPr>
          <w:rFonts w:ascii="Book Antiqua" w:hAnsi="Book Antiqua" w:cs="Arial"/>
        </w:rPr>
      </w:pPr>
    </w:p>
    <w:p w:rsidR="005C2D9A" w:rsidRDefault="005C2D9A" w:rsidP="00F67474">
      <w:pPr>
        <w:jc w:val="both"/>
        <w:rPr>
          <w:rFonts w:ascii="Book Antiqua" w:hAnsi="Book Antiqua" w:cs="Arial"/>
          <w:b/>
          <w:u w:val="single"/>
        </w:rPr>
      </w:pPr>
    </w:p>
    <w:p w:rsidR="00F67474" w:rsidRDefault="00F67474" w:rsidP="00F67474">
      <w:pPr>
        <w:jc w:val="both"/>
        <w:rPr>
          <w:rFonts w:ascii="Book Antiqua" w:hAnsi="Book Antiqua" w:cs="Arial"/>
          <w:b/>
          <w:u w:val="single"/>
        </w:rPr>
      </w:pPr>
      <w:r w:rsidRPr="00F67474">
        <w:rPr>
          <w:rFonts w:ascii="Book Antiqua" w:hAnsi="Book Antiqua" w:cs="Arial"/>
          <w:b/>
          <w:u w:val="single"/>
        </w:rPr>
        <w:t>Notice of Decision</w:t>
      </w:r>
    </w:p>
    <w:p w:rsidR="00F67474" w:rsidRDefault="00F67474" w:rsidP="00F67474">
      <w:pPr>
        <w:jc w:val="both"/>
        <w:rPr>
          <w:rFonts w:ascii="Book Antiqua" w:hAnsi="Book Antiqua" w:cs="Arial"/>
          <w:b/>
          <w:u w:val="single"/>
        </w:rPr>
      </w:pPr>
    </w:p>
    <w:p w:rsidR="00F67474" w:rsidRDefault="00F67474" w:rsidP="00F67474">
      <w:pPr>
        <w:jc w:val="both"/>
        <w:rPr>
          <w:rFonts w:ascii="Book Antiqua" w:hAnsi="Book Antiqua" w:cs="Arial"/>
        </w:rPr>
      </w:pPr>
      <w:r>
        <w:rPr>
          <w:rFonts w:ascii="Book Antiqua" w:hAnsi="Book Antiqua" w:cs="Arial"/>
        </w:rPr>
        <w:t>The decision of the First-tier Tribunal shows no material error of law.  That decision allowing the appeal stands.</w:t>
      </w:r>
    </w:p>
    <w:p w:rsidR="00F67474" w:rsidRDefault="00F67474" w:rsidP="00F67474">
      <w:pPr>
        <w:jc w:val="both"/>
        <w:rPr>
          <w:rFonts w:ascii="Book Antiqua" w:hAnsi="Book Antiqua" w:cs="Arial"/>
        </w:rPr>
      </w:pPr>
    </w:p>
    <w:p w:rsidR="00F67474" w:rsidRDefault="00F67474" w:rsidP="00F67474">
      <w:pPr>
        <w:jc w:val="both"/>
        <w:rPr>
          <w:rFonts w:ascii="Book Antiqua" w:hAnsi="Book Antiqua" w:cs="Arial"/>
        </w:rPr>
      </w:pPr>
      <w:r>
        <w:rPr>
          <w:rFonts w:ascii="Book Antiqua" w:hAnsi="Book Antiqua" w:cs="Arial"/>
        </w:rPr>
        <w:t>No anonymity order made.</w:t>
      </w:r>
    </w:p>
    <w:p w:rsidR="00F67474" w:rsidRDefault="00F67474" w:rsidP="00F67474">
      <w:pPr>
        <w:jc w:val="both"/>
        <w:rPr>
          <w:rFonts w:ascii="Book Antiqua" w:hAnsi="Book Antiqua" w:cs="Arial"/>
        </w:rPr>
      </w:pPr>
    </w:p>
    <w:p w:rsidR="00F67474" w:rsidRPr="00F67474" w:rsidRDefault="00F67474" w:rsidP="00F67474">
      <w:pPr>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933B65" w:rsidRPr="00F97703" w:rsidRDefault="00933B65" w:rsidP="00933B65">
      <w:pPr>
        <w:ind w:left="540" w:hanging="540"/>
        <w:jc w:val="both"/>
        <w:rPr>
          <w:rFonts w:ascii="Book Antiqua" w:hAnsi="Book Antiqua" w:cs="Arial"/>
        </w:rPr>
      </w:pPr>
    </w:p>
    <w:p w:rsidR="00F67474" w:rsidRDefault="00F67474" w:rsidP="0034540B">
      <w:pPr>
        <w:rPr>
          <w:rFonts w:ascii="Book Antiqua" w:hAnsi="Book Antiqua" w:cs="Arial"/>
        </w:rPr>
      </w:pPr>
    </w:p>
    <w:p w:rsidR="00933B65" w:rsidRPr="00F97703" w:rsidRDefault="00933B65" w:rsidP="0034540B">
      <w:pPr>
        <w:rPr>
          <w:rFonts w:ascii="Book Antiqua" w:hAnsi="Book Antiqua" w:cs="Arial"/>
        </w:rPr>
      </w:pPr>
      <w:r w:rsidRPr="00F97703">
        <w:rPr>
          <w:rFonts w:ascii="Book Antiqua" w:hAnsi="Book Antiqua" w:cs="Arial"/>
        </w:rPr>
        <w:t>Signed</w:t>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t>Date</w:t>
      </w:r>
    </w:p>
    <w:p w:rsidR="0034540B" w:rsidRDefault="0034540B" w:rsidP="0034540B">
      <w:pPr>
        <w:tabs>
          <w:tab w:val="left" w:pos="2520"/>
        </w:tabs>
        <w:rPr>
          <w:rFonts w:ascii="Book Antiqua" w:hAnsi="Book Antiqua" w:cs="Arial"/>
          <w:color w:val="000000"/>
        </w:rPr>
      </w:pPr>
    </w:p>
    <w:p w:rsidR="00266FFE" w:rsidRDefault="00933B65" w:rsidP="00D75624">
      <w:pPr>
        <w:tabs>
          <w:tab w:val="left" w:pos="2520"/>
        </w:tabs>
      </w:pPr>
      <w:r>
        <w:rPr>
          <w:rFonts w:ascii="Book Antiqua" w:hAnsi="Book Antiqua" w:cs="Arial"/>
          <w:color w:val="000000"/>
        </w:rPr>
        <w:t xml:space="preserve">Upper Tribunal </w:t>
      </w:r>
      <w:r w:rsidR="00025F0F">
        <w:rPr>
          <w:rFonts w:ascii="Book Antiqua" w:hAnsi="Book Antiqua" w:cs="Arial"/>
          <w:color w:val="000000"/>
        </w:rPr>
        <w:t>Judge Conway</w:t>
      </w:r>
    </w:p>
    <w:sectPr w:rsidR="00266FFE" w:rsidSect="00421308">
      <w:headerReference w:type="default" r:id="rId9"/>
      <w:footerReference w:type="defaul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888" w:rsidRDefault="005F6888">
      <w:r>
        <w:separator/>
      </w:r>
    </w:p>
  </w:endnote>
  <w:endnote w:type="continuationSeparator" w:id="0">
    <w:p w:rsidR="005F6888" w:rsidRDefault="005F68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421308" w:rsidRDefault="00631E82" w:rsidP="00614E94">
    <w:pPr>
      <w:pStyle w:val="Footer"/>
      <w:jc w:val="center"/>
      <w:rPr>
        <w:rFonts w:ascii="Book Antiqua" w:hAnsi="Book Antiqua" w:cs="Arial"/>
      </w:rPr>
    </w:pPr>
    <w:r w:rsidRPr="00421308">
      <w:rPr>
        <w:rStyle w:val="PageNumber"/>
        <w:rFonts w:ascii="Book Antiqua" w:hAnsi="Book Antiqua" w:cs="Arial"/>
      </w:rPr>
      <w:fldChar w:fldCharType="begin"/>
    </w:r>
    <w:r w:rsidRPr="00421308">
      <w:rPr>
        <w:rStyle w:val="PageNumber"/>
        <w:rFonts w:ascii="Book Antiqua" w:hAnsi="Book Antiqua" w:cs="Arial"/>
      </w:rPr>
      <w:instrText xml:space="preserve"> PAGE </w:instrText>
    </w:r>
    <w:r w:rsidRPr="00421308">
      <w:rPr>
        <w:rStyle w:val="PageNumber"/>
        <w:rFonts w:ascii="Book Antiqua" w:hAnsi="Book Antiqua" w:cs="Arial"/>
      </w:rPr>
      <w:fldChar w:fldCharType="separate"/>
    </w:r>
    <w:r w:rsidR="002015A0">
      <w:rPr>
        <w:rStyle w:val="PageNumber"/>
        <w:rFonts w:ascii="Book Antiqua" w:hAnsi="Book Antiqua" w:cs="Arial"/>
        <w:noProof/>
      </w:rPr>
      <w:t>6</w:t>
    </w:r>
    <w:r w:rsidRPr="00421308">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Pr="00421308" w:rsidRDefault="00631E82" w:rsidP="00614E94">
    <w:pPr>
      <w:jc w:val="center"/>
      <w:rPr>
        <w:rFonts w:ascii="Book Antiqua" w:hAnsi="Book Antiqua" w:cs="Arial"/>
        <w:b/>
      </w:rPr>
    </w:pPr>
    <w:r w:rsidRPr="00421308">
      <w:rPr>
        <w:rFonts w:ascii="Book Antiqua" w:hAnsi="Book Antiqua" w:cs="Arial"/>
        <w:b/>
        <w:spacing w:val="-6"/>
      </w:rPr>
      <w:t>©</w:t>
    </w:r>
    <w:r w:rsidR="00CD3E7C" w:rsidRPr="0042130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888" w:rsidRDefault="005F6888">
      <w:r>
        <w:separator/>
      </w:r>
    </w:p>
  </w:footnote>
  <w:footnote w:type="continuationSeparator" w:id="0">
    <w:p w:rsidR="005F6888" w:rsidRDefault="005F6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1E82" w:rsidRDefault="00631E82" w:rsidP="00614E94">
    <w:pPr>
      <w:pStyle w:val="Header"/>
      <w:jc w:val="right"/>
      <w:rPr>
        <w:rFonts w:ascii="Book Antiqua" w:hAnsi="Book Antiqua" w:cs="Arial"/>
        <w:color w:val="000000"/>
        <w:sz w:val="16"/>
        <w:szCs w:val="16"/>
      </w:rPr>
    </w:pPr>
    <w:r w:rsidRPr="00CD3E7C">
      <w:rPr>
        <w:rFonts w:ascii="Book Antiqua" w:hAnsi="Book Antiqua" w:cs="Arial"/>
        <w:sz w:val="16"/>
        <w:szCs w:val="16"/>
      </w:rPr>
      <w:t xml:space="preserve">Appeal Number: </w:t>
    </w:r>
    <w:r w:rsidR="00CD3E7C" w:rsidRPr="00CD3E7C">
      <w:rPr>
        <w:rFonts w:ascii="Book Antiqua" w:hAnsi="Book Antiqua" w:cs="Arial"/>
        <w:color w:val="000000"/>
        <w:sz w:val="16"/>
        <w:szCs w:val="16"/>
      </w:rPr>
      <w:t>HU/08259/2016</w:t>
    </w:r>
  </w:p>
  <w:p w:rsidR="00421308" w:rsidRPr="00CD3E7C" w:rsidRDefault="00421308" w:rsidP="00614E94">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 w15:restartNumberingAfterBreak="0">
    <w:nsid w:val="50FA3C95"/>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6E1F628B"/>
    <w:multiLevelType w:val="hybridMultilevel"/>
    <w:tmpl w:val="C5780116"/>
    <w:lvl w:ilvl="0" w:tplc="888E5AFA">
      <w:start w:val="1"/>
      <w:numFmt w:val="decimal"/>
      <w:lvlText w:val="%1."/>
      <w:lvlJc w:val="left"/>
      <w:pPr>
        <w:ind w:left="900" w:hanging="54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25F0F"/>
    <w:rsid w:val="00042283"/>
    <w:rsid w:val="00050E2A"/>
    <w:rsid w:val="00091185"/>
    <w:rsid w:val="000B5D22"/>
    <w:rsid w:val="00112B05"/>
    <w:rsid w:val="0011587B"/>
    <w:rsid w:val="00126DF1"/>
    <w:rsid w:val="00157059"/>
    <w:rsid w:val="00163DDF"/>
    <w:rsid w:val="0017487E"/>
    <w:rsid w:val="0017612F"/>
    <w:rsid w:val="00181DDC"/>
    <w:rsid w:val="001832F8"/>
    <w:rsid w:val="001C1CCC"/>
    <w:rsid w:val="001C21D4"/>
    <w:rsid w:val="002015A0"/>
    <w:rsid w:val="002137C8"/>
    <w:rsid w:val="002242B8"/>
    <w:rsid w:val="0022452C"/>
    <w:rsid w:val="00256253"/>
    <w:rsid w:val="002639F9"/>
    <w:rsid w:val="00266FFE"/>
    <w:rsid w:val="00296B36"/>
    <w:rsid w:val="002A54ED"/>
    <w:rsid w:val="002A6BB1"/>
    <w:rsid w:val="002B3AC8"/>
    <w:rsid w:val="002C3F14"/>
    <w:rsid w:val="002E6335"/>
    <w:rsid w:val="002F3BEB"/>
    <w:rsid w:val="00315962"/>
    <w:rsid w:val="00332DFB"/>
    <w:rsid w:val="0034540B"/>
    <w:rsid w:val="00355128"/>
    <w:rsid w:val="00393CAD"/>
    <w:rsid w:val="003A246B"/>
    <w:rsid w:val="003D7DC1"/>
    <w:rsid w:val="004033E8"/>
    <w:rsid w:val="00404806"/>
    <w:rsid w:val="004171D0"/>
    <w:rsid w:val="00421308"/>
    <w:rsid w:val="00433BB9"/>
    <w:rsid w:val="004654D2"/>
    <w:rsid w:val="0047063F"/>
    <w:rsid w:val="00470937"/>
    <w:rsid w:val="00494534"/>
    <w:rsid w:val="004A012D"/>
    <w:rsid w:val="004A0207"/>
    <w:rsid w:val="004A289F"/>
    <w:rsid w:val="004B3F9E"/>
    <w:rsid w:val="004C5989"/>
    <w:rsid w:val="004F3024"/>
    <w:rsid w:val="00517E7C"/>
    <w:rsid w:val="005374A5"/>
    <w:rsid w:val="00553973"/>
    <w:rsid w:val="005544D4"/>
    <w:rsid w:val="0057020B"/>
    <w:rsid w:val="0057100E"/>
    <w:rsid w:val="005A3F3A"/>
    <w:rsid w:val="005C15C6"/>
    <w:rsid w:val="005C2D9A"/>
    <w:rsid w:val="005F6888"/>
    <w:rsid w:val="00614E94"/>
    <w:rsid w:val="00630D93"/>
    <w:rsid w:val="00631E82"/>
    <w:rsid w:val="00634378"/>
    <w:rsid w:val="006748D6"/>
    <w:rsid w:val="00680A32"/>
    <w:rsid w:val="00680E50"/>
    <w:rsid w:val="006B3731"/>
    <w:rsid w:val="006C495F"/>
    <w:rsid w:val="006C73CE"/>
    <w:rsid w:val="006F6E89"/>
    <w:rsid w:val="00714BC3"/>
    <w:rsid w:val="0076419F"/>
    <w:rsid w:val="00774A42"/>
    <w:rsid w:val="007801AF"/>
    <w:rsid w:val="007A7333"/>
    <w:rsid w:val="007E4478"/>
    <w:rsid w:val="007F0995"/>
    <w:rsid w:val="007F2D17"/>
    <w:rsid w:val="008171C0"/>
    <w:rsid w:val="0082602E"/>
    <w:rsid w:val="00841BE5"/>
    <w:rsid w:val="00853349"/>
    <w:rsid w:val="008569A4"/>
    <w:rsid w:val="00863818"/>
    <w:rsid w:val="008832E8"/>
    <w:rsid w:val="008F128A"/>
    <w:rsid w:val="008F48DB"/>
    <w:rsid w:val="009067F6"/>
    <w:rsid w:val="009163A3"/>
    <w:rsid w:val="00933B65"/>
    <w:rsid w:val="00941FA5"/>
    <w:rsid w:val="00942951"/>
    <w:rsid w:val="00953CBE"/>
    <w:rsid w:val="009701EB"/>
    <w:rsid w:val="00996631"/>
    <w:rsid w:val="009A7216"/>
    <w:rsid w:val="009D328D"/>
    <w:rsid w:val="00A42A36"/>
    <w:rsid w:val="00A42B65"/>
    <w:rsid w:val="00A54BD4"/>
    <w:rsid w:val="00A86A8D"/>
    <w:rsid w:val="00A86B80"/>
    <w:rsid w:val="00A87FF3"/>
    <w:rsid w:val="00AC5C04"/>
    <w:rsid w:val="00AC5C1E"/>
    <w:rsid w:val="00AF37C0"/>
    <w:rsid w:val="00B0127F"/>
    <w:rsid w:val="00B30C5C"/>
    <w:rsid w:val="00B33770"/>
    <w:rsid w:val="00B402A2"/>
    <w:rsid w:val="00B50AD4"/>
    <w:rsid w:val="00B50C2E"/>
    <w:rsid w:val="00B94499"/>
    <w:rsid w:val="00B95ADD"/>
    <w:rsid w:val="00BA1381"/>
    <w:rsid w:val="00BE796B"/>
    <w:rsid w:val="00BF2ED8"/>
    <w:rsid w:val="00C00772"/>
    <w:rsid w:val="00C07F28"/>
    <w:rsid w:val="00C31AFF"/>
    <w:rsid w:val="00C42525"/>
    <w:rsid w:val="00C43369"/>
    <w:rsid w:val="00C52169"/>
    <w:rsid w:val="00C70D82"/>
    <w:rsid w:val="00CD3E7C"/>
    <w:rsid w:val="00CE40C1"/>
    <w:rsid w:val="00D40C80"/>
    <w:rsid w:val="00D44A14"/>
    <w:rsid w:val="00D75624"/>
    <w:rsid w:val="00D9465B"/>
    <w:rsid w:val="00DA6D4D"/>
    <w:rsid w:val="00DB0374"/>
    <w:rsid w:val="00DE58CA"/>
    <w:rsid w:val="00DF06DA"/>
    <w:rsid w:val="00E6342E"/>
    <w:rsid w:val="00E86B8D"/>
    <w:rsid w:val="00E87973"/>
    <w:rsid w:val="00EF0FBA"/>
    <w:rsid w:val="00F51C23"/>
    <w:rsid w:val="00F51FD6"/>
    <w:rsid w:val="00F648C0"/>
    <w:rsid w:val="00F66AB9"/>
    <w:rsid w:val="00F67474"/>
    <w:rsid w:val="00F907A2"/>
    <w:rsid w:val="00F954A5"/>
    <w:rsid w:val="00FA0A2E"/>
    <w:rsid w:val="00FB0516"/>
    <w:rsid w:val="00FC1BD7"/>
    <w:rsid w:val="00FD5F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521FB2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F2ED8"/>
    <w:rPr>
      <w:color w:val="0000FF"/>
      <w:u w:val="single"/>
    </w:rPr>
  </w:style>
  <w:style w:type="paragraph" w:styleId="ListParagraph">
    <w:name w:val="List Paragraph"/>
    <w:basedOn w:val="Normal"/>
    <w:uiPriority w:val="34"/>
    <w:qFormat/>
    <w:rsid w:val="00256253"/>
    <w:pPr>
      <w:ind w:left="720"/>
    </w:pPr>
  </w:style>
  <w:style w:type="paragraph" w:styleId="BalloonText">
    <w:name w:val="Balloon Text"/>
    <w:basedOn w:val="Normal"/>
    <w:link w:val="BalloonTextChar"/>
    <w:rsid w:val="005A3F3A"/>
    <w:rPr>
      <w:rFonts w:ascii="Segoe UI" w:hAnsi="Segoe UI" w:cs="Segoe UI"/>
      <w:sz w:val="18"/>
      <w:szCs w:val="18"/>
    </w:rPr>
  </w:style>
  <w:style w:type="character" w:customStyle="1" w:styleId="BalloonTextChar">
    <w:name w:val="Balloon Text Char"/>
    <w:link w:val="BalloonText"/>
    <w:rsid w:val="005A3F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AFB62-67AF-42C5-9670-CB675AC64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2397</Words>
  <Characters>11761</Characters>
  <Application>Microsoft Office Word</Application>
  <DocSecurity>0</DocSecurity>
  <Lines>98</Lines>
  <Paragraphs>28</Paragraphs>
  <ScaleCrop>false</ScaleCrop>
  <Company/>
  <LinksUpToDate>false</LinksUpToDate>
  <CharactersWithSpaces>14130</CharactersWithSpaces>
  <SharedDoc>false</SharedDoc>
  <HLinks>
    <vt:vector size="6" baseType="variant">
      <vt:variant>
        <vt:i4>983074</vt:i4>
      </vt:variant>
      <vt:variant>
        <vt:i4>0</vt:i4>
      </vt:variant>
      <vt:variant>
        <vt:i4>0</vt:i4>
      </vt:variant>
      <vt:variant>
        <vt:i4>5</vt:i4>
      </vt:variant>
      <vt:variant>
        <vt:lpwstr>mailto:FHUTproms@hmcts.gsi.gov.uk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2018-06-27T10:37:00Z</dcterms:created>
  <dcterms:modified xsi:type="dcterms:W3CDTF">2018-06-27T10:37:00Z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