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9E287A" w:rsidRDefault="008C3D81" w:rsidP="00933B65">
      <w:pPr>
        <w:jc w:val="center"/>
        <w:rPr>
          <w:rFonts w:ascii="Book Antiqua" w:hAnsi="Book Antiqua" w:cs="Arial"/>
          <w:color w:val="000000"/>
          <w:sz w:val="16"/>
          <w:szCs w:val="16"/>
        </w:rPr>
      </w:pPr>
      <w:r w:rsidRPr="009E287A">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25432" w:rsidRPr="009E287A" w:rsidRDefault="00A25432" w:rsidP="00A25432">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C76A8A">
        <w:rPr>
          <w:rFonts w:ascii="Book Antiqua" w:hAnsi="Book Antiqua" w:cs="Arial"/>
          <w:color w:val="000000"/>
        </w:rPr>
        <w:t>HU/08300/2017</w:t>
      </w:r>
    </w:p>
    <w:p w:rsidR="00933B65" w:rsidRDefault="00933B65" w:rsidP="00933B65">
      <w:pPr>
        <w:jc w:val="center"/>
        <w:rPr>
          <w:rFonts w:ascii="Book Antiqua" w:hAnsi="Book Antiqua" w:cs="Arial"/>
          <w:color w:val="000000"/>
        </w:rPr>
      </w:pPr>
    </w:p>
    <w:p w:rsidR="009E287A" w:rsidRPr="00F97703" w:rsidRDefault="009E287A"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Default="00405694" w:rsidP="00405694">
      <w:pPr>
        <w:jc w:val="center"/>
        <w:rPr>
          <w:rFonts w:ascii="Book Antiqua" w:hAnsi="Book Antiqua" w:cs="Arial"/>
          <w:b/>
          <w:u w:val="single"/>
        </w:rPr>
      </w:pPr>
      <w:bookmarkStart w:id="0" w:name="_GoBack"/>
      <w:bookmarkEnd w:id="0"/>
    </w:p>
    <w:p w:rsidR="009E287A" w:rsidRPr="00F97703" w:rsidRDefault="009E287A" w:rsidP="00405694">
      <w:pPr>
        <w:jc w:val="center"/>
        <w:rPr>
          <w:rFonts w:ascii="Book Antiqua" w:hAnsi="Book Antiqua" w:cs="Arial"/>
          <w:b/>
          <w:u w:val="single"/>
        </w:rPr>
      </w:pPr>
    </w:p>
    <w:tbl>
      <w:tblPr>
        <w:tblW w:w="0" w:type="auto"/>
        <w:tblLook w:val="01E0" w:firstRow="1" w:lastRow="1" w:firstColumn="1" w:lastColumn="1" w:noHBand="0" w:noVBand="0"/>
      </w:tblPr>
      <w:tblGrid>
        <w:gridCol w:w="5515"/>
        <w:gridCol w:w="4123"/>
      </w:tblGrid>
      <w:tr w:rsidR="00405694" w:rsidRPr="00AB1DC6" w:rsidTr="008C3D81">
        <w:tc>
          <w:tcPr>
            <w:tcW w:w="5637"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191" w:type="dxa"/>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8C3D81">
              <w:rPr>
                <w:rFonts w:ascii="Book Antiqua" w:hAnsi="Book Antiqua" w:cs="Arial"/>
                <w:b/>
                <w:color w:val="000000"/>
              </w:rPr>
              <w:t xml:space="preserve"> &amp; Reasons</w:t>
            </w:r>
            <w:r w:rsidRPr="00AB1DC6">
              <w:rPr>
                <w:rFonts w:ascii="Book Antiqua" w:hAnsi="Book Antiqua" w:cs="Arial"/>
                <w:b/>
                <w:color w:val="000000"/>
              </w:rPr>
              <w:t xml:space="preserve"> Promulgated</w:t>
            </w:r>
          </w:p>
        </w:tc>
      </w:tr>
      <w:tr w:rsidR="00405694" w:rsidRPr="00AB1DC6" w:rsidTr="008C3D81">
        <w:tc>
          <w:tcPr>
            <w:tcW w:w="5637"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C76A8A">
              <w:rPr>
                <w:rFonts w:ascii="Book Antiqua" w:hAnsi="Book Antiqua" w:cs="Arial"/>
                <w:b/>
              </w:rPr>
              <w:t>14 August 2018</w:t>
            </w:r>
          </w:p>
        </w:tc>
        <w:tc>
          <w:tcPr>
            <w:tcW w:w="4191" w:type="dxa"/>
            <w:shd w:val="clear" w:color="auto" w:fill="auto"/>
          </w:tcPr>
          <w:p w:rsidR="00405694" w:rsidRPr="00AB1DC6" w:rsidRDefault="008C3D81" w:rsidP="00AB1DC6">
            <w:pPr>
              <w:jc w:val="both"/>
              <w:rPr>
                <w:rFonts w:ascii="Book Antiqua" w:hAnsi="Book Antiqua" w:cs="Arial"/>
                <w:b/>
              </w:rPr>
            </w:pPr>
            <w:r>
              <w:rPr>
                <w:rFonts w:ascii="Book Antiqua" w:hAnsi="Book Antiqua" w:cs="Arial"/>
                <w:b/>
              </w:rPr>
              <w:t>On 23 August 2018</w:t>
            </w:r>
          </w:p>
        </w:tc>
      </w:tr>
      <w:tr w:rsidR="00405694" w:rsidRPr="00AB1DC6" w:rsidTr="008C3D81">
        <w:tc>
          <w:tcPr>
            <w:tcW w:w="5637" w:type="dxa"/>
            <w:shd w:val="clear" w:color="auto" w:fill="auto"/>
          </w:tcPr>
          <w:p w:rsidR="00405694" w:rsidRPr="00AB1DC6" w:rsidRDefault="00405694" w:rsidP="00AB1DC6">
            <w:pPr>
              <w:jc w:val="both"/>
              <w:rPr>
                <w:rFonts w:ascii="Book Antiqua" w:hAnsi="Book Antiqua" w:cs="Arial"/>
                <w:b/>
              </w:rPr>
            </w:pPr>
          </w:p>
        </w:tc>
        <w:tc>
          <w:tcPr>
            <w:tcW w:w="4191" w:type="dxa"/>
            <w:shd w:val="clear" w:color="auto" w:fill="auto"/>
          </w:tcPr>
          <w:p w:rsidR="00405694" w:rsidRPr="00AB1DC6" w:rsidRDefault="00405694" w:rsidP="00AB1DC6">
            <w:pPr>
              <w:jc w:val="both"/>
              <w:rPr>
                <w:rFonts w:ascii="Book Antiqua" w:hAnsi="Book Antiqua" w:cs="Arial"/>
                <w:b/>
              </w:rPr>
            </w:pPr>
          </w:p>
        </w:tc>
      </w:tr>
    </w:tbl>
    <w:p w:rsidR="009E287A" w:rsidRDefault="009E287A"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FA38EF" w:rsidRDefault="00FA38EF" w:rsidP="00933B65">
      <w:pPr>
        <w:jc w:val="center"/>
        <w:rPr>
          <w:rFonts w:ascii="Book Antiqua" w:hAnsi="Book Antiqua" w:cs="Arial"/>
          <w:b/>
        </w:rPr>
      </w:pPr>
      <w:r>
        <w:rPr>
          <w:rFonts w:ascii="Book Antiqua" w:hAnsi="Book Antiqua" w:cs="Arial"/>
          <w:b/>
        </w:rPr>
        <w:t>LORD BECKETT</w:t>
      </w:r>
    </w:p>
    <w:p w:rsidR="00FA38EF" w:rsidRPr="009E287A" w:rsidRDefault="00FA38EF" w:rsidP="00933B65">
      <w:pPr>
        <w:jc w:val="center"/>
        <w:rPr>
          <w:rFonts w:ascii="Book Antiqua" w:hAnsi="Book Antiqua" w:cs="Arial"/>
          <w:b/>
          <w:sz w:val="22"/>
        </w:rPr>
      </w:pPr>
      <w:r w:rsidRPr="009E287A">
        <w:rPr>
          <w:rFonts w:ascii="Book Antiqua" w:hAnsi="Book Antiqua" w:cs="Arial"/>
          <w:b/>
          <w:sz w:val="22"/>
        </w:rPr>
        <w:t>(SITTING AS A JUDGE OF THE UPPER TRIBUNAL)</w:t>
      </w: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9E287A" w:rsidRDefault="009E287A"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6C523F" w:rsidP="00933B65">
      <w:pPr>
        <w:jc w:val="center"/>
        <w:rPr>
          <w:rFonts w:ascii="Book Antiqua" w:hAnsi="Book Antiqua" w:cs="Arial"/>
          <w:b/>
        </w:rPr>
      </w:pPr>
      <w:r>
        <w:rPr>
          <w:rFonts w:ascii="Book Antiqua" w:hAnsi="Book Antiqua" w:cs="Arial"/>
          <w:b/>
        </w:rPr>
        <w:t>R D</w:t>
      </w:r>
    </w:p>
    <w:p w:rsidR="009E287A" w:rsidRPr="009E287A" w:rsidRDefault="009E287A" w:rsidP="009E287A">
      <w:pPr>
        <w:jc w:val="center"/>
        <w:rPr>
          <w:rFonts w:ascii="Book Antiqua" w:hAnsi="Book Antiqua" w:cs="Arial"/>
          <w:b/>
          <w:sz w:val="22"/>
        </w:rPr>
      </w:pPr>
      <w:r w:rsidRPr="009E287A">
        <w:rPr>
          <w:rFonts w:ascii="Book Antiqua" w:hAnsi="Book Antiqua" w:cs="Arial"/>
          <w:b/>
          <w:sz w:val="22"/>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405694" w:rsidRDefault="00405694" w:rsidP="003B36AE">
      <w:pPr>
        <w:tabs>
          <w:tab w:val="left" w:pos="2520"/>
        </w:tabs>
        <w:rPr>
          <w:rFonts w:ascii="Book Antiqua" w:hAnsi="Book Antiqua" w:cs="Arial"/>
          <w:b/>
          <w:sz w:val="20"/>
          <w:szCs w:val="20"/>
          <w:u w:val="single"/>
        </w:rPr>
      </w:pPr>
    </w:p>
    <w:p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Anonymity was granted at an earlier stage of the proceedings because the case involves child</w:t>
      </w:r>
      <w:r w:rsidR="00010B88" w:rsidRPr="00010B88">
        <w:rPr>
          <w:rFonts w:ascii="Book Antiqua" w:hAnsi="Book Antiqua" w:cs="Arial"/>
        </w:rPr>
        <w:t xml:space="preserve"> welfare issues. I</w:t>
      </w:r>
      <w:r w:rsidRPr="00010B88">
        <w:rPr>
          <w:rFonts w:ascii="Book Antiqua" w:hAnsi="Book Antiqua" w:cs="Arial"/>
        </w:rPr>
        <w:t xml:space="preserve"> find that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w:t>
      </w:r>
    </w:p>
    <w:p w:rsidR="003B36AE" w:rsidRDefault="003B36AE"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FA38EF" w:rsidRDefault="00405694" w:rsidP="009E287A">
      <w:pPr>
        <w:ind w:left="2552" w:hanging="2552"/>
        <w:rPr>
          <w:rFonts w:ascii="Book Antiqua" w:hAnsi="Book Antiqua" w:cs="Arial"/>
        </w:rPr>
      </w:pPr>
      <w:r>
        <w:rPr>
          <w:rFonts w:ascii="Book Antiqua" w:hAnsi="Book Antiqua" w:cs="Arial"/>
        </w:rPr>
        <w:t>For the appellant:</w:t>
      </w:r>
      <w:r w:rsidR="009E287A">
        <w:rPr>
          <w:rFonts w:ascii="Book Antiqua" w:hAnsi="Book Antiqua" w:cs="Arial"/>
        </w:rPr>
        <w:tab/>
      </w:r>
      <w:r w:rsidR="00FA38EF">
        <w:rPr>
          <w:rFonts w:ascii="Book Antiqua" w:hAnsi="Book Antiqua" w:cs="Arial"/>
        </w:rPr>
        <w:t xml:space="preserve">Ms S. </w:t>
      </w:r>
      <w:proofErr w:type="spellStart"/>
      <w:r w:rsidR="00FA38EF">
        <w:rPr>
          <w:rFonts w:ascii="Book Antiqua" w:hAnsi="Book Antiqua" w:cs="Arial"/>
        </w:rPr>
        <w:t>Pinder</w:t>
      </w:r>
      <w:proofErr w:type="spellEnd"/>
      <w:r w:rsidR="00FA38EF">
        <w:rPr>
          <w:rFonts w:ascii="Book Antiqua" w:hAnsi="Book Antiqua" w:cs="Arial"/>
        </w:rPr>
        <w:t>,</w:t>
      </w:r>
      <w:r w:rsidR="009E287A">
        <w:rPr>
          <w:rFonts w:ascii="Book Antiqua" w:hAnsi="Book Antiqua" w:cs="Arial"/>
        </w:rPr>
        <w:t xml:space="preserve"> </w:t>
      </w:r>
      <w:r w:rsidR="00FA38EF">
        <w:rPr>
          <w:rFonts w:ascii="Book Antiqua" w:hAnsi="Book Antiqua" w:cs="Arial"/>
        </w:rPr>
        <w:t>instruc</w:t>
      </w:r>
      <w:r w:rsidR="009E287A">
        <w:rPr>
          <w:rFonts w:ascii="Book Antiqua" w:hAnsi="Book Antiqua" w:cs="Arial"/>
        </w:rPr>
        <w:t xml:space="preserve">ted by </w:t>
      </w:r>
      <w:proofErr w:type="spellStart"/>
      <w:r w:rsidR="009E287A">
        <w:rPr>
          <w:rFonts w:ascii="Book Antiqua" w:hAnsi="Book Antiqua" w:cs="Arial"/>
        </w:rPr>
        <w:t>Breytenbachs</w:t>
      </w:r>
      <w:proofErr w:type="spellEnd"/>
      <w:r w:rsidR="009E287A">
        <w:rPr>
          <w:rFonts w:ascii="Book Antiqua" w:hAnsi="Book Antiqua" w:cs="Arial"/>
        </w:rPr>
        <w:t xml:space="preserve"> Immigration </w:t>
      </w:r>
      <w:r w:rsidR="00FA38EF">
        <w:rPr>
          <w:rFonts w:ascii="Book Antiqua" w:hAnsi="Book Antiqua" w:cs="Arial"/>
        </w:rPr>
        <w:t>Consultants</w:t>
      </w:r>
    </w:p>
    <w:p w:rsidR="00405694" w:rsidRDefault="00405694" w:rsidP="009E287A">
      <w:pPr>
        <w:tabs>
          <w:tab w:val="left" w:pos="2552"/>
        </w:tabs>
        <w:rPr>
          <w:rFonts w:ascii="Book Antiqua" w:hAnsi="Book Antiqua" w:cs="Arial"/>
        </w:rPr>
      </w:pPr>
      <w:r>
        <w:rPr>
          <w:rFonts w:ascii="Book Antiqua" w:hAnsi="Book Antiqua" w:cs="Arial"/>
        </w:rPr>
        <w:t>For the respondent:</w:t>
      </w:r>
      <w:r w:rsidR="009E287A">
        <w:rPr>
          <w:rFonts w:ascii="Book Antiqua" w:hAnsi="Book Antiqua" w:cs="Arial"/>
        </w:rPr>
        <w:tab/>
      </w:r>
      <w:r w:rsidR="00FA38EF">
        <w:rPr>
          <w:rFonts w:ascii="Book Antiqua" w:hAnsi="Book Antiqua" w:cs="Arial"/>
        </w:rPr>
        <w:t xml:space="preserve">Mr P. Deller, Senior Home Office Presenting Officer </w:t>
      </w:r>
    </w:p>
    <w:p w:rsidR="009E287A" w:rsidRDefault="009E287A" w:rsidP="00405694">
      <w:pPr>
        <w:tabs>
          <w:tab w:val="left" w:pos="2520"/>
        </w:tabs>
        <w:jc w:val="center"/>
        <w:rPr>
          <w:rFonts w:ascii="Book Antiqua" w:hAnsi="Book Antiqua" w:cs="Arial"/>
          <w:b/>
          <w:u w:val="single"/>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lastRenderedPageBreak/>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FA38EF" w:rsidRDefault="00FA38EF" w:rsidP="00237871">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w:t>
      </w:r>
      <w:r w:rsidR="00237871">
        <w:rPr>
          <w:rFonts w:ascii="Book Antiqua" w:hAnsi="Book Antiqua" w:cs="Arial"/>
        </w:rPr>
        <w:t xml:space="preserve">18 July 2017 to refuse a human rights claim in the context of deportation proceedings. </w:t>
      </w:r>
    </w:p>
    <w:p w:rsidR="00237871" w:rsidRDefault="00237871" w:rsidP="00237871">
      <w:pPr>
        <w:tabs>
          <w:tab w:val="left" w:pos="567"/>
        </w:tabs>
        <w:ind w:left="564" w:hanging="564"/>
        <w:jc w:val="both"/>
        <w:rPr>
          <w:rFonts w:ascii="Book Antiqua" w:hAnsi="Book Antiqua" w:cs="Arial"/>
        </w:rPr>
      </w:pPr>
    </w:p>
    <w:p w:rsidR="00237871" w:rsidRDefault="00237871" w:rsidP="00237871">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Mitchell (“the judge”) dismissed the appeal in a decision promulgated on 03 May 2018. </w:t>
      </w:r>
    </w:p>
    <w:p w:rsidR="00237871" w:rsidRDefault="00237871" w:rsidP="00237871">
      <w:pPr>
        <w:tabs>
          <w:tab w:val="left" w:pos="567"/>
        </w:tabs>
        <w:ind w:left="564" w:hanging="564"/>
        <w:jc w:val="both"/>
        <w:rPr>
          <w:rFonts w:ascii="Book Antiqua" w:hAnsi="Book Antiqua" w:cs="Arial"/>
        </w:rPr>
      </w:pPr>
    </w:p>
    <w:p w:rsidR="00237871" w:rsidRDefault="00237871" w:rsidP="00237871">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Designated First-tier Tribunal Judge McCarthy granted permission to appeal in the following terms:</w:t>
      </w:r>
    </w:p>
    <w:p w:rsidR="00237871" w:rsidRPr="009E287A" w:rsidRDefault="00237871" w:rsidP="009E287A">
      <w:pPr>
        <w:tabs>
          <w:tab w:val="left" w:pos="1701"/>
        </w:tabs>
        <w:spacing w:before="120" w:after="120"/>
        <w:ind w:left="1134" w:right="567"/>
        <w:jc w:val="both"/>
        <w:rPr>
          <w:rFonts w:ascii="Book Antiqua" w:hAnsi="Book Antiqua" w:cs="Arial"/>
          <w:sz w:val="22"/>
          <w:szCs w:val="20"/>
        </w:rPr>
      </w:pPr>
      <w:r w:rsidRPr="009E287A">
        <w:rPr>
          <w:rFonts w:ascii="Book Antiqua" w:hAnsi="Book Antiqua" w:cs="Arial"/>
          <w:sz w:val="22"/>
          <w:szCs w:val="20"/>
        </w:rPr>
        <w:t>“2.</w:t>
      </w:r>
      <w:r w:rsidR="009E287A">
        <w:rPr>
          <w:rFonts w:ascii="Book Antiqua" w:hAnsi="Book Antiqua" w:cs="Arial"/>
          <w:sz w:val="22"/>
          <w:szCs w:val="20"/>
        </w:rPr>
        <w:tab/>
      </w:r>
      <w:r w:rsidRPr="009E287A">
        <w:rPr>
          <w:rFonts w:ascii="Book Antiqua" w:hAnsi="Book Antiqua" w:cs="Arial"/>
          <w:sz w:val="22"/>
          <w:szCs w:val="20"/>
        </w:rPr>
        <w:t xml:space="preserve">The first ground argues that the judge erred by failing to have regard to EU law matters. I find there is no merit in this ground because irrespective of the findings made that the appellant is the spouse of an EEA national qualifying person (albeit separated from her), the judge had no jurisdiction to consider EU law matter. The appeal was against the judge had no jurisdiction to consider EU law matters. The appeal was against the refusal of a human rights claim </w:t>
      </w:r>
      <w:r w:rsidR="00363102" w:rsidRPr="009E287A">
        <w:rPr>
          <w:rFonts w:ascii="Book Antiqua" w:hAnsi="Book Antiqua" w:cs="Arial"/>
          <w:sz w:val="22"/>
          <w:szCs w:val="20"/>
        </w:rPr>
        <w:t>and was brought under s.82(1)(</w:t>
      </w:r>
      <w:r w:rsidRPr="009E287A">
        <w:rPr>
          <w:rFonts w:ascii="Book Antiqua" w:hAnsi="Book Antiqua" w:cs="Arial"/>
          <w:sz w:val="22"/>
          <w:szCs w:val="20"/>
        </w:rPr>
        <w:t>b) of the 2002 Act. The only ground of appeal available was that in s.84(2)</w:t>
      </w:r>
      <w:r w:rsidR="003B36AA" w:rsidRPr="009E287A">
        <w:rPr>
          <w:rFonts w:ascii="Book Antiqua" w:hAnsi="Book Antiqua" w:cs="Arial"/>
          <w:sz w:val="22"/>
          <w:szCs w:val="20"/>
        </w:rPr>
        <w:t xml:space="preserve">. In addition, the judge had no jurisdiction to consider whether the decision was in accordance with the law (see </w:t>
      </w:r>
      <w:r w:rsidR="003B36AA" w:rsidRPr="009E287A">
        <w:rPr>
          <w:rFonts w:ascii="Book Antiqua" w:hAnsi="Book Antiqua" w:cs="Arial"/>
          <w:i/>
          <w:sz w:val="22"/>
          <w:szCs w:val="20"/>
        </w:rPr>
        <w:t>Charles (human rights appeal: scope)</w:t>
      </w:r>
      <w:r w:rsidR="003B36AA" w:rsidRPr="009E287A">
        <w:rPr>
          <w:rFonts w:ascii="Book Antiqua" w:hAnsi="Book Antiqua" w:cs="Arial"/>
          <w:sz w:val="22"/>
          <w:szCs w:val="20"/>
        </w:rPr>
        <w:t xml:space="preserve"> [2018] UKUT 89. I do not grant permission on this ground. </w:t>
      </w:r>
    </w:p>
    <w:p w:rsidR="00405694" w:rsidRPr="009E287A" w:rsidRDefault="003B36AA" w:rsidP="009E287A">
      <w:pPr>
        <w:tabs>
          <w:tab w:val="left" w:pos="1701"/>
        </w:tabs>
        <w:spacing w:before="120" w:after="120"/>
        <w:ind w:left="1134" w:right="567"/>
        <w:jc w:val="both"/>
        <w:rPr>
          <w:rFonts w:ascii="Book Antiqua" w:hAnsi="Book Antiqua" w:cs="Arial"/>
          <w:sz w:val="22"/>
          <w:szCs w:val="20"/>
        </w:rPr>
      </w:pPr>
      <w:r w:rsidRPr="009E287A">
        <w:rPr>
          <w:rFonts w:ascii="Book Antiqua" w:hAnsi="Book Antiqua" w:cs="Arial"/>
          <w:sz w:val="22"/>
          <w:szCs w:val="20"/>
        </w:rPr>
        <w:t>3.</w:t>
      </w:r>
      <w:r w:rsidR="009E287A">
        <w:rPr>
          <w:rFonts w:ascii="Book Antiqua" w:hAnsi="Book Antiqua" w:cs="Arial"/>
          <w:sz w:val="22"/>
          <w:szCs w:val="20"/>
        </w:rPr>
        <w:tab/>
      </w:r>
      <w:r w:rsidRPr="009E287A">
        <w:rPr>
          <w:rFonts w:ascii="Book Antiqua" w:hAnsi="Book Antiqua" w:cs="Arial"/>
          <w:sz w:val="22"/>
          <w:szCs w:val="20"/>
        </w:rPr>
        <w:t>The second ground argues that the judge erred in his approach to the balancing exercise. I find there is some merit in this ground. For example, at [44] Judge Mitchell found that the appellant has a genuine and subsisting rel</w:t>
      </w:r>
      <w:r w:rsidR="00D229E3" w:rsidRPr="009E287A">
        <w:rPr>
          <w:rFonts w:ascii="Book Antiqua" w:hAnsi="Book Antiqua" w:cs="Arial"/>
          <w:sz w:val="22"/>
          <w:szCs w:val="20"/>
        </w:rPr>
        <w:t>ationship with a child resident</w:t>
      </w:r>
      <w:r w:rsidRPr="009E287A">
        <w:rPr>
          <w:rFonts w:ascii="Book Antiqua" w:hAnsi="Book Antiqua" w:cs="Arial"/>
          <w:sz w:val="22"/>
          <w:szCs w:val="20"/>
        </w:rPr>
        <w:t xml:space="preserve"> in the UK for over seven years, but then states, “There is no evidence that it would be unduly harsh for [the child] to remain in the United Kingdom without the appellant”. A similar comment can be found at [50]. Both findings fail to have regard to the assessments carried out by the Family Court that indicated it was in the child’s best interests to have contact with the appellant or to the evidence that the appellant’s son was doing better at school now that he had contact with the appellant. </w:t>
      </w:r>
    </w:p>
    <w:p w:rsidR="003B36AA" w:rsidRPr="009E287A" w:rsidRDefault="003B36AA" w:rsidP="009E287A">
      <w:pPr>
        <w:tabs>
          <w:tab w:val="left" w:pos="1701"/>
        </w:tabs>
        <w:spacing w:before="120" w:after="120"/>
        <w:ind w:left="1134" w:right="567"/>
        <w:jc w:val="both"/>
        <w:rPr>
          <w:rFonts w:ascii="Book Antiqua" w:hAnsi="Book Antiqua" w:cs="Arial"/>
          <w:sz w:val="22"/>
          <w:szCs w:val="20"/>
        </w:rPr>
      </w:pPr>
      <w:r w:rsidRPr="009E287A">
        <w:rPr>
          <w:rFonts w:ascii="Book Antiqua" w:hAnsi="Book Antiqua" w:cs="Arial"/>
          <w:sz w:val="22"/>
          <w:szCs w:val="20"/>
        </w:rPr>
        <w:t>4.</w:t>
      </w:r>
      <w:r w:rsidR="009E287A">
        <w:rPr>
          <w:rFonts w:ascii="Book Antiqua" w:hAnsi="Book Antiqua" w:cs="Arial"/>
          <w:sz w:val="22"/>
          <w:szCs w:val="20"/>
        </w:rPr>
        <w:tab/>
      </w:r>
      <w:r w:rsidRPr="009E287A">
        <w:rPr>
          <w:rFonts w:ascii="Book Antiqua" w:hAnsi="Book Antiqua" w:cs="Arial"/>
          <w:sz w:val="22"/>
          <w:szCs w:val="20"/>
        </w:rPr>
        <w:t xml:space="preserve">The third ground argues that the judge erred in his proportionality assessment because he failed to </w:t>
      </w:r>
      <w:r w:rsidR="00C17DB3" w:rsidRPr="009E287A">
        <w:rPr>
          <w:rFonts w:ascii="Book Antiqua" w:hAnsi="Book Antiqua" w:cs="Arial"/>
          <w:sz w:val="22"/>
          <w:szCs w:val="20"/>
        </w:rPr>
        <w:t>weigh</w:t>
      </w:r>
      <w:r w:rsidRPr="009E287A">
        <w:rPr>
          <w:rFonts w:ascii="Book Antiqua" w:hAnsi="Book Antiqua" w:cs="Arial"/>
          <w:sz w:val="22"/>
          <w:szCs w:val="20"/>
        </w:rPr>
        <w:t xml:space="preserve"> the above factor with the public interest in expelling a foreign criminal. Because I have found that the second ground is arguable, the third ground must also be arguable. </w:t>
      </w:r>
    </w:p>
    <w:p w:rsidR="003B36AA" w:rsidRPr="009E287A" w:rsidRDefault="003B36AA" w:rsidP="009E287A">
      <w:pPr>
        <w:tabs>
          <w:tab w:val="left" w:pos="1701"/>
        </w:tabs>
        <w:spacing w:before="120" w:after="120"/>
        <w:ind w:left="1134" w:right="567"/>
        <w:jc w:val="both"/>
        <w:rPr>
          <w:rFonts w:ascii="Book Antiqua" w:hAnsi="Book Antiqua" w:cs="Arial"/>
          <w:sz w:val="22"/>
          <w:szCs w:val="20"/>
        </w:rPr>
      </w:pPr>
      <w:r w:rsidRPr="009E287A">
        <w:rPr>
          <w:rFonts w:ascii="Book Antiqua" w:hAnsi="Book Antiqua" w:cs="Arial"/>
          <w:sz w:val="22"/>
          <w:szCs w:val="20"/>
        </w:rPr>
        <w:t>5.</w:t>
      </w:r>
      <w:r w:rsidR="009E287A">
        <w:rPr>
          <w:rFonts w:ascii="Book Antiqua" w:hAnsi="Book Antiqua" w:cs="Arial"/>
          <w:sz w:val="22"/>
          <w:szCs w:val="20"/>
        </w:rPr>
        <w:tab/>
      </w:r>
      <w:r w:rsidRPr="009E287A">
        <w:rPr>
          <w:rFonts w:ascii="Book Antiqua" w:hAnsi="Book Antiqua" w:cs="Arial"/>
          <w:sz w:val="22"/>
          <w:szCs w:val="20"/>
        </w:rPr>
        <w:t>The fourth ground argues that the hearing was procedurally unfair because the appellant was legally unrepresented and Judge Mitchell failed to explore several potentially material issues. This ground also alleges Judge Mitchell acted unfairly by drawing adverse findings from a lack of evidence even though the appellant was not given an opportunity to address. I do not find merit in this ground because the judge dealt with the case presented to him. He can only do so much for an unrepresented appellant. There is no explanation why the appellant was legally unrepresented. The appellant did not seek time to instruct a lawyer. I do not grant permission on this ground.”</w:t>
      </w: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3B36AA" w:rsidRDefault="003B36AA" w:rsidP="00775FBE">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It is not necessary to set out detailed reasons why we have concluded that the First-tier Tribunal decision involved the making of an error on a point of law because Mr Deller accepted that insufficient findings were made in relation to </w:t>
      </w:r>
      <w:r w:rsidR="00775FBE">
        <w:rPr>
          <w:rFonts w:ascii="Book Antiqua" w:hAnsi="Book Antiqua" w:cs="Arial"/>
        </w:rPr>
        <w:t xml:space="preserve">the best interests of the child. </w:t>
      </w:r>
    </w:p>
    <w:p w:rsidR="003B36AA" w:rsidRDefault="003B36AA" w:rsidP="00933B65">
      <w:pPr>
        <w:tabs>
          <w:tab w:val="left" w:pos="567"/>
        </w:tabs>
        <w:jc w:val="both"/>
        <w:rPr>
          <w:rFonts w:ascii="Book Antiqua" w:hAnsi="Book Antiqua" w:cs="Arial"/>
        </w:rPr>
      </w:pPr>
    </w:p>
    <w:p w:rsidR="00607B46" w:rsidRDefault="00775FBE" w:rsidP="00775FBE">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 xml:space="preserve">In summary, the decision lacked any coherent structure, failed to engage with undisputed facts, failed to take into account relevant evidence, and in places, made </w:t>
      </w:r>
      <w:r w:rsidR="00D12ABF">
        <w:rPr>
          <w:rFonts w:ascii="Book Antiqua" w:hAnsi="Book Antiqua" w:cs="Arial"/>
        </w:rPr>
        <w:t xml:space="preserve">apparently </w:t>
      </w:r>
      <w:r>
        <w:rPr>
          <w:rFonts w:ascii="Book Antiqua" w:hAnsi="Book Antiqua" w:cs="Arial"/>
        </w:rPr>
        <w:t xml:space="preserve">contradictory findings. </w:t>
      </w:r>
    </w:p>
    <w:p w:rsidR="00607B46" w:rsidRDefault="00607B46" w:rsidP="00775FBE">
      <w:pPr>
        <w:tabs>
          <w:tab w:val="left" w:pos="567"/>
        </w:tabs>
        <w:ind w:left="564" w:hanging="564"/>
        <w:jc w:val="both"/>
        <w:rPr>
          <w:rFonts w:ascii="Book Antiqua" w:hAnsi="Book Antiqua" w:cs="Arial"/>
        </w:rPr>
      </w:pPr>
    </w:p>
    <w:p w:rsidR="00607B46" w:rsidRDefault="00607B46" w:rsidP="00775FBE">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sidR="00D12ABF">
        <w:rPr>
          <w:rFonts w:ascii="Book Antiqua" w:hAnsi="Book Antiqua" w:cs="Arial"/>
        </w:rPr>
        <w:t>It was not disputed</w:t>
      </w:r>
      <w:r w:rsidR="00775FBE">
        <w:rPr>
          <w:rFonts w:ascii="Book Antiqua" w:hAnsi="Book Antiqua" w:cs="Arial"/>
        </w:rPr>
        <w:t xml:space="preserve"> that the appellant had two children from his marriage to a Slovakian citizen. The judge noted the</w:t>
      </w:r>
      <w:r>
        <w:rPr>
          <w:rFonts w:ascii="Book Antiqua" w:hAnsi="Book Antiqua" w:cs="Arial"/>
        </w:rPr>
        <w:t xml:space="preserve"> fact that the eldest child </w:t>
      </w:r>
      <w:r w:rsidR="00775FBE">
        <w:rPr>
          <w:rFonts w:ascii="Book Antiqua" w:hAnsi="Book Antiqua" w:cs="Arial"/>
        </w:rPr>
        <w:t xml:space="preserve">passed away only months before the hearing [5-6], but the </w:t>
      </w:r>
      <w:r w:rsidR="00C17DB3">
        <w:rPr>
          <w:rFonts w:ascii="Book Antiqua" w:hAnsi="Book Antiqua" w:cs="Arial"/>
        </w:rPr>
        <w:t xml:space="preserve">likely </w:t>
      </w:r>
      <w:r w:rsidR="00775FBE">
        <w:rPr>
          <w:rFonts w:ascii="Book Antiqua" w:hAnsi="Book Antiqua" w:cs="Arial"/>
        </w:rPr>
        <w:t xml:space="preserve">effect of this event on the appellant and his remaining son, who </w:t>
      </w:r>
      <w:r w:rsidR="00D12ABF">
        <w:rPr>
          <w:rFonts w:ascii="Book Antiqua" w:hAnsi="Book Antiqua" w:cs="Arial"/>
        </w:rPr>
        <w:t>suffers</w:t>
      </w:r>
      <w:r w:rsidR="00775FBE">
        <w:rPr>
          <w:rFonts w:ascii="Book Antiqua" w:hAnsi="Book Antiqua" w:cs="Arial"/>
        </w:rPr>
        <w:t xml:space="preserve"> from severe autism</w:t>
      </w:r>
      <w:r w:rsidR="00C17DB3">
        <w:rPr>
          <w:rFonts w:ascii="Book Antiqua" w:hAnsi="Book Antiqua" w:cs="Arial"/>
        </w:rPr>
        <w:t xml:space="preserve">, was not mentioned again </w:t>
      </w:r>
      <w:r w:rsidR="00775FBE">
        <w:rPr>
          <w:rFonts w:ascii="Book Antiqua" w:hAnsi="Book Antiqua" w:cs="Arial"/>
        </w:rPr>
        <w:t xml:space="preserve">and was notably absent from any assessment of whether deportation </w:t>
      </w:r>
      <w:r w:rsidR="00D12ABF">
        <w:rPr>
          <w:rFonts w:ascii="Book Antiqua" w:hAnsi="Book Antiqua" w:cs="Arial"/>
        </w:rPr>
        <w:t>was</w:t>
      </w:r>
      <w:r w:rsidR="00775FBE">
        <w:rPr>
          <w:rFonts w:ascii="Book Antiqua" w:hAnsi="Book Antiqua" w:cs="Arial"/>
        </w:rPr>
        <w:t xml:space="preserve"> ‘unduly harsh’ on the remaining child. The effect of such a recent bereavement on a child with special needs, who was facing long term separation from his father, as well as the effect on the appellant </w:t>
      </w:r>
      <w:r w:rsidR="00C17DB3">
        <w:rPr>
          <w:rFonts w:ascii="Book Antiqua" w:hAnsi="Book Antiqua" w:cs="Arial"/>
        </w:rPr>
        <w:t>of</w:t>
      </w:r>
      <w:r w:rsidR="00775FBE">
        <w:rPr>
          <w:rFonts w:ascii="Book Antiqua" w:hAnsi="Book Antiqua" w:cs="Arial"/>
        </w:rPr>
        <w:t xml:space="preserve"> being separated from his remaining child</w:t>
      </w:r>
      <w:r w:rsidR="00D12ABF">
        <w:rPr>
          <w:rFonts w:ascii="Book Antiqua" w:hAnsi="Book Antiqua" w:cs="Arial"/>
        </w:rPr>
        <w:t xml:space="preserve"> in such circumstances</w:t>
      </w:r>
      <w:r w:rsidR="00775FBE">
        <w:rPr>
          <w:rFonts w:ascii="Book Antiqua" w:hAnsi="Book Antiqua" w:cs="Arial"/>
        </w:rPr>
        <w:t xml:space="preserve">, was a relevant consideration that should have formed </w:t>
      </w:r>
      <w:r w:rsidR="00D12ABF">
        <w:rPr>
          <w:rFonts w:ascii="Book Antiqua" w:hAnsi="Book Antiqua" w:cs="Arial"/>
        </w:rPr>
        <w:t>an important part of the assessment</w:t>
      </w:r>
      <w:r w:rsidR="00775FBE">
        <w:rPr>
          <w:rFonts w:ascii="Book Antiqua" w:hAnsi="Book Antiqua" w:cs="Arial"/>
        </w:rPr>
        <w:t xml:space="preserve">. </w:t>
      </w:r>
    </w:p>
    <w:p w:rsidR="00607B46" w:rsidRDefault="00607B46" w:rsidP="00775FBE">
      <w:pPr>
        <w:tabs>
          <w:tab w:val="left" w:pos="567"/>
        </w:tabs>
        <w:ind w:left="564" w:hanging="564"/>
        <w:jc w:val="both"/>
        <w:rPr>
          <w:rFonts w:ascii="Book Antiqua" w:hAnsi="Book Antiqua" w:cs="Arial"/>
        </w:rPr>
      </w:pPr>
    </w:p>
    <w:p w:rsidR="00775FBE" w:rsidRDefault="00607B46" w:rsidP="00775FBE">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r>
      <w:r w:rsidR="00775FBE">
        <w:rPr>
          <w:rFonts w:ascii="Book Antiqua" w:hAnsi="Book Antiqua" w:cs="Arial"/>
        </w:rPr>
        <w:t>No clear findings were made as to whether it was in the best interests of the child for his father to</w:t>
      </w:r>
      <w:r>
        <w:rPr>
          <w:rFonts w:ascii="Book Antiqua" w:hAnsi="Book Antiqua" w:cs="Arial"/>
        </w:rPr>
        <w:t xml:space="preserve"> remain in the United Kingdom. The first mention of the child’s best interests was at the end of the decision </w:t>
      </w:r>
      <w:r w:rsidRPr="00607B46">
        <w:rPr>
          <w:rFonts w:ascii="Book Antiqua" w:hAnsi="Book Antiqua" w:cs="Arial"/>
          <w:u w:val="single"/>
        </w:rPr>
        <w:t>after</w:t>
      </w:r>
      <w:r>
        <w:rPr>
          <w:rFonts w:ascii="Book Antiqua" w:hAnsi="Book Antiqua" w:cs="Arial"/>
        </w:rPr>
        <w:t xml:space="preserve"> the judge had already concluded that deportation was proportionate. </w:t>
      </w:r>
      <w:r w:rsidR="00C17DB3">
        <w:rPr>
          <w:rFonts w:ascii="Book Antiqua" w:hAnsi="Book Antiqua" w:cs="Arial"/>
        </w:rPr>
        <w:t xml:space="preserve">Even then, it was limited to a bare statement that the child’s interests had been considered at as ‘primary consideration’ without any meaningful findings. </w:t>
      </w:r>
      <w:r>
        <w:rPr>
          <w:rFonts w:ascii="Book Antiqua" w:hAnsi="Book Antiqua" w:cs="Arial"/>
        </w:rPr>
        <w:t xml:space="preserve">It is trite law, repeatedly emphasised by the Supreme Court, Court of Appeal and the Upper Tribunal that clear findings should be made in relation to the best interests of children. The judge failed to make any findings as to where the best interests of the child lay and failed to give any indication that he placed proper weight on the interests of the child. This alone justifies setting aside the decision.  </w:t>
      </w:r>
    </w:p>
    <w:p w:rsidR="00607B46" w:rsidRDefault="00607B46" w:rsidP="00775FBE">
      <w:pPr>
        <w:tabs>
          <w:tab w:val="left" w:pos="567"/>
        </w:tabs>
        <w:ind w:left="564" w:hanging="564"/>
        <w:jc w:val="both"/>
        <w:rPr>
          <w:rFonts w:ascii="Book Antiqua" w:hAnsi="Book Antiqua" w:cs="Arial"/>
        </w:rPr>
      </w:pPr>
    </w:p>
    <w:p w:rsidR="00C90B30" w:rsidRDefault="00607B46" w:rsidP="00775FBE">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 xml:space="preserve">Although we note that </w:t>
      </w:r>
      <w:r w:rsidR="00C90B30">
        <w:rPr>
          <w:rFonts w:ascii="Book Antiqua" w:hAnsi="Book Antiqua" w:cs="Arial"/>
        </w:rPr>
        <w:t xml:space="preserve">Designated First-tier Tribunal Judge McCarthy did not grant permission on the first and fourth grounds, we have some observations to make on those points having set aside the decision on the other grounds. </w:t>
      </w:r>
    </w:p>
    <w:p w:rsidR="00C90B30" w:rsidRDefault="00C90B30" w:rsidP="00775FBE">
      <w:pPr>
        <w:tabs>
          <w:tab w:val="left" w:pos="567"/>
        </w:tabs>
        <w:ind w:left="564" w:hanging="564"/>
        <w:jc w:val="both"/>
        <w:rPr>
          <w:rFonts w:ascii="Book Antiqua" w:hAnsi="Book Antiqua" w:cs="Arial"/>
        </w:rPr>
      </w:pPr>
    </w:p>
    <w:p w:rsidR="00550E67" w:rsidRDefault="00C90B30" w:rsidP="00775FBE">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First, it is at least arguable that rights of residence under EU law are relevant to the assessment under Article 8. It is difficult to see how the terms of the immigration rules </w:t>
      </w:r>
      <w:r w:rsidR="00507D16">
        <w:rPr>
          <w:rFonts w:ascii="Book Antiqua" w:hAnsi="Book Antiqua" w:cs="Arial"/>
        </w:rPr>
        <w:t>are</w:t>
      </w:r>
      <w:r>
        <w:rPr>
          <w:rFonts w:ascii="Book Antiqua" w:hAnsi="Book Antiqua" w:cs="Arial"/>
        </w:rPr>
        <w:t xml:space="preserve"> relevant</w:t>
      </w:r>
      <w:r w:rsidR="00550E67">
        <w:rPr>
          <w:rFonts w:ascii="Book Antiqua" w:hAnsi="Book Antiqua" w:cs="Arial"/>
        </w:rPr>
        <w:t xml:space="preserve"> to a holistic assessment of the circumstances, but rights of residence under EU law would not be relevant</w:t>
      </w:r>
      <w:r w:rsidR="00507D16">
        <w:rPr>
          <w:rFonts w:ascii="Book Antiqua" w:hAnsi="Book Antiqua" w:cs="Arial"/>
        </w:rPr>
        <w:t>. The appeal might</w:t>
      </w:r>
      <w:r>
        <w:rPr>
          <w:rFonts w:ascii="Book Antiqua" w:hAnsi="Book Antiqua" w:cs="Arial"/>
        </w:rPr>
        <w:t xml:space="preserve"> not be an appeal under The Immigration (European Economic Area) Regulations 2006 (or 2016), but to </w:t>
      </w:r>
      <w:r w:rsidR="00507D16">
        <w:rPr>
          <w:rFonts w:ascii="Book Antiqua" w:hAnsi="Book Antiqua" w:cs="Arial"/>
        </w:rPr>
        <w:t xml:space="preserve">exclude potential </w:t>
      </w:r>
      <w:r w:rsidR="008A40D7">
        <w:rPr>
          <w:rFonts w:ascii="Book Antiqua" w:hAnsi="Book Antiqua" w:cs="Arial"/>
        </w:rPr>
        <w:t xml:space="preserve">EU rights of residence from an Article 8 assessment would lead to an incomplete assessment of </w:t>
      </w:r>
      <w:r w:rsidR="00550E67">
        <w:rPr>
          <w:rFonts w:ascii="Book Antiqua" w:hAnsi="Book Antiqua" w:cs="Arial"/>
        </w:rPr>
        <w:t xml:space="preserve">all the </w:t>
      </w:r>
      <w:r w:rsidR="00507D16">
        <w:rPr>
          <w:rFonts w:ascii="Book Antiqua" w:hAnsi="Book Antiqua" w:cs="Arial"/>
        </w:rPr>
        <w:t xml:space="preserve">relevant circumstances. </w:t>
      </w:r>
    </w:p>
    <w:p w:rsidR="00550E67" w:rsidRDefault="00550E67" w:rsidP="00775FBE">
      <w:pPr>
        <w:tabs>
          <w:tab w:val="left" w:pos="567"/>
        </w:tabs>
        <w:ind w:left="564" w:hanging="564"/>
        <w:jc w:val="both"/>
        <w:rPr>
          <w:rFonts w:ascii="Book Antiqua" w:hAnsi="Book Antiqua" w:cs="Arial"/>
        </w:rPr>
      </w:pPr>
    </w:p>
    <w:p w:rsidR="00607B46" w:rsidRDefault="00550E67" w:rsidP="00775FBE">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r>
      <w:r w:rsidR="00507D16">
        <w:rPr>
          <w:rFonts w:ascii="Book Antiqua" w:hAnsi="Book Antiqua" w:cs="Arial"/>
        </w:rPr>
        <w:t>We flag thi</w:t>
      </w:r>
      <w:r w:rsidR="00351506">
        <w:rPr>
          <w:rFonts w:ascii="Book Antiqua" w:hAnsi="Book Antiqua" w:cs="Arial"/>
        </w:rPr>
        <w:t>s issue up because it might be</w:t>
      </w:r>
      <w:r w:rsidR="00507D16">
        <w:rPr>
          <w:rFonts w:ascii="Book Antiqua" w:hAnsi="Book Antiqua" w:cs="Arial"/>
        </w:rPr>
        <w:t xml:space="preserve"> relevant given that the appellant </w:t>
      </w:r>
      <w:r w:rsidR="004E090D">
        <w:rPr>
          <w:rFonts w:ascii="Book Antiqua" w:hAnsi="Book Antiqua" w:cs="Arial"/>
        </w:rPr>
        <w:t xml:space="preserve">says that he is married to a European citizen. Although they are separated, they have not divorced. Any assessment would have to consider whether the appellant’s estranged wife is likely to be exercising rights of free movement. Ms </w:t>
      </w:r>
      <w:proofErr w:type="spellStart"/>
      <w:r w:rsidR="004E090D">
        <w:rPr>
          <w:rFonts w:ascii="Book Antiqua" w:hAnsi="Book Antiqua" w:cs="Arial"/>
        </w:rPr>
        <w:t>Pinder</w:t>
      </w:r>
      <w:proofErr w:type="spellEnd"/>
      <w:r w:rsidR="004E090D">
        <w:rPr>
          <w:rFonts w:ascii="Book Antiqua" w:hAnsi="Book Antiqua" w:cs="Arial"/>
        </w:rPr>
        <w:t xml:space="preserve"> indicated that it might be difficult to obtain such evidence, in which case </w:t>
      </w:r>
      <w:r>
        <w:rPr>
          <w:rFonts w:ascii="Book Antiqua" w:hAnsi="Book Antiqua" w:cs="Arial"/>
        </w:rPr>
        <w:t xml:space="preserve">those representing the appellant </w:t>
      </w:r>
      <w:r w:rsidR="004E090D">
        <w:rPr>
          <w:rFonts w:ascii="Book Antiqua" w:hAnsi="Book Antiqua" w:cs="Arial"/>
        </w:rPr>
        <w:t xml:space="preserve">need to give </w:t>
      </w:r>
      <w:r w:rsidR="00D12ABF">
        <w:rPr>
          <w:rFonts w:ascii="Book Antiqua" w:hAnsi="Book Antiqua" w:cs="Arial"/>
        </w:rPr>
        <w:t>immediate</w:t>
      </w:r>
      <w:r w:rsidR="004E090D">
        <w:rPr>
          <w:rFonts w:ascii="Book Antiqua" w:hAnsi="Book Antiqua" w:cs="Arial"/>
        </w:rPr>
        <w:t xml:space="preserve"> thought to whether it is appropriate to make an application to the First-tier Tribunal for a direction: see </w:t>
      </w:r>
      <w:r w:rsidR="004E090D" w:rsidRPr="004E090D">
        <w:rPr>
          <w:rFonts w:ascii="Book Antiqua" w:hAnsi="Book Antiqua" w:cs="Arial"/>
          <w:i/>
        </w:rPr>
        <w:t>Amos v SSHD</w:t>
      </w:r>
      <w:r w:rsidR="004E090D">
        <w:rPr>
          <w:rFonts w:ascii="Book Antiqua" w:hAnsi="Book Antiqua" w:cs="Arial"/>
        </w:rPr>
        <w:t xml:space="preserve"> [2011] EWCA </w:t>
      </w:r>
      <w:proofErr w:type="spellStart"/>
      <w:r w:rsidR="004E090D">
        <w:rPr>
          <w:rFonts w:ascii="Book Antiqua" w:hAnsi="Book Antiqua" w:cs="Arial"/>
        </w:rPr>
        <w:t>Civ</w:t>
      </w:r>
      <w:proofErr w:type="spellEnd"/>
      <w:r w:rsidR="004E090D">
        <w:rPr>
          <w:rFonts w:ascii="Book Antiqua" w:hAnsi="Book Antiqua" w:cs="Arial"/>
        </w:rPr>
        <w:t xml:space="preserve"> 552. If the applicant is advised that this </w:t>
      </w:r>
      <w:r>
        <w:rPr>
          <w:rFonts w:ascii="Book Antiqua" w:hAnsi="Book Antiqua" w:cs="Arial"/>
        </w:rPr>
        <w:t>might be a</w:t>
      </w:r>
      <w:r w:rsidR="004E090D">
        <w:rPr>
          <w:rFonts w:ascii="Book Antiqua" w:hAnsi="Book Antiqua" w:cs="Arial"/>
        </w:rPr>
        <w:t xml:space="preserve"> relevant argument, any further evidence and submissions on the point should be made well in advance of the next hearing to allow time for the respondent to </w:t>
      </w:r>
      <w:r>
        <w:rPr>
          <w:rFonts w:ascii="Book Antiqua" w:hAnsi="Book Antiqua" w:cs="Arial"/>
        </w:rPr>
        <w:t>consider his position on the issue</w:t>
      </w:r>
      <w:r w:rsidR="004E090D">
        <w:rPr>
          <w:rFonts w:ascii="Book Antiqua" w:hAnsi="Book Antiqua" w:cs="Arial"/>
        </w:rPr>
        <w:t xml:space="preserve">. The respondent will need to consider whether it is </w:t>
      </w:r>
      <w:r>
        <w:rPr>
          <w:rFonts w:ascii="Book Antiqua" w:hAnsi="Book Antiqua" w:cs="Arial"/>
        </w:rPr>
        <w:t xml:space="preserve">a ‘new matter’ for the purpose of section 85 of the Nationality, Immigration and Asylum Act 2002. We note that the facts were known to the respondent and form part of an ongoing ‘matter’ i.e. an Article 8 human rights claim. However, it is likely to be of assistance to the First-tier Tribunal </w:t>
      </w:r>
      <w:r w:rsidR="00FA231F">
        <w:rPr>
          <w:rFonts w:ascii="Book Antiqua" w:hAnsi="Book Antiqua" w:cs="Arial"/>
        </w:rPr>
        <w:t xml:space="preserve">that </w:t>
      </w:r>
      <w:r>
        <w:rPr>
          <w:rFonts w:ascii="Book Antiqua" w:hAnsi="Book Antiqua" w:cs="Arial"/>
        </w:rPr>
        <w:t xml:space="preserve">hears the appeal to be informed of the respondent’s position on this issue. </w:t>
      </w:r>
    </w:p>
    <w:p w:rsidR="00550E67" w:rsidRDefault="00550E67" w:rsidP="00775FBE">
      <w:pPr>
        <w:tabs>
          <w:tab w:val="left" w:pos="567"/>
        </w:tabs>
        <w:ind w:left="564" w:hanging="564"/>
        <w:jc w:val="both"/>
        <w:rPr>
          <w:rFonts w:ascii="Book Antiqua" w:hAnsi="Book Antiqua" w:cs="Arial"/>
        </w:rPr>
      </w:pPr>
    </w:p>
    <w:p w:rsidR="00E73C86" w:rsidRDefault="00E73C86" w:rsidP="00775FBE">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Second, the judge noted that there was evidence to show that the appellant had been referred to the adult mental health team to assess him for a formal diagnosis of Asperger’s Syndrome. Despite </w:t>
      </w:r>
      <w:r w:rsidR="00351506">
        <w:rPr>
          <w:rFonts w:ascii="Book Antiqua" w:hAnsi="Book Antiqua" w:cs="Arial"/>
        </w:rPr>
        <w:t>the</w:t>
      </w:r>
      <w:r>
        <w:rPr>
          <w:rFonts w:ascii="Book Antiqua" w:hAnsi="Book Antiqua" w:cs="Arial"/>
        </w:rPr>
        <w:t xml:space="preserve"> indication </w:t>
      </w:r>
      <w:r w:rsidR="00FA231F">
        <w:rPr>
          <w:rFonts w:ascii="Book Antiqua" w:hAnsi="Book Antiqua" w:cs="Arial"/>
        </w:rPr>
        <w:t>that the appellant might have</w:t>
      </w:r>
      <w:r>
        <w:rPr>
          <w:rFonts w:ascii="Book Antiqua" w:hAnsi="Book Antiqua" w:cs="Arial"/>
        </w:rPr>
        <w:t xml:space="preserve"> special needs, and the fact that the appellant was unrepresented, there is nothing to indicate that the judge treated the appellant as a vulnerable witness and applied the relevant guidance. The appellant is now represented and is likely to be in a better position than he was at the previous hearing. However, it may be necessary for the First-tier Tribunal that rehears the case to consider the most up to date evidence before deciding whether the appellant should be treated as a vulnerable witness. </w:t>
      </w:r>
    </w:p>
    <w:p w:rsidR="00550E67" w:rsidRDefault="00550E67" w:rsidP="00775FBE">
      <w:pPr>
        <w:tabs>
          <w:tab w:val="left" w:pos="567"/>
        </w:tabs>
        <w:ind w:left="564" w:hanging="564"/>
        <w:jc w:val="both"/>
        <w:rPr>
          <w:rFonts w:ascii="Book Antiqua" w:hAnsi="Book Antiqua" w:cs="Arial"/>
        </w:rPr>
      </w:pPr>
    </w:p>
    <w:p w:rsidR="004E090D" w:rsidRDefault="00E73C86" w:rsidP="00775FBE">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t xml:space="preserve">We conclude that the First-tier Tribunal decision involved the making of an error on a point of law. The </w:t>
      </w:r>
      <w:r w:rsidR="00930152">
        <w:rPr>
          <w:rFonts w:ascii="Book Antiqua" w:hAnsi="Book Antiqua" w:cs="Arial"/>
        </w:rPr>
        <w:t xml:space="preserve">decision is set aside. The nature and extent of the judicial fact finding which is necessary for the decision to be remade is such that, having regard to the overriding </w:t>
      </w:r>
      <w:r w:rsidR="00D12ABF">
        <w:rPr>
          <w:rFonts w:ascii="Book Antiqua" w:hAnsi="Book Antiqua" w:cs="Arial"/>
        </w:rPr>
        <w:t xml:space="preserve">objective, it is appropriate to remit the case to the First-tier Tribunal (paragraph 7.2(b) Practice Statement – 25 September 2012). </w:t>
      </w:r>
    </w:p>
    <w:p w:rsidR="004E090D" w:rsidRDefault="004E090D" w:rsidP="00775FBE">
      <w:pPr>
        <w:tabs>
          <w:tab w:val="left" w:pos="567"/>
        </w:tabs>
        <w:ind w:left="564" w:hanging="564"/>
        <w:jc w:val="both"/>
        <w:rPr>
          <w:rFonts w:ascii="Book Antiqua" w:hAnsi="Book Antiqua" w:cs="Arial"/>
        </w:rPr>
      </w:pPr>
    </w:p>
    <w:p w:rsidR="00775FBE" w:rsidRDefault="00775FBE" w:rsidP="00933B65">
      <w:pPr>
        <w:tabs>
          <w:tab w:val="left" w:pos="567"/>
        </w:tabs>
        <w:jc w:val="both"/>
        <w:rPr>
          <w:rFonts w:ascii="Book Antiqua" w:hAnsi="Book Antiqua" w:cs="Arial"/>
        </w:rPr>
      </w:pPr>
    </w:p>
    <w:p w:rsidR="0012541C" w:rsidRPr="0012541C" w:rsidRDefault="00930152" w:rsidP="00933B65">
      <w:pPr>
        <w:tabs>
          <w:tab w:val="left" w:pos="567"/>
        </w:tabs>
        <w:jc w:val="both"/>
        <w:rPr>
          <w:rFonts w:ascii="Book Antiqua" w:hAnsi="Book Antiqua" w:cs="Arial"/>
          <w:u w:val="single"/>
        </w:rPr>
      </w:pPr>
      <w:r>
        <w:rPr>
          <w:rFonts w:ascii="Book Antiqua" w:hAnsi="Book Antiqua" w:cs="Arial"/>
          <w:u w:val="single"/>
        </w:rPr>
        <w:t>D</w:t>
      </w:r>
      <w:r w:rsidR="0012541C" w:rsidRPr="0012541C">
        <w:rPr>
          <w:rFonts w:ascii="Book Antiqua" w:hAnsi="Book Antiqua" w:cs="Arial"/>
          <w:u w:val="single"/>
        </w:rPr>
        <w:t>ECISION</w:t>
      </w:r>
    </w:p>
    <w:p w:rsidR="0012541C" w:rsidRDefault="0012541C" w:rsidP="00933B65">
      <w:pPr>
        <w:tabs>
          <w:tab w:val="left" w:pos="567"/>
        </w:tabs>
        <w:jc w:val="both"/>
        <w:rPr>
          <w:rFonts w:ascii="Book Antiqua" w:hAnsi="Book Antiqua" w:cs="Arial"/>
        </w:rPr>
      </w:pPr>
    </w:p>
    <w:p w:rsidR="0012541C" w:rsidRDefault="00D12ABF"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rsidR="00D12ABF" w:rsidRDefault="00D12ABF" w:rsidP="00933B65">
      <w:pPr>
        <w:tabs>
          <w:tab w:val="left" w:pos="567"/>
        </w:tabs>
        <w:jc w:val="both"/>
        <w:rPr>
          <w:rFonts w:ascii="Book Antiqua" w:hAnsi="Book Antiqua" w:cs="Arial"/>
        </w:rPr>
      </w:pPr>
    </w:p>
    <w:p w:rsidR="00D12ABF" w:rsidRDefault="00D12ABF" w:rsidP="00933B65">
      <w:pPr>
        <w:tabs>
          <w:tab w:val="left" w:pos="567"/>
        </w:tabs>
        <w:jc w:val="both"/>
        <w:rPr>
          <w:rFonts w:ascii="Book Antiqua" w:hAnsi="Book Antiqua" w:cs="Arial"/>
        </w:rPr>
      </w:pPr>
      <w:r>
        <w:rPr>
          <w:rFonts w:ascii="Book Antiqua" w:hAnsi="Book Antiqua" w:cs="Arial"/>
        </w:rPr>
        <w:t>The appeal is remitted to the First-tier Tribunal for a fresh hearing</w:t>
      </w: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8C3D81"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D229E3">
        <w:rPr>
          <w:rFonts w:ascii="Book Antiqua" w:hAnsi="Book Antiqua" w:cs="Arial"/>
        </w:rPr>
        <w:t xml:space="preserve">  15 August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588" w:rsidRDefault="00410588">
      <w:r>
        <w:separator/>
      </w:r>
    </w:p>
  </w:endnote>
  <w:endnote w:type="continuationSeparator" w:id="0">
    <w:p w:rsidR="00410588" w:rsidRDefault="0041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6240E">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588" w:rsidRDefault="00410588">
      <w:r>
        <w:separator/>
      </w:r>
    </w:p>
  </w:footnote>
  <w:footnote w:type="continuationSeparator" w:id="0">
    <w:p w:rsidR="00410588" w:rsidRDefault="0041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453" w:rsidRPr="0012541C"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12541C" w:rsidRPr="0012541C">
      <w:rPr>
        <w:rFonts w:ascii="Book Antiqua" w:hAnsi="Book Antiqua" w:cs="Arial"/>
        <w:color w:val="000000"/>
        <w:sz w:val="16"/>
        <w:szCs w:val="16"/>
      </w:rPr>
      <w:t>HU/08300/2017</w:t>
    </w: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6E7C"/>
    <w:rsid w:val="000644CE"/>
    <w:rsid w:val="00086B3E"/>
    <w:rsid w:val="000D0603"/>
    <w:rsid w:val="00115648"/>
    <w:rsid w:val="0012541C"/>
    <w:rsid w:val="00194FB4"/>
    <w:rsid w:val="001A14A2"/>
    <w:rsid w:val="001A373D"/>
    <w:rsid w:val="001C2435"/>
    <w:rsid w:val="00200671"/>
    <w:rsid w:val="00237871"/>
    <w:rsid w:val="00266FFE"/>
    <w:rsid w:val="00270D89"/>
    <w:rsid w:val="00272712"/>
    <w:rsid w:val="00294F41"/>
    <w:rsid w:val="002F6D78"/>
    <w:rsid w:val="003049FE"/>
    <w:rsid w:val="00345182"/>
    <w:rsid w:val="00351506"/>
    <w:rsid w:val="00363102"/>
    <w:rsid w:val="00396F7B"/>
    <w:rsid w:val="003B1EC2"/>
    <w:rsid w:val="003B36AA"/>
    <w:rsid w:val="003B36AE"/>
    <w:rsid w:val="004044E6"/>
    <w:rsid w:val="00405694"/>
    <w:rsid w:val="00407E66"/>
    <w:rsid w:val="00410588"/>
    <w:rsid w:val="004171D0"/>
    <w:rsid w:val="00426F9F"/>
    <w:rsid w:val="0046240E"/>
    <w:rsid w:val="00497CC7"/>
    <w:rsid w:val="004A012D"/>
    <w:rsid w:val="004E090D"/>
    <w:rsid w:val="004F4BE7"/>
    <w:rsid w:val="00507D16"/>
    <w:rsid w:val="00546523"/>
    <w:rsid w:val="00550E67"/>
    <w:rsid w:val="0057020B"/>
    <w:rsid w:val="005819E4"/>
    <w:rsid w:val="005907D8"/>
    <w:rsid w:val="005F5A7F"/>
    <w:rsid w:val="00607B46"/>
    <w:rsid w:val="00614E94"/>
    <w:rsid w:val="00631E34"/>
    <w:rsid w:val="00662048"/>
    <w:rsid w:val="0068059E"/>
    <w:rsid w:val="006A364A"/>
    <w:rsid w:val="006B0DFA"/>
    <w:rsid w:val="006C1998"/>
    <w:rsid w:val="006C523F"/>
    <w:rsid w:val="006D71B9"/>
    <w:rsid w:val="00731039"/>
    <w:rsid w:val="0073630A"/>
    <w:rsid w:val="00775FBE"/>
    <w:rsid w:val="007B09CD"/>
    <w:rsid w:val="00816668"/>
    <w:rsid w:val="00821972"/>
    <w:rsid w:val="008832E8"/>
    <w:rsid w:val="008A3B24"/>
    <w:rsid w:val="008A40D7"/>
    <w:rsid w:val="008C3D81"/>
    <w:rsid w:val="008E01FB"/>
    <w:rsid w:val="008F0F73"/>
    <w:rsid w:val="00930152"/>
    <w:rsid w:val="00933B65"/>
    <w:rsid w:val="0094479E"/>
    <w:rsid w:val="009701EB"/>
    <w:rsid w:val="009942DD"/>
    <w:rsid w:val="009D5EB6"/>
    <w:rsid w:val="009E287A"/>
    <w:rsid w:val="00A03E4C"/>
    <w:rsid w:val="00A25432"/>
    <w:rsid w:val="00A472B6"/>
    <w:rsid w:val="00A57676"/>
    <w:rsid w:val="00A621AC"/>
    <w:rsid w:val="00A7051D"/>
    <w:rsid w:val="00A70F8E"/>
    <w:rsid w:val="00A86A8D"/>
    <w:rsid w:val="00AB1DC6"/>
    <w:rsid w:val="00AB703E"/>
    <w:rsid w:val="00B24582"/>
    <w:rsid w:val="00BB40C3"/>
    <w:rsid w:val="00C17DB3"/>
    <w:rsid w:val="00C56E05"/>
    <w:rsid w:val="00C61D30"/>
    <w:rsid w:val="00C649CC"/>
    <w:rsid w:val="00C76A8A"/>
    <w:rsid w:val="00C90B30"/>
    <w:rsid w:val="00C91E16"/>
    <w:rsid w:val="00C97D88"/>
    <w:rsid w:val="00CE5C94"/>
    <w:rsid w:val="00CF2453"/>
    <w:rsid w:val="00D12ABF"/>
    <w:rsid w:val="00D229E3"/>
    <w:rsid w:val="00D25C76"/>
    <w:rsid w:val="00D3274C"/>
    <w:rsid w:val="00D36F32"/>
    <w:rsid w:val="00D40718"/>
    <w:rsid w:val="00DA52F3"/>
    <w:rsid w:val="00DE3D56"/>
    <w:rsid w:val="00E15512"/>
    <w:rsid w:val="00E2527C"/>
    <w:rsid w:val="00E46128"/>
    <w:rsid w:val="00E468D9"/>
    <w:rsid w:val="00E63B55"/>
    <w:rsid w:val="00E73C86"/>
    <w:rsid w:val="00E96B33"/>
    <w:rsid w:val="00ED1E61"/>
    <w:rsid w:val="00F47AC1"/>
    <w:rsid w:val="00F648C0"/>
    <w:rsid w:val="00F66C52"/>
    <w:rsid w:val="00F75541"/>
    <w:rsid w:val="00F8752A"/>
    <w:rsid w:val="00FA0A2E"/>
    <w:rsid w:val="00FA231F"/>
    <w:rsid w:val="00FA38EF"/>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166BF5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2018-09-07T10:00:00Z</dcterms:created>
  <dcterms:modified xsi:type="dcterms:W3CDTF">2018-09-07T10:00:00Z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