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650F48" w:rsidRDefault="00EE7016" w:rsidP="00F97703">
      <w:pPr>
        <w:jc w:val="center"/>
        <w:rPr>
          <w:rFonts w:ascii="Book Antiqua" w:hAnsi="Book Antiqua" w:cs="Arial"/>
          <w:color w:val="000000"/>
          <w:sz w:val="16"/>
          <w:szCs w:val="16"/>
        </w:rPr>
      </w:pPr>
      <w:r w:rsidRPr="00650F48">
        <w:rPr>
          <w:noProof/>
          <w:sz w:val="16"/>
          <w:szCs w:val="16"/>
        </w:rPr>
        <w:drawing>
          <wp:inline distT="0" distB="0" distL="0" distR="0">
            <wp:extent cx="1276350" cy="889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889000"/>
                    </a:xfrm>
                    <a:prstGeom prst="rect">
                      <a:avLst/>
                    </a:prstGeom>
                    <a:noFill/>
                    <a:ln>
                      <a:noFill/>
                    </a:ln>
                  </pic:spPr>
                </pic:pic>
              </a:graphicData>
            </a:graphic>
          </wp:inline>
        </w:drawing>
      </w:r>
    </w:p>
    <w:p w:rsidR="00650F48" w:rsidRPr="00650F48" w:rsidRDefault="00650F48" w:rsidP="00650F48">
      <w:pPr>
        <w:jc w:val="center"/>
        <w:rPr>
          <w:sz w:val="16"/>
          <w:szCs w:val="16"/>
        </w:rPr>
      </w:pPr>
    </w:p>
    <w:p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C345E1" w:rsidRPr="00F97703" w:rsidRDefault="00F97703" w:rsidP="004B0D3A">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6772C2">
        <w:rPr>
          <w:rFonts w:ascii="Book Antiqua" w:hAnsi="Book Antiqua" w:cs="Arial"/>
          <w:caps/>
          <w:color w:val="000000"/>
        </w:rPr>
        <w:t>HU/</w:t>
      </w:r>
      <w:r w:rsidR="008278E4">
        <w:rPr>
          <w:rFonts w:ascii="Book Antiqua" w:hAnsi="Book Antiqua" w:cs="Arial"/>
          <w:caps/>
          <w:color w:val="000000"/>
        </w:rPr>
        <w:t>08360/2017</w:t>
      </w:r>
      <w:bookmarkEnd w:id="0"/>
    </w:p>
    <w:p w:rsidR="00C345E1" w:rsidRDefault="00C345E1" w:rsidP="00C345E1">
      <w:pPr>
        <w:jc w:val="center"/>
        <w:rPr>
          <w:rFonts w:ascii="Book Antiqua" w:hAnsi="Book Antiqua" w:cs="Arial"/>
          <w:color w:val="000000"/>
        </w:rPr>
      </w:pPr>
    </w:p>
    <w:p w:rsidR="002A632E" w:rsidRPr="00F97703" w:rsidRDefault="002A632E" w:rsidP="00C345E1">
      <w:pPr>
        <w:jc w:val="center"/>
        <w:rPr>
          <w:rFonts w:ascii="Book Antiqua" w:hAnsi="Book Antiqua" w:cs="Arial"/>
          <w:color w:val="000000"/>
        </w:rPr>
      </w:pPr>
    </w:p>
    <w:p w:rsidR="00C345E1" w:rsidRPr="00F97703"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Default="00C345E1" w:rsidP="00071E54">
      <w:pPr>
        <w:rPr>
          <w:rFonts w:ascii="Book Antiqua" w:hAnsi="Book Antiqua" w:cs="Arial"/>
          <w:b/>
          <w:u w:val="single"/>
        </w:rPr>
      </w:pPr>
    </w:p>
    <w:p w:rsidR="002A632E" w:rsidRPr="00F97703" w:rsidRDefault="002A632E"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1241"/>
        <w:gridCol w:w="3712"/>
      </w:tblGrid>
      <w:tr w:rsidR="00D22636" w:rsidRPr="002D19E6" w:rsidTr="00EE7016">
        <w:tc>
          <w:tcPr>
            <w:tcW w:w="4786" w:type="dxa"/>
            <w:shd w:val="clear" w:color="auto" w:fill="auto"/>
          </w:tcPr>
          <w:p w:rsidR="00D22636" w:rsidRPr="002D19E6" w:rsidRDefault="00D22636" w:rsidP="002D19E6">
            <w:pPr>
              <w:jc w:val="both"/>
              <w:rPr>
                <w:rFonts w:ascii="Book Antiqua" w:hAnsi="Book Antiqua" w:cs="Arial"/>
                <w:b/>
              </w:rPr>
            </w:pPr>
            <w:r w:rsidRPr="002D19E6">
              <w:rPr>
                <w:rFonts w:ascii="Book Antiqua" w:hAnsi="Book Antiqua" w:cs="Arial"/>
                <w:b/>
              </w:rPr>
              <w:t xml:space="preserve">Heard </w:t>
            </w:r>
            <w:r w:rsidR="00EE7016" w:rsidRPr="002D19E6">
              <w:rPr>
                <w:rFonts w:ascii="Book Antiqua" w:hAnsi="Book Antiqua" w:cs="Arial"/>
                <w:b/>
              </w:rPr>
              <w:t>at:</w:t>
            </w:r>
            <w:r w:rsidR="00952B45" w:rsidRPr="002D19E6">
              <w:rPr>
                <w:rFonts w:ascii="Book Antiqua" w:hAnsi="Book Antiqua" w:cs="Arial"/>
                <w:b/>
              </w:rPr>
              <w:t xml:space="preserve"> </w:t>
            </w:r>
            <w:r w:rsidR="00460336">
              <w:rPr>
                <w:rFonts w:ascii="Book Antiqua" w:hAnsi="Book Antiqua" w:cs="Arial"/>
                <w:b/>
              </w:rPr>
              <w:t>Field House</w:t>
            </w:r>
          </w:p>
        </w:tc>
        <w:tc>
          <w:tcPr>
            <w:tcW w:w="5042" w:type="dxa"/>
            <w:gridSpan w:val="2"/>
            <w:shd w:val="clear" w:color="auto" w:fill="auto"/>
          </w:tcPr>
          <w:p w:rsidR="00D22636" w:rsidRPr="002D19E6" w:rsidRDefault="00283659" w:rsidP="002D19E6">
            <w:pPr>
              <w:jc w:val="both"/>
              <w:rPr>
                <w:rFonts w:ascii="Book Antiqua" w:hAnsi="Book Antiqua" w:cs="Arial"/>
                <w:b/>
                <w:color w:val="000000"/>
              </w:rPr>
            </w:pPr>
            <w:r w:rsidRPr="002D19E6">
              <w:rPr>
                <w:rFonts w:ascii="Book Antiqua" w:hAnsi="Book Antiqua" w:cs="Arial"/>
                <w:b/>
                <w:color w:val="000000"/>
              </w:rPr>
              <w:t>De</w:t>
            </w:r>
            <w:r w:rsidR="006772C2">
              <w:rPr>
                <w:rFonts w:ascii="Book Antiqua" w:hAnsi="Book Antiqua" w:cs="Arial"/>
                <w:b/>
                <w:color w:val="000000"/>
              </w:rPr>
              <w:t>cisi</w:t>
            </w:r>
            <w:r w:rsidRPr="002D19E6">
              <w:rPr>
                <w:rFonts w:ascii="Book Antiqua" w:hAnsi="Book Antiqua" w:cs="Arial"/>
                <w:b/>
                <w:color w:val="000000"/>
              </w:rPr>
              <w:t>on</w:t>
            </w:r>
            <w:r w:rsidR="00EE7016">
              <w:rPr>
                <w:rFonts w:ascii="Book Antiqua" w:hAnsi="Book Antiqua" w:cs="Arial"/>
                <w:b/>
                <w:color w:val="000000"/>
              </w:rPr>
              <w:t xml:space="preserve"> and Reasons</w:t>
            </w:r>
            <w:r w:rsidRPr="002D19E6">
              <w:rPr>
                <w:rFonts w:ascii="Book Antiqua" w:hAnsi="Book Antiqua" w:cs="Arial"/>
                <w:b/>
                <w:color w:val="000000"/>
              </w:rPr>
              <w:t xml:space="preserve"> Promulgated</w:t>
            </w:r>
          </w:p>
        </w:tc>
      </w:tr>
      <w:tr w:rsidR="00D22636" w:rsidRPr="002D19E6" w:rsidTr="00EE7016">
        <w:tc>
          <w:tcPr>
            <w:tcW w:w="4786" w:type="dxa"/>
            <w:shd w:val="clear" w:color="auto" w:fill="auto"/>
          </w:tcPr>
          <w:p w:rsidR="00D22636" w:rsidRPr="002D19E6" w:rsidRDefault="00EE7016" w:rsidP="002D19E6">
            <w:pPr>
              <w:jc w:val="both"/>
              <w:rPr>
                <w:rFonts w:ascii="Book Antiqua" w:hAnsi="Book Antiqua" w:cs="Arial"/>
                <w:b/>
              </w:rPr>
            </w:pPr>
            <w:r w:rsidRPr="002D19E6">
              <w:rPr>
                <w:rFonts w:ascii="Book Antiqua" w:hAnsi="Book Antiqua" w:cs="Arial"/>
                <w:b/>
              </w:rPr>
              <w:t>On:</w:t>
            </w:r>
            <w:r w:rsidR="00952B45" w:rsidRPr="002D19E6">
              <w:rPr>
                <w:rFonts w:ascii="Book Antiqua" w:hAnsi="Book Antiqua" w:cs="Arial"/>
                <w:b/>
              </w:rPr>
              <w:t xml:space="preserve"> </w:t>
            </w:r>
            <w:r w:rsidR="008278E4">
              <w:rPr>
                <w:rFonts w:ascii="Book Antiqua" w:hAnsi="Book Antiqua" w:cs="Arial"/>
                <w:b/>
              </w:rPr>
              <w:t>17 July 2018</w:t>
            </w:r>
          </w:p>
        </w:tc>
        <w:tc>
          <w:tcPr>
            <w:tcW w:w="5042" w:type="dxa"/>
            <w:gridSpan w:val="2"/>
            <w:shd w:val="clear" w:color="auto" w:fill="auto"/>
          </w:tcPr>
          <w:p w:rsidR="00D22636" w:rsidRPr="002D19E6" w:rsidRDefault="00EE7016" w:rsidP="002D19E6">
            <w:pPr>
              <w:jc w:val="both"/>
              <w:rPr>
                <w:rFonts w:ascii="Book Antiqua" w:hAnsi="Book Antiqua" w:cs="Arial"/>
                <w:b/>
              </w:rPr>
            </w:pPr>
            <w:r>
              <w:rPr>
                <w:rFonts w:ascii="Book Antiqua" w:hAnsi="Book Antiqua" w:cs="Arial"/>
                <w:b/>
              </w:rPr>
              <w:t xml:space="preserve">On: 26 July 2018 </w:t>
            </w:r>
          </w:p>
        </w:tc>
      </w:tr>
      <w:tr w:rsidR="00D22636" w:rsidRPr="002D19E6" w:rsidTr="00EE7016">
        <w:tc>
          <w:tcPr>
            <w:tcW w:w="6048" w:type="dxa"/>
            <w:gridSpan w:val="2"/>
            <w:shd w:val="clear" w:color="auto" w:fill="auto"/>
          </w:tcPr>
          <w:p w:rsidR="00D22636" w:rsidRPr="002D19E6" w:rsidRDefault="00D22636" w:rsidP="002D19E6">
            <w:pPr>
              <w:jc w:val="both"/>
              <w:rPr>
                <w:rFonts w:ascii="Book Antiqua" w:hAnsi="Book Antiqua" w:cs="Arial"/>
                <w:b/>
              </w:rPr>
            </w:pPr>
          </w:p>
        </w:tc>
        <w:tc>
          <w:tcPr>
            <w:tcW w:w="3780" w:type="dxa"/>
            <w:shd w:val="clear" w:color="auto" w:fill="auto"/>
          </w:tcPr>
          <w:p w:rsidR="00D22636" w:rsidRPr="002D19E6" w:rsidRDefault="00D22636" w:rsidP="002D19E6">
            <w:pPr>
              <w:jc w:val="both"/>
              <w:rPr>
                <w:rFonts w:ascii="Book Antiqua" w:hAnsi="Book Antiqua" w:cs="Arial"/>
                <w:b/>
              </w:rPr>
            </w:pPr>
          </w:p>
        </w:tc>
      </w:tr>
    </w:tbl>
    <w:p w:rsidR="00A15234" w:rsidRPr="00F97703" w:rsidRDefault="00A15234" w:rsidP="00071E54">
      <w:pPr>
        <w:rPr>
          <w:rFonts w:ascii="Book Antiqua" w:hAnsi="Book Antiqua" w:cs="Arial"/>
        </w:rPr>
      </w:pPr>
    </w:p>
    <w:p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8278E4" w:rsidRDefault="008278E4" w:rsidP="000652CE">
      <w:pPr>
        <w:jc w:val="center"/>
        <w:outlineLvl w:val="0"/>
        <w:rPr>
          <w:rFonts w:ascii="Book Antiqua" w:hAnsi="Book Antiqua" w:cs="Arial"/>
          <w:b/>
        </w:rPr>
      </w:pPr>
    </w:p>
    <w:p w:rsidR="008278E4" w:rsidRDefault="008278E4" w:rsidP="000652CE">
      <w:pPr>
        <w:jc w:val="center"/>
        <w:outlineLvl w:val="0"/>
        <w:rPr>
          <w:rFonts w:ascii="Book Antiqua" w:hAnsi="Book Antiqua" w:cs="Arial"/>
          <w:b/>
        </w:rPr>
      </w:pPr>
      <w:r>
        <w:rPr>
          <w:rFonts w:ascii="Book Antiqua" w:hAnsi="Book Antiqua" w:cs="Arial"/>
          <w:b/>
        </w:rPr>
        <w:t>THE HON. MR JUSTICE LEWIS</w:t>
      </w:r>
    </w:p>
    <w:p w:rsidR="00D20757" w:rsidRPr="00F97703" w:rsidRDefault="0053164F" w:rsidP="000652CE">
      <w:pPr>
        <w:jc w:val="center"/>
        <w:outlineLvl w:val="0"/>
        <w:rPr>
          <w:rFonts w:ascii="Book Antiqua" w:hAnsi="Book Antiqua" w:cs="Arial"/>
          <w:b/>
          <w:color w:val="000000"/>
        </w:rPr>
      </w:pPr>
      <w:r>
        <w:rPr>
          <w:rFonts w:ascii="Book Antiqua" w:hAnsi="Book Antiqua" w:cs="Arial"/>
          <w:b/>
          <w:color w:val="000000"/>
        </w:rPr>
        <w:t>UPPER TRIBUNAL</w:t>
      </w:r>
      <w:r w:rsidR="001B2F75" w:rsidRPr="00F97703">
        <w:rPr>
          <w:rFonts w:ascii="Book Antiqua" w:hAnsi="Book Antiqua" w:cs="Arial"/>
          <w:b/>
          <w:color w:val="000000"/>
        </w:rPr>
        <w:t xml:space="preserve"> JUDG</w:t>
      </w:r>
      <w:r w:rsidR="00952B45">
        <w:rPr>
          <w:rFonts w:ascii="Book Antiqua" w:hAnsi="Book Antiqua" w:cs="Arial"/>
          <w:b/>
          <w:color w:val="000000"/>
        </w:rPr>
        <w:t>E KEBEDE</w:t>
      </w:r>
      <w:r w:rsidR="001B2F75" w:rsidRPr="00F97703">
        <w:rPr>
          <w:rFonts w:ascii="Book Antiqua" w:hAnsi="Book Antiqua" w:cs="Arial"/>
          <w:b/>
          <w:color w:val="000000"/>
        </w:rPr>
        <w:t xml:space="preserve"> </w:t>
      </w:r>
    </w:p>
    <w:p w:rsidR="001B186A" w:rsidRPr="00F97703" w:rsidRDefault="001B186A" w:rsidP="00104CC5">
      <w:pPr>
        <w:rPr>
          <w:rFonts w:ascii="Book Antiqua" w:hAnsi="Book Antiqua" w:cs="Arial"/>
          <w:b/>
          <w:color w:val="000000"/>
        </w:rPr>
      </w:pPr>
    </w:p>
    <w:p w:rsidR="00650F48" w:rsidRDefault="00650F48" w:rsidP="000652CE">
      <w:pPr>
        <w:jc w:val="center"/>
        <w:outlineLvl w:val="0"/>
        <w:rPr>
          <w:rFonts w:ascii="Book Antiqua" w:hAnsi="Book Antiqua" w:cs="Arial"/>
          <w:b/>
        </w:rPr>
      </w:pPr>
    </w:p>
    <w:p w:rsidR="00A845DC" w:rsidRPr="00F97703" w:rsidRDefault="00A845DC" w:rsidP="000652CE">
      <w:pPr>
        <w:jc w:val="center"/>
        <w:outlineLvl w:val="0"/>
        <w:rPr>
          <w:rFonts w:ascii="Book Antiqua" w:hAnsi="Book Antiqua" w:cs="Arial"/>
          <w:b/>
        </w:rPr>
      </w:pPr>
      <w:r w:rsidRPr="00F97703">
        <w:rPr>
          <w:rFonts w:ascii="Book Antiqua" w:hAnsi="Book Antiqua" w:cs="Arial"/>
          <w:b/>
        </w:rPr>
        <w:t>Between</w:t>
      </w:r>
    </w:p>
    <w:p w:rsidR="00F32D00" w:rsidRDefault="00F32D00" w:rsidP="004B0D3A">
      <w:pPr>
        <w:rPr>
          <w:rFonts w:ascii="Book Antiqua" w:hAnsi="Book Antiqua" w:cs="Arial"/>
          <w:b/>
        </w:rPr>
      </w:pPr>
    </w:p>
    <w:p w:rsidR="00AE0A04" w:rsidRPr="00F97703" w:rsidRDefault="00AE0A04" w:rsidP="00AE0A04">
      <w:pPr>
        <w:jc w:val="center"/>
        <w:rPr>
          <w:rFonts w:ascii="Book Antiqua" w:hAnsi="Book Antiqua" w:cs="Arial"/>
          <w:b/>
        </w:rPr>
      </w:pPr>
      <w:r>
        <w:rPr>
          <w:rFonts w:ascii="Book Antiqua" w:hAnsi="Book Antiqua" w:cs="Arial"/>
          <w:b/>
        </w:rPr>
        <w:t>SECRETARY OF STATE FOR THE HOME DEPARTMENT</w:t>
      </w:r>
    </w:p>
    <w:p w:rsidR="00AE0A04" w:rsidRPr="00F97703" w:rsidRDefault="00AE0A04" w:rsidP="00AE0A04">
      <w:pPr>
        <w:jc w:val="right"/>
        <w:outlineLvl w:val="0"/>
        <w:rPr>
          <w:rFonts w:ascii="Book Antiqua" w:hAnsi="Book Antiqua" w:cs="Arial"/>
          <w:u w:val="single"/>
        </w:rPr>
      </w:pPr>
      <w:r w:rsidRPr="00F97703">
        <w:rPr>
          <w:rFonts w:ascii="Book Antiqua" w:hAnsi="Book Antiqua" w:cs="Arial"/>
          <w:u w:val="single"/>
        </w:rPr>
        <w:t>Appellant</w:t>
      </w:r>
    </w:p>
    <w:p w:rsidR="00AE0A04" w:rsidRPr="00F97703" w:rsidRDefault="00AE0A04" w:rsidP="00AE0A04">
      <w:pPr>
        <w:jc w:val="center"/>
        <w:rPr>
          <w:rFonts w:ascii="Book Antiqua" w:hAnsi="Book Antiqua" w:cs="Arial"/>
          <w:b/>
        </w:rPr>
      </w:pPr>
      <w:r w:rsidRPr="00F97703">
        <w:rPr>
          <w:rFonts w:ascii="Book Antiqua" w:hAnsi="Book Antiqua" w:cs="Arial"/>
          <w:b/>
        </w:rPr>
        <w:t>and</w:t>
      </w:r>
    </w:p>
    <w:p w:rsidR="00AE0A04" w:rsidRPr="00F97703" w:rsidRDefault="00AE0A04" w:rsidP="00AE0A04">
      <w:pPr>
        <w:jc w:val="center"/>
        <w:rPr>
          <w:rFonts w:ascii="Book Antiqua" w:hAnsi="Book Antiqua" w:cs="Arial"/>
          <w:b/>
        </w:rPr>
      </w:pPr>
    </w:p>
    <w:p w:rsidR="00AE0A04" w:rsidRDefault="008278E4" w:rsidP="00AE0A04">
      <w:pPr>
        <w:jc w:val="center"/>
        <w:outlineLvl w:val="0"/>
        <w:rPr>
          <w:rFonts w:ascii="Book Antiqua" w:hAnsi="Book Antiqua" w:cs="Arial"/>
          <w:b/>
          <w:caps/>
        </w:rPr>
      </w:pPr>
      <w:r>
        <w:rPr>
          <w:rFonts w:ascii="Book Antiqua" w:hAnsi="Book Antiqua" w:cs="Arial"/>
          <w:b/>
          <w:caps/>
        </w:rPr>
        <w:t>LU</w:t>
      </w:r>
    </w:p>
    <w:p w:rsidR="008278E4" w:rsidRPr="004B1F6E" w:rsidRDefault="008278E4" w:rsidP="00AE0A04">
      <w:pPr>
        <w:jc w:val="center"/>
        <w:outlineLvl w:val="0"/>
        <w:rPr>
          <w:rFonts w:ascii="Book Antiqua" w:hAnsi="Book Antiqua" w:cs="Arial"/>
          <w:b/>
        </w:rPr>
      </w:pPr>
      <w:r>
        <w:rPr>
          <w:rFonts w:ascii="Book Antiqua" w:hAnsi="Book Antiqua" w:cs="Arial"/>
          <w:b/>
        </w:rPr>
        <w:t>(ANONYMITY ORDER MADE)</w:t>
      </w:r>
    </w:p>
    <w:p w:rsidR="00AE0A04" w:rsidRPr="00303DBC" w:rsidRDefault="00AE0A04" w:rsidP="00AE0A04">
      <w:pPr>
        <w:jc w:val="right"/>
        <w:outlineLvl w:val="0"/>
        <w:rPr>
          <w:rFonts w:ascii="Book Antiqua" w:hAnsi="Book Antiqua" w:cs="Arial"/>
          <w:u w:val="single"/>
        </w:rPr>
      </w:pPr>
      <w:r w:rsidRPr="00F97703">
        <w:rPr>
          <w:rFonts w:ascii="Book Antiqua" w:hAnsi="Book Antiqua" w:cs="Arial"/>
          <w:u w:val="single"/>
        </w:rPr>
        <w:t>Respondent</w:t>
      </w:r>
    </w:p>
    <w:p w:rsidR="00B655AC" w:rsidRDefault="00B655AC" w:rsidP="00AE0A04">
      <w:pPr>
        <w:outlineLvl w:val="0"/>
        <w:rPr>
          <w:rFonts w:ascii="Book Antiqua" w:hAnsi="Book Antiqua" w:cs="Arial"/>
          <w:b/>
          <w:u w:val="single"/>
        </w:rPr>
      </w:pPr>
    </w:p>
    <w:p w:rsidR="00650F48" w:rsidRDefault="00650F48" w:rsidP="00AE0A04">
      <w:pPr>
        <w:outlineLvl w:val="0"/>
        <w:rPr>
          <w:rFonts w:ascii="Book Antiqua" w:hAnsi="Book Antiqua" w:cs="Arial"/>
          <w:b/>
          <w:u w:val="single"/>
        </w:rPr>
      </w:pPr>
    </w:p>
    <w:p w:rsidR="00AE0A04" w:rsidRPr="00F97703" w:rsidRDefault="00AE0A04" w:rsidP="00AE0A04">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AE0A04" w:rsidRPr="00F97703" w:rsidRDefault="00AE0A04" w:rsidP="00AE0A04">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278E4">
        <w:rPr>
          <w:rFonts w:ascii="Book Antiqua" w:hAnsi="Book Antiqua" w:cs="Arial"/>
        </w:rPr>
        <w:t>Ms Z Ahmad</w:t>
      </w:r>
      <w:r>
        <w:rPr>
          <w:rFonts w:ascii="Book Antiqua" w:hAnsi="Book Antiqua" w:cs="Arial"/>
        </w:rPr>
        <w:t>, Senior Home Office Presenting Officer</w:t>
      </w:r>
    </w:p>
    <w:p w:rsidR="00DE7DB7" w:rsidRDefault="00AE0A04" w:rsidP="00275CB6">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8278E4">
        <w:rPr>
          <w:rFonts w:ascii="Book Antiqua" w:hAnsi="Book Antiqua" w:cs="Arial"/>
        </w:rPr>
        <w:t>Ms G Peterson</w:t>
      </w:r>
      <w:r w:rsidR="006772C2">
        <w:rPr>
          <w:rFonts w:ascii="Book Antiqua" w:hAnsi="Book Antiqua" w:cs="Arial"/>
        </w:rPr>
        <w:t xml:space="preserve">, instructed by </w:t>
      </w:r>
      <w:r w:rsidR="008278E4">
        <w:rPr>
          <w:rFonts w:ascii="Book Antiqua" w:hAnsi="Book Antiqua" w:cs="Arial"/>
        </w:rPr>
        <w:t>CK</w:t>
      </w:r>
      <w:r w:rsidR="00275CB6">
        <w:rPr>
          <w:rFonts w:ascii="Book Antiqua" w:hAnsi="Book Antiqua" w:cs="Arial"/>
        </w:rPr>
        <w:t xml:space="preserve"> Solicitors</w:t>
      </w:r>
    </w:p>
    <w:p w:rsidR="00275CB6" w:rsidRDefault="00275CB6" w:rsidP="00275CB6">
      <w:pPr>
        <w:tabs>
          <w:tab w:val="left" w:pos="2520"/>
        </w:tabs>
        <w:rPr>
          <w:rFonts w:ascii="Book Antiqua" w:hAnsi="Book Antiqua" w:cs="Arial"/>
        </w:rPr>
      </w:pPr>
    </w:p>
    <w:p w:rsidR="00275CB6" w:rsidRPr="00F97703" w:rsidRDefault="00275CB6" w:rsidP="00275CB6">
      <w:pPr>
        <w:tabs>
          <w:tab w:val="left" w:pos="2520"/>
        </w:tabs>
        <w:rPr>
          <w:rFonts w:ascii="Book Antiqua" w:hAnsi="Book Antiqua" w:cs="Arial"/>
        </w:rPr>
      </w:pPr>
    </w:p>
    <w:p w:rsidR="00973E82" w:rsidRPr="00973E82" w:rsidRDefault="00402B9E" w:rsidP="00973E82">
      <w:pPr>
        <w:tabs>
          <w:tab w:val="left" w:pos="2520"/>
        </w:tabs>
        <w:jc w:val="center"/>
        <w:outlineLvl w:val="0"/>
        <w:rPr>
          <w:rFonts w:ascii="Book Antiqua" w:hAnsi="Book Antiqua" w:cs="Arial"/>
        </w:rPr>
      </w:pPr>
      <w:r w:rsidRPr="00F97703">
        <w:rPr>
          <w:rFonts w:ascii="Book Antiqua" w:hAnsi="Book Antiqua" w:cs="Arial"/>
          <w:b/>
          <w:u w:val="single"/>
        </w:rPr>
        <w:t>DE</w:t>
      </w:r>
      <w:r w:rsidR="006772C2">
        <w:rPr>
          <w:rFonts w:ascii="Book Antiqua" w:hAnsi="Book Antiqua" w:cs="Arial"/>
          <w:b/>
          <w:u w:val="single"/>
        </w:rPr>
        <w:t>CIS</w:t>
      </w:r>
      <w:r w:rsidRPr="00F97703">
        <w:rPr>
          <w:rFonts w:ascii="Book Antiqua" w:hAnsi="Book Antiqua" w:cs="Arial"/>
          <w:b/>
          <w:u w:val="single"/>
        </w:rPr>
        <w:t>ION AND REASONS</w:t>
      </w:r>
    </w:p>
    <w:p w:rsid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This is an appeal by the Secretary of State for the Home Department against the decision of </w:t>
      </w:r>
      <w:r w:rsidR="00064FF9">
        <w:rPr>
          <w:rFonts w:ascii="Book Antiqua" w:hAnsi="Book Antiqua"/>
        </w:rPr>
        <w:t xml:space="preserve">the </w:t>
      </w:r>
      <w:r>
        <w:rPr>
          <w:rFonts w:ascii="Book Antiqua" w:hAnsi="Book Antiqua" w:cs="Arial"/>
        </w:rPr>
        <w:t xml:space="preserve">First-tier Tribunal allowing </w:t>
      </w:r>
      <w:r w:rsidR="008278E4">
        <w:rPr>
          <w:rFonts w:ascii="Book Antiqua" w:hAnsi="Book Antiqua" w:cs="Arial"/>
        </w:rPr>
        <w:t>LU</w:t>
      </w:r>
      <w:r w:rsidR="00275CB6">
        <w:rPr>
          <w:rFonts w:ascii="Book Antiqua" w:hAnsi="Book Antiqua" w:cs="Arial"/>
        </w:rPr>
        <w:t>’s</w:t>
      </w:r>
      <w:r>
        <w:rPr>
          <w:rFonts w:ascii="Book Antiqua" w:hAnsi="Book Antiqua" w:cs="Arial"/>
        </w:rPr>
        <w:t xml:space="preserve"> appeal against the </w:t>
      </w:r>
      <w:r w:rsidR="00773A5E">
        <w:rPr>
          <w:rFonts w:ascii="Book Antiqua" w:hAnsi="Book Antiqua" w:cs="Arial"/>
        </w:rPr>
        <w:t xml:space="preserve">respondent’s decision to </w:t>
      </w:r>
      <w:r w:rsidR="00994841">
        <w:rPr>
          <w:rFonts w:ascii="Book Antiqua" w:hAnsi="Book Antiqua"/>
        </w:rPr>
        <w:t>refuse his</w:t>
      </w:r>
      <w:r w:rsidR="0076577A">
        <w:rPr>
          <w:rFonts w:ascii="Book Antiqua" w:hAnsi="Book Antiqua"/>
        </w:rPr>
        <w:t xml:space="preserve"> </w:t>
      </w:r>
      <w:r w:rsidR="008278E4">
        <w:rPr>
          <w:rFonts w:ascii="Book Antiqua" w:hAnsi="Book Antiqua"/>
        </w:rPr>
        <w:t>human rights claim and to refuse to revoke a deportation order previously made against him</w:t>
      </w:r>
      <w:r>
        <w:rPr>
          <w:rFonts w:ascii="Book Antiqua" w:hAnsi="Book Antiqua"/>
        </w:rPr>
        <w:t xml:space="preserve">.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P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E0A04">
        <w:rPr>
          <w:rFonts w:ascii="Book Antiqua" w:hAnsi="Book Antiqua"/>
        </w:rPr>
        <w:lastRenderedPageBreak/>
        <w:t xml:space="preserve">For the purposes of this decision, </w:t>
      </w:r>
      <w:r w:rsidR="008278E4">
        <w:rPr>
          <w:rFonts w:ascii="Book Antiqua" w:hAnsi="Book Antiqua"/>
        </w:rPr>
        <w:t>we</w:t>
      </w:r>
      <w:r w:rsidRPr="00AE0A04">
        <w:rPr>
          <w:rFonts w:ascii="Book Antiqua" w:hAnsi="Book Antiqua"/>
        </w:rPr>
        <w:t xml:space="preserve"> refer to the Secretary of State as the respondent and </w:t>
      </w:r>
      <w:r w:rsidR="008278E4">
        <w:rPr>
          <w:rFonts w:ascii="Book Antiqua" w:hAnsi="Book Antiqua"/>
        </w:rPr>
        <w:t>LU</w:t>
      </w:r>
      <w:r w:rsidRPr="00AE0A04">
        <w:rPr>
          <w:rFonts w:ascii="Book Antiqua" w:hAnsi="Book Antiqua"/>
        </w:rPr>
        <w:t xml:space="preserve"> as the appellant, reflecting their positions as they were in the appeal before the First-tier Tribunal.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8B279F" w:rsidRDefault="00AE0A04" w:rsidP="008278E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E97200">
        <w:rPr>
          <w:rFonts w:ascii="Book Antiqua" w:hAnsi="Book Antiqua"/>
        </w:rPr>
        <w:t xml:space="preserve">The appellant is a citizen of </w:t>
      </w:r>
      <w:r w:rsidR="008278E4">
        <w:rPr>
          <w:rFonts w:ascii="Book Antiqua" w:hAnsi="Book Antiqua"/>
        </w:rPr>
        <w:t>Kenya</w:t>
      </w:r>
      <w:r w:rsidRPr="00E97200">
        <w:rPr>
          <w:rFonts w:ascii="Book Antiqua" w:hAnsi="Book Antiqua"/>
        </w:rPr>
        <w:t xml:space="preserve"> born on </w:t>
      </w:r>
      <w:r w:rsidR="008278E4">
        <w:rPr>
          <w:rFonts w:ascii="Book Antiqua" w:hAnsi="Book Antiqua"/>
        </w:rPr>
        <w:t>27 February 1985</w:t>
      </w:r>
      <w:r w:rsidRPr="00E97200">
        <w:rPr>
          <w:rFonts w:ascii="Book Antiqua" w:hAnsi="Book Antiqua"/>
        </w:rPr>
        <w:t xml:space="preserve">. </w:t>
      </w:r>
      <w:r w:rsidR="00994841" w:rsidRPr="00E97200">
        <w:rPr>
          <w:rFonts w:ascii="Book Antiqua" w:hAnsi="Book Antiqua"/>
        </w:rPr>
        <w:t>H</w:t>
      </w:r>
      <w:r w:rsidRPr="00E97200">
        <w:rPr>
          <w:rFonts w:ascii="Book Antiqua" w:hAnsi="Book Antiqua"/>
        </w:rPr>
        <w:t xml:space="preserve">e </w:t>
      </w:r>
      <w:r w:rsidR="00460336">
        <w:rPr>
          <w:rFonts w:ascii="Book Antiqua" w:hAnsi="Book Antiqua"/>
        </w:rPr>
        <w:t xml:space="preserve">initially </w:t>
      </w:r>
      <w:r w:rsidR="00DE1C92" w:rsidRPr="00E97200">
        <w:rPr>
          <w:rFonts w:ascii="Book Antiqua" w:hAnsi="Book Antiqua"/>
        </w:rPr>
        <w:t>entered the United Kingdom</w:t>
      </w:r>
      <w:r w:rsidR="008278E4">
        <w:rPr>
          <w:rFonts w:ascii="Book Antiqua" w:hAnsi="Book Antiqua"/>
        </w:rPr>
        <w:t xml:space="preserve"> as a visitor on 9 October 1998, at the age of 13 years, and was subsequently granted leave to remain as a dependent, followed by indefinite leave to remain on 8 September 2000. Between 13 March 2001 and </w:t>
      </w:r>
      <w:proofErr w:type="gramStart"/>
      <w:r w:rsidR="008278E4">
        <w:rPr>
          <w:rFonts w:ascii="Book Antiqua" w:hAnsi="Book Antiqua"/>
        </w:rPr>
        <w:t>16 April 2014</w:t>
      </w:r>
      <w:proofErr w:type="gramEnd"/>
      <w:r w:rsidR="008278E4">
        <w:rPr>
          <w:rFonts w:ascii="Book Antiqua" w:hAnsi="Book Antiqua"/>
        </w:rPr>
        <w:t xml:space="preserve"> he was convicted on 16 occasions for 25 offences, as a result of which the respondent made a decision on 11 April 2014</w:t>
      </w:r>
      <w:r w:rsidR="008278E4" w:rsidRPr="008278E4">
        <w:rPr>
          <w:rFonts w:ascii="Book Antiqua" w:hAnsi="Book Antiqua"/>
        </w:rPr>
        <w:t xml:space="preserve"> </w:t>
      </w:r>
      <w:r w:rsidR="008278E4">
        <w:rPr>
          <w:rFonts w:ascii="Book Antiqua" w:hAnsi="Book Antiqua"/>
        </w:rPr>
        <w:t xml:space="preserve">to deport him from the UK. </w:t>
      </w:r>
    </w:p>
    <w:p w:rsidR="008B279F" w:rsidRDefault="008B279F" w:rsidP="008B279F">
      <w:pPr>
        <w:pStyle w:val="ListParagraph"/>
        <w:rPr>
          <w:rFonts w:ascii="Book Antiqua" w:hAnsi="Book Antiqua"/>
        </w:rPr>
      </w:pPr>
    </w:p>
    <w:p w:rsidR="008B279F" w:rsidRDefault="008278E4" w:rsidP="008278E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The appellant appealed against that decision and his appeal was heard in the First-tier Tribunal on 29 January 2015</w:t>
      </w:r>
      <w:r w:rsidR="008B279F">
        <w:rPr>
          <w:rFonts w:ascii="Book Antiqua" w:hAnsi="Book Antiqua"/>
        </w:rPr>
        <w:t xml:space="preserve"> by Judge Williams</w:t>
      </w:r>
      <w:r>
        <w:rPr>
          <w:rFonts w:ascii="Book Antiqua" w:hAnsi="Book Antiqua"/>
        </w:rPr>
        <w:t xml:space="preserve">. </w:t>
      </w:r>
      <w:r w:rsidR="008B279F">
        <w:rPr>
          <w:rFonts w:ascii="Book Antiqua" w:hAnsi="Book Antiqua"/>
        </w:rPr>
        <w:t xml:space="preserve">The appellant appeared without legal representation at the hearing. Judge Williams considered it significant that none of the appellant’s family members </w:t>
      </w:r>
      <w:r w:rsidR="00B03FF2">
        <w:rPr>
          <w:rFonts w:ascii="Book Antiqua" w:hAnsi="Book Antiqua"/>
        </w:rPr>
        <w:t>had given</w:t>
      </w:r>
      <w:r w:rsidR="008B279F">
        <w:rPr>
          <w:rFonts w:ascii="Book Antiqua" w:hAnsi="Book Antiqua"/>
        </w:rPr>
        <w:t xml:space="preserve"> any evidence in support of his appeal and noted the lack of any medical evidence. He found that the appellant was a persistent offender, that he was not socially and culturally integrated into the UK and that there were no very significant obstacles to his integration into Kenya. He dismissed the appellant’s appeal in a decision promulgated on 6 February 2015</w:t>
      </w:r>
    </w:p>
    <w:p w:rsidR="008B279F" w:rsidRDefault="008B279F" w:rsidP="008B279F">
      <w:pPr>
        <w:pStyle w:val="ListParagraph"/>
        <w:rPr>
          <w:rFonts w:ascii="Book Antiqua" w:hAnsi="Book Antiqua"/>
        </w:rPr>
      </w:pPr>
    </w:p>
    <w:p w:rsidR="00E55030" w:rsidRPr="008B279F" w:rsidRDefault="008B279F" w:rsidP="00DD2359">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8B279F">
        <w:rPr>
          <w:rFonts w:ascii="Book Antiqua" w:hAnsi="Book Antiqua"/>
        </w:rPr>
        <w:t>The respondent then signed a</w:t>
      </w:r>
      <w:r w:rsidR="00E55030" w:rsidRPr="008B279F">
        <w:rPr>
          <w:rFonts w:ascii="Book Antiqua" w:hAnsi="Book Antiqua"/>
        </w:rPr>
        <w:t xml:space="preserve"> deportation order</w:t>
      </w:r>
      <w:r w:rsidRPr="008B279F">
        <w:rPr>
          <w:rFonts w:ascii="Book Antiqua" w:hAnsi="Book Antiqua"/>
        </w:rPr>
        <w:t xml:space="preserve"> against the appellant</w:t>
      </w:r>
      <w:r w:rsidR="00E55030" w:rsidRPr="008B279F">
        <w:rPr>
          <w:rFonts w:ascii="Book Antiqua" w:hAnsi="Book Antiqua"/>
        </w:rPr>
        <w:t xml:space="preserve"> on 11 May 2015</w:t>
      </w:r>
      <w:r>
        <w:rPr>
          <w:rFonts w:ascii="Book Antiqua" w:hAnsi="Book Antiqua"/>
        </w:rPr>
        <w:t xml:space="preserve"> and he was subsequently</w:t>
      </w:r>
      <w:r w:rsidR="00E55030" w:rsidRPr="008B279F">
        <w:rPr>
          <w:rFonts w:ascii="Book Antiqua" w:hAnsi="Book Antiqua"/>
        </w:rPr>
        <w:t xml:space="preserve"> detained for removal</w:t>
      </w:r>
      <w:r>
        <w:rPr>
          <w:rFonts w:ascii="Book Antiqua" w:hAnsi="Book Antiqua"/>
        </w:rPr>
        <w:t xml:space="preserve">. He </w:t>
      </w:r>
      <w:r w:rsidR="00E55030" w:rsidRPr="008B279F">
        <w:rPr>
          <w:rFonts w:ascii="Book Antiqua" w:hAnsi="Book Antiqua"/>
        </w:rPr>
        <w:t>issued judicial review proceedings challenging his removal and made an application for leave to remain on human rights grounds. His application was refused under paragraph 353 of the immigration rules on 11 August 2015 and permission to seek judicial review claim was refused. The appellant then made an asylum claim, but his claim was refused and certified as clearly unfounded under section 94 of the Nationality, Immigration and Asylum Act 2002. A judicial review claim seeking to challenge that decision was unsuccessful. The appellant then made further submissions on 27 May 2016 which were refused under paragraph 353 on 8 June 2016. He sought judicial review of that decision. On 21 January 2017 the respondent made a supplementary decision refusing the appellant’s human rights claim and refusing to revoke the deportation order. The appellant’s judicial review claim</w:t>
      </w:r>
      <w:r w:rsidR="00CA6DFD" w:rsidRPr="008B279F">
        <w:rPr>
          <w:rFonts w:ascii="Book Antiqua" w:hAnsi="Book Antiqua"/>
        </w:rPr>
        <w:t xml:space="preserve">, which considered both decisions, </w:t>
      </w:r>
      <w:r w:rsidR="00E55030" w:rsidRPr="008B279F">
        <w:rPr>
          <w:rFonts w:ascii="Book Antiqua" w:hAnsi="Book Antiqua"/>
        </w:rPr>
        <w:t>was eventually successful and the respondent withdrew the decision of 21 January 2017</w:t>
      </w:r>
      <w:r w:rsidR="00CA6DFD" w:rsidRPr="008B279F">
        <w:rPr>
          <w:rFonts w:ascii="Book Antiqua" w:hAnsi="Book Antiqua"/>
        </w:rPr>
        <w:t>, considered further submissions made on 30 May 2017,</w:t>
      </w:r>
      <w:r w:rsidR="00E55030" w:rsidRPr="008B279F">
        <w:rPr>
          <w:rFonts w:ascii="Book Antiqua" w:hAnsi="Book Antiqua"/>
        </w:rPr>
        <w:t xml:space="preserve"> and made a new decision on 20 July 2017 accepting the appellant’s submissions as </w:t>
      </w:r>
      <w:proofErr w:type="gramStart"/>
      <w:r w:rsidR="00E55030" w:rsidRPr="008B279F">
        <w:rPr>
          <w:rFonts w:ascii="Book Antiqua" w:hAnsi="Book Antiqua"/>
        </w:rPr>
        <w:t>a fresh human rights</w:t>
      </w:r>
      <w:proofErr w:type="gramEnd"/>
      <w:r w:rsidR="00E55030" w:rsidRPr="008B279F">
        <w:rPr>
          <w:rFonts w:ascii="Book Antiqua" w:hAnsi="Book Antiqua"/>
        </w:rPr>
        <w:t xml:space="preserve"> claim but refusing the claim.</w:t>
      </w:r>
    </w:p>
    <w:p w:rsidR="00460336" w:rsidRPr="00B62FC6" w:rsidRDefault="00460336" w:rsidP="00460336">
      <w:pPr>
        <w:tabs>
          <w:tab w:val="left" w:pos="360"/>
        </w:tabs>
        <w:overflowPunct w:val="0"/>
        <w:autoSpaceDE w:val="0"/>
        <w:autoSpaceDN w:val="0"/>
        <w:adjustRightInd w:val="0"/>
        <w:jc w:val="both"/>
        <w:textAlignment w:val="baseline"/>
        <w:rPr>
          <w:rFonts w:ascii="Book Antiqua" w:hAnsi="Book Antiqua"/>
        </w:rPr>
      </w:pPr>
    </w:p>
    <w:p w:rsidR="00A22431" w:rsidRPr="00212AB3" w:rsidRDefault="00B40445" w:rsidP="00212AB3">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Pr>
          <w:rFonts w:ascii="Book Antiqua" w:hAnsi="Book Antiqua"/>
        </w:rPr>
        <w:t xml:space="preserve">In refusing the appellant’s </w:t>
      </w:r>
      <w:r w:rsidR="00CA6DFD">
        <w:rPr>
          <w:rFonts w:ascii="Book Antiqua" w:hAnsi="Book Antiqua"/>
        </w:rPr>
        <w:t>claim</w:t>
      </w:r>
      <w:r>
        <w:rPr>
          <w:rFonts w:ascii="Book Antiqua" w:hAnsi="Book Antiqua"/>
        </w:rPr>
        <w:t xml:space="preserve">, the respondent </w:t>
      </w:r>
      <w:r w:rsidR="00CA6DFD">
        <w:rPr>
          <w:rFonts w:ascii="Book Antiqua" w:hAnsi="Book Antiqua"/>
        </w:rPr>
        <w:t xml:space="preserve">had regard to supporting statements from the appellant’s mother and siblings, psychiatric reports and further supporting evidence. The respondent considered that the appellant was a persistent offender for the purposes of paragraph 398 of the immigration rules and that the public interest therefore required his deportation unless the exceptions in paragraph 399 and 399A applied. The respondent considered that paragraph 399(a) and (b) did not apply as the appellant had no partner or children. With regard to paragraph 399A the respondent accepted that the appellant had been lawfully resident in the UK for most of his life but did not accept that he was socially and culturally integrated into the UK and did not accept that there were very </w:t>
      </w:r>
      <w:r w:rsidR="00CA6DFD">
        <w:rPr>
          <w:rFonts w:ascii="Book Antiqua" w:hAnsi="Book Antiqua"/>
        </w:rPr>
        <w:lastRenderedPageBreak/>
        <w:t xml:space="preserve">significant obstacles to his integration into Kenya. The respondent then went on to consider whether there were any very compelling circumstances outweighing the public interest in the appellant’s deportation and concluded that there were none. In so doing the respondent noted that none of the appellant’s family </w:t>
      </w:r>
      <w:r w:rsidR="00212AB3">
        <w:rPr>
          <w:rFonts w:ascii="Book Antiqua" w:hAnsi="Book Antiqua"/>
        </w:rPr>
        <w:t>me</w:t>
      </w:r>
      <w:r w:rsidR="00CA6DFD">
        <w:rPr>
          <w:rFonts w:ascii="Book Antiqua" w:hAnsi="Book Antiqua"/>
        </w:rPr>
        <w:t>mbers had attended his previous appeal hearing</w:t>
      </w:r>
      <w:r w:rsidR="00212AB3">
        <w:rPr>
          <w:rFonts w:ascii="Book Antiqua" w:hAnsi="Book Antiqua"/>
        </w:rPr>
        <w:t xml:space="preserve"> and that no support had been offered from them prior to his detention and impending departure. The respondent considered that the appellant’s deportation would not breach his Article 8 human rights. With regard to Article 3, the respondent noted that the appellant suffered from Bipolar Affective Disorder and that he had been receiving treatment for the condition in the UK. Consideration was given to the psychiatric reports which had been produced. </w:t>
      </w:r>
      <w:proofErr w:type="gramStart"/>
      <w:r w:rsidR="00212AB3">
        <w:rPr>
          <w:rFonts w:ascii="Book Antiqua" w:hAnsi="Book Antiqua"/>
        </w:rPr>
        <w:t>However</w:t>
      </w:r>
      <w:proofErr w:type="gramEnd"/>
      <w:r w:rsidR="00212AB3">
        <w:rPr>
          <w:rFonts w:ascii="Book Antiqua" w:hAnsi="Book Antiqua"/>
        </w:rPr>
        <w:t xml:space="preserve"> it was noted that medical treatment was available in Kenya and the respondent therefore considered that the high threshold had not been met to make out a claim under Article 3. </w:t>
      </w:r>
    </w:p>
    <w:p w:rsidR="00212AB3" w:rsidRPr="00212AB3" w:rsidRDefault="00212AB3" w:rsidP="00212AB3">
      <w:pPr>
        <w:tabs>
          <w:tab w:val="left" w:pos="360"/>
        </w:tabs>
        <w:overflowPunct w:val="0"/>
        <w:autoSpaceDE w:val="0"/>
        <w:autoSpaceDN w:val="0"/>
        <w:adjustRightInd w:val="0"/>
        <w:jc w:val="both"/>
        <w:textAlignment w:val="baseline"/>
        <w:rPr>
          <w:rFonts w:ascii="Book Antiqua" w:hAnsi="Book Antiqua" w:cs="Arial"/>
        </w:rPr>
      </w:pPr>
    </w:p>
    <w:p w:rsidR="00BC532E" w:rsidRPr="00BC532E" w:rsidRDefault="00CD5D68" w:rsidP="002D19E6">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CD5D68">
        <w:rPr>
          <w:rFonts w:ascii="Book Antiqua" w:hAnsi="Book Antiqua"/>
        </w:rPr>
        <w:t>The appellant appealed against th</w:t>
      </w:r>
      <w:r w:rsidR="00BC532E">
        <w:rPr>
          <w:rFonts w:ascii="Book Antiqua" w:hAnsi="Book Antiqua"/>
        </w:rPr>
        <w:t>at</w:t>
      </w:r>
      <w:r w:rsidRPr="00CD5D68">
        <w:rPr>
          <w:rFonts w:ascii="Book Antiqua" w:hAnsi="Book Antiqua"/>
        </w:rPr>
        <w:t xml:space="preserve"> de</w:t>
      </w:r>
      <w:r>
        <w:rPr>
          <w:rFonts w:ascii="Book Antiqua" w:hAnsi="Book Antiqua"/>
        </w:rPr>
        <w:t xml:space="preserve">cision. His appeal was heard by </w:t>
      </w:r>
      <w:r w:rsidR="00A03EDE" w:rsidRPr="00CD5D68">
        <w:rPr>
          <w:rFonts w:ascii="Book Antiqua" w:hAnsi="Book Antiqua"/>
        </w:rPr>
        <w:t xml:space="preserve">First-tier Tribunal Judge </w:t>
      </w:r>
      <w:r w:rsidR="00BC532E">
        <w:rPr>
          <w:rFonts w:ascii="Book Antiqua" w:hAnsi="Book Antiqua"/>
        </w:rPr>
        <w:t>Clarke</w:t>
      </w:r>
      <w:r w:rsidR="00A03EDE" w:rsidRPr="00CD5D68">
        <w:rPr>
          <w:rFonts w:ascii="Book Antiqua" w:hAnsi="Book Antiqua"/>
        </w:rPr>
        <w:t xml:space="preserve"> on </w:t>
      </w:r>
      <w:r w:rsidR="00212AB3">
        <w:rPr>
          <w:rFonts w:ascii="Book Antiqua" w:hAnsi="Book Antiqua"/>
        </w:rPr>
        <w:t>21</w:t>
      </w:r>
      <w:r w:rsidR="00BC532E">
        <w:rPr>
          <w:rFonts w:ascii="Book Antiqua" w:hAnsi="Book Antiqua"/>
        </w:rPr>
        <w:t xml:space="preserve"> February 201</w:t>
      </w:r>
      <w:r w:rsidR="00212AB3">
        <w:rPr>
          <w:rFonts w:ascii="Book Antiqua" w:hAnsi="Book Antiqua"/>
        </w:rPr>
        <w:t>8</w:t>
      </w:r>
      <w:r w:rsidR="00A22431">
        <w:rPr>
          <w:rFonts w:ascii="Book Antiqua" w:hAnsi="Book Antiqua"/>
        </w:rPr>
        <w:t xml:space="preserve"> and was allowed in a decision promulgated on </w:t>
      </w:r>
      <w:r w:rsidR="00212AB3">
        <w:rPr>
          <w:rFonts w:ascii="Book Antiqua" w:hAnsi="Book Antiqua"/>
        </w:rPr>
        <w:t>19 March 2018</w:t>
      </w:r>
      <w:r w:rsidR="00A03EDE" w:rsidRPr="00CD5D68">
        <w:rPr>
          <w:rFonts w:ascii="Book Antiqua" w:hAnsi="Book Antiqua"/>
        </w:rPr>
        <w:t xml:space="preserve">. </w:t>
      </w:r>
      <w:r w:rsidR="00C02783">
        <w:rPr>
          <w:rFonts w:ascii="Book Antiqua" w:hAnsi="Book Antiqua"/>
        </w:rPr>
        <w:t xml:space="preserve">Judge </w:t>
      </w:r>
      <w:r w:rsidR="00BC532E">
        <w:rPr>
          <w:rFonts w:ascii="Book Antiqua" w:hAnsi="Book Antiqua"/>
        </w:rPr>
        <w:t>Clarke</w:t>
      </w:r>
      <w:r w:rsidR="00A22431">
        <w:rPr>
          <w:rFonts w:ascii="Book Antiqua" w:hAnsi="Book Antiqua"/>
        </w:rPr>
        <w:t xml:space="preserve"> </w:t>
      </w:r>
      <w:r w:rsidR="00212AB3">
        <w:rPr>
          <w:rFonts w:ascii="Book Antiqua" w:hAnsi="Book Antiqua"/>
        </w:rPr>
        <w:t xml:space="preserve">considered, on the basis of the psychiatric evidence produced since the decision of First-tier Tribunal Judge Williams, that the appellant could not be called a persistent offender as his offending had occurred at a time when he had a serious undiagnosed and unmonitored mental health condition. She concluded that, even if that were not the case, </w:t>
      </w:r>
      <w:r w:rsidR="008B279F">
        <w:rPr>
          <w:rFonts w:ascii="Book Antiqua" w:hAnsi="Book Antiqua"/>
        </w:rPr>
        <w:t xml:space="preserve">on the basis of the further evidence, </w:t>
      </w:r>
      <w:r w:rsidR="00212AB3">
        <w:rPr>
          <w:rFonts w:ascii="Book Antiqua" w:hAnsi="Book Antiqua"/>
        </w:rPr>
        <w:t xml:space="preserve">the appellant met the exception in paragraph 399A as he was socially and culturally integrated into the UK and there were very significant obstacles to his integration into Kenya.  </w:t>
      </w:r>
      <w:r w:rsidR="001F6B68">
        <w:rPr>
          <w:rFonts w:ascii="Book Antiqua" w:hAnsi="Book Antiqua"/>
        </w:rPr>
        <w:t>She accordingly allowed the appeal.</w:t>
      </w:r>
      <w:r w:rsidR="00BC532E">
        <w:rPr>
          <w:rFonts w:ascii="Book Antiqua" w:hAnsi="Book Antiqua"/>
        </w:rPr>
        <w:t xml:space="preserve"> </w:t>
      </w:r>
    </w:p>
    <w:p w:rsidR="0040659A" w:rsidRDefault="0040659A" w:rsidP="001F6B68">
      <w:pPr>
        <w:tabs>
          <w:tab w:val="left" w:pos="360"/>
        </w:tabs>
        <w:overflowPunct w:val="0"/>
        <w:autoSpaceDE w:val="0"/>
        <w:autoSpaceDN w:val="0"/>
        <w:adjustRightInd w:val="0"/>
        <w:jc w:val="both"/>
        <w:textAlignment w:val="baseline"/>
        <w:rPr>
          <w:rFonts w:ascii="Book Antiqua" w:hAnsi="Book Antiqua"/>
        </w:rPr>
      </w:pPr>
    </w:p>
    <w:p w:rsidR="008B279F" w:rsidRPr="008B279F" w:rsidRDefault="00321FB6" w:rsidP="0045474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E0A04">
        <w:rPr>
          <w:rFonts w:ascii="Book Antiqua" w:hAnsi="Book Antiqua"/>
        </w:rPr>
        <w:t xml:space="preserve">Permission to appeal to the Upper Tribunal was sought </w:t>
      </w:r>
      <w:r w:rsidR="008618D6">
        <w:rPr>
          <w:rFonts w:ascii="Book Antiqua" w:hAnsi="Book Antiqua"/>
        </w:rPr>
        <w:t xml:space="preserve">by the respondent </w:t>
      </w:r>
      <w:r w:rsidRPr="00AE0A04">
        <w:rPr>
          <w:rFonts w:ascii="Book Antiqua" w:hAnsi="Book Antiqua"/>
        </w:rPr>
        <w:t>on the grounds that the</w:t>
      </w:r>
      <w:r w:rsidR="00EE4DED">
        <w:rPr>
          <w:rFonts w:ascii="Book Antiqua" w:hAnsi="Book Antiqua"/>
        </w:rPr>
        <w:t xml:space="preserve"> judge </w:t>
      </w:r>
      <w:r w:rsidR="008B279F">
        <w:rPr>
          <w:rFonts w:ascii="Book Antiqua" w:hAnsi="Book Antiqua"/>
        </w:rPr>
        <w:t xml:space="preserve">should have maintained the previous finding of Judge Williams that the appellant was a persistent offender, in line with the </w:t>
      </w:r>
      <w:r w:rsidR="008B279F" w:rsidRPr="008B279F">
        <w:rPr>
          <w:rFonts w:ascii="Book Antiqua" w:hAnsi="Book Antiqua"/>
        </w:rPr>
        <w:t xml:space="preserve">authority of </w:t>
      </w:r>
      <w:proofErr w:type="spellStart"/>
      <w:r w:rsidR="008B279F" w:rsidRPr="00D87C25">
        <w:rPr>
          <w:rFonts w:ascii="Book Antiqua" w:hAnsi="Book Antiqua"/>
          <w:i/>
          <w:color w:val="000000"/>
        </w:rPr>
        <w:t>Chege</w:t>
      </w:r>
      <w:proofErr w:type="spellEnd"/>
      <w:r w:rsidR="008B279F" w:rsidRPr="00D87C25">
        <w:rPr>
          <w:rFonts w:ascii="Book Antiqua" w:hAnsi="Book Antiqua"/>
          <w:i/>
          <w:color w:val="000000"/>
        </w:rPr>
        <w:t xml:space="preserve"> ("is a persistent offender") Kenya </w:t>
      </w:r>
      <w:r w:rsidR="008B279F" w:rsidRPr="00E54435">
        <w:rPr>
          <w:rFonts w:ascii="Book Antiqua" w:hAnsi="Book Antiqua"/>
          <w:color w:val="000000"/>
        </w:rPr>
        <w:t>[2016] UKUT 187</w:t>
      </w:r>
      <w:r w:rsidR="008B279F" w:rsidRPr="008B279F">
        <w:rPr>
          <w:rFonts w:ascii="Book Antiqua" w:hAnsi="Book Antiqua"/>
          <w:color w:val="000000"/>
        </w:rPr>
        <w:t xml:space="preserve">, </w:t>
      </w:r>
      <w:r w:rsidR="009A73B1">
        <w:rPr>
          <w:rFonts w:ascii="Book Antiqua" w:hAnsi="Book Antiqua"/>
          <w:color w:val="000000"/>
        </w:rPr>
        <w:t xml:space="preserve">that she had failed to give clear reasons why the previous findings in regard to the appellant not being socially and culturally integrated in the UK were not still relevant, and that she had failed to consider the ability of the appellant’s family to help him in integrating into Kenya and failed clearly to identify the very significant obstacles to integration into Kenya in line with the authority in </w:t>
      </w:r>
      <w:proofErr w:type="spellStart"/>
      <w:r w:rsidR="009A73B1" w:rsidRPr="00D87C25">
        <w:rPr>
          <w:rFonts w:ascii="Book Antiqua" w:hAnsi="Book Antiqua"/>
          <w:i/>
          <w:color w:val="000000"/>
        </w:rPr>
        <w:t>Bossade</w:t>
      </w:r>
      <w:proofErr w:type="spellEnd"/>
      <w:r w:rsidR="009A73B1" w:rsidRPr="00D87C25">
        <w:rPr>
          <w:rFonts w:ascii="Book Antiqua" w:hAnsi="Book Antiqua"/>
          <w:i/>
          <w:color w:val="000000"/>
        </w:rPr>
        <w:t xml:space="preserve"> (ss.117A-D-interrelationship with Rules) </w:t>
      </w:r>
      <w:r w:rsidR="009A73B1" w:rsidRPr="00E54435">
        <w:rPr>
          <w:rFonts w:ascii="Book Antiqua" w:hAnsi="Book Antiqua"/>
          <w:color w:val="000000"/>
        </w:rPr>
        <w:t>[2015] UKUT 415</w:t>
      </w:r>
      <w:r w:rsidR="009A73B1">
        <w:rPr>
          <w:rFonts w:ascii="Book Antiqua" w:hAnsi="Book Antiqua"/>
          <w:color w:val="000000"/>
        </w:rPr>
        <w:t>.</w:t>
      </w:r>
    </w:p>
    <w:p w:rsidR="008B279F" w:rsidRPr="008B279F" w:rsidRDefault="008B279F" w:rsidP="008B279F">
      <w:pPr>
        <w:pStyle w:val="ListParagraph"/>
        <w:rPr>
          <w:rFonts w:ascii="Book Antiqua" w:hAnsi="Book Antiqua"/>
        </w:rPr>
      </w:pPr>
    </w:p>
    <w:p w:rsidR="00AE0A04" w:rsidRPr="00AE0A04" w:rsidRDefault="00321FB6"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Permission</w:t>
      </w:r>
      <w:r w:rsidR="00724EC0" w:rsidRPr="00AE0A04">
        <w:rPr>
          <w:rFonts w:ascii="Book Antiqua" w:hAnsi="Book Antiqua"/>
        </w:rPr>
        <w:t xml:space="preserve"> </w:t>
      </w:r>
      <w:r w:rsidR="0036662E">
        <w:rPr>
          <w:rFonts w:ascii="Book Antiqua" w:hAnsi="Book Antiqua"/>
        </w:rPr>
        <w:t xml:space="preserve">to appeal </w:t>
      </w:r>
      <w:r w:rsidR="00724EC0" w:rsidRPr="00AE0A04">
        <w:rPr>
          <w:rFonts w:ascii="Book Antiqua" w:hAnsi="Book Antiqua"/>
        </w:rPr>
        <w:t xml:space="preserve">was granted </w:t>
      </w:r>
      <w:r w:rsidR="001F6B68">
        <w:rPr>
          <w:rFonts w:ascii="Book Antiqua" w:hAnsi="Book Antiqua"/>
        </w:rPr>
        <w:t xml:space="preserve">in the First-tier Tribunal </w:t>
      </w:r>
      <w:r w:rsidR="00F5267D" w:rsidRPr="00AE0A04">
        <w:rPr>
          <w:rFonts w:ascii="Book Antiqua" w:hAnsi="Book Antiqua"/>
        </w:rPr>
        <w:t xml:space="preserve">on </w:t>
      </w:r>
      <w:r w:rsidR="009A73B1">
        <w:rPr>
          <w:rFonts w:ascii="Book Antiqua" w:hAnsi="Book Antiqua"/>
        </w:rPr>
        <w:t>11 April 2018 on all grounds</w:t>
      </w:r>
      <w:r w:rsidR="002720D1">
        <w:rPr>
          <w:rFonts w:ascii="Book Antiqua" w:hAnsi="Book Antiqua"/>
        </w:rPr>
        <w:t>.</w:t>
      </w:r>
      <w:r w:rsidR="00724EC0" w:rsidRPr="00AE0A04">
        <w:rPr>
          <w:rFonts w:ascii="Book Antiqua" w:hAnsi="Book Antiqua"/>
        </w:rPr>
        <w:t xml:space="preserve"> </w:t>
      </w:r>
    </w:p>
    <w:p w:rsidR="005A3EFC" w:rsidRDefault="005A3EFC" w:rsidP="005A3EFC">
      <w:pPr>
        <w:tabs>
          <w:tab w:val="left" w:pos="0"/>
          <w:tab w:val="left" w:pos="360"/>
        </w:tabs>
        <w:overflowPunct w:val="0"/>
        <w:autoSpaceDE w:val="0"/>
        <w:autoSpaceDN w:val="0"/>
        <w:adjustRightInd w:val="0"/>
        <w:jc w:val="both"/>
        <w:textAlignment w:val="baseline"/>
        <w:rPr>
          <w:rFonts w:ascii="Book Antiqua" w:hAnsi="Book Antiqua" w:cs="Arial"/>
        </w:rPr>
      </w:pPr>
    </w:p>
    <w:p w:rsidR="009A73B1" w:rsidRPr="009A73B1" w:rsidRDefault="00870797" w:rsidP="00524725">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782461">
        <w:rPr>
          <w:rFonts w:ascii="Book Antiqua" w:hAnsi="Book Antiqua" w:cs="Arial"/>
        </w:rPr>
        <w:t>At the hearing before</w:t>
      </w:r>
      <w:r w:rsidR="009A73B1">
        <w:rPr>
          <w:rFonts w:ascii="Book Antiqua" w:hAnsi="Book Antiqua" w:cs="Arial"/>
        </w:rPr>
        <w:t xml:space="preserve"> us Ms Ahmad expanded upon the grounds of appeal and submitted also that the judge had failed to consider the new circumstances arising since Judge Williams’ decision with </w:t>
      </w:r>
      <w:r w:rsidR="00B03FF2">
        <w:rPr>
          <w:rFonts w:ascii="Book Antiqua" w:hAnsi="Book Antiqua" w:cs="Arial"/>
        </w:rPr>
        <w:t xml:space="preserve">sufficient </w:t>
      </w:r>
      <w:r w:rsidR="009A73B1">
        <w:rPr>
          <w:rFonts w:ascii="Book Antiqua" w:hAnsi="Book Antiqua" w:cs="Arial"/>
        </w:rPr>
        <w:t xml:space="preserve">scrutiny, as required </w:t>
      </w:r>
      <w:r w:rsidR="009A73B1" w:rsidRPr="009A73B1">
        <w:rPr>
          <w:rFonts w:ascii="Book Antiqua" w:hAnsi="Book Antiqua" w:cs="Arial"/>
        </w:rPr>
        <w:t xml:space="preserve">in </w:t>
      </w:r>
      <w:proofErr w:type="spellStart"/>
      <w:r w:rsidR="009A73B1" w:rsidRPr="00D87C25">
        <w:rPr>
          <w:rFonts w:ascii="Book Antiqua" w:hAnsi="Book Antiqua" w:cs="Arial"/>
          <w:i/>
        </w:rPr>
        <w:t>Devaseelan</w:t>
      </w:r>
      <w:proofErr w:type="spellEnd"/>
      <w:r w:rsidR="009A73B1" w:rsidRPr="00D87C25">
        <w:rPr>
          <w:rFonts w:ascii="Book Antiqua" w:hAnsi="Book Antiqua" w:cs="Arial"/>
          <w:i/>
        </w:rPr>
        <w:t xml:space="preserve"> </w:t>
      </w:r>
      <w:r w:rsidR="009A73B1" w:rsidRPr="00E54435">
        <w:rPr>
          <w:rFonts w:ascii="Book Antiqua" w:hAnsi="Book Antiqua"/>
          <w:color w:val="000000"/>
        </w:rPr>
        <w:t>[2002] UKIAT 00702</w:t>
      </w:r>
      <w:r w:rsidR="009A73B1" w:rsidRPr="009A73B1">
        <w:rPr>
          <w:rFonts w:ascii="Book Antiqua" w:hAnsi="Book Antiqua"/>
          <w:color w:val="000000"/>
        </w:rPr>
        <w:t>. Ms Peterson, in her submissions, relied upon her lengthy skeleton argument which addressed the four grounds of challenge and submitted that</w:t>
      </w:r>
      <w:r w:rsidR="009A73B1">
        <w:rPr>
          <w:rFonts w:ascii="Book Antiqua" w:hAnsi="Book Antiqua"/>
          <w:color w:val="000000"/>
        </w:rPr>
        <w:t xml:space="preserve"> the judge had properly followed the principles in </w:t>
      </w:r>
      <w:proofErr w:type="spellStart"/>
      <w:r w:rsidR="009A73B1" w:rsidRPr="00D87C25">
        <w:rPr>
          <w:rFonts w:ascii="Book Antiqua" w:hAnsi="Book Antiqua"/>
          <w:i/>
          <w:color w:val="000000"/>
        </w:rPr>
        <w:t>Devaseelan</w:t>
      </w:r>
      <w:proofErr w:type="spellEnd"/>
      <w:r w:rsidR="009A73B1">
        <w:rPr>
          <w:rFonts w:ascii="Book Antiqua" w:hAnsi="Book Antiqua"/>
          <w:color w:val="000000"/>
        </w:rPr>
        <w:t>, that</w:t>
      </w:r>
      <w:r w:rsidR="00DD2359">
        <w:rPr>
          <w:rFonts w:ascii="Book Antiqua" w:hAnsi="Book Antiqua"/>
          <w:color w:val="000000"/>
        </w:rPr>
        <w:t xml:space="preserve"> the judge’s findings on persistent offending were consistent with the medical evidence which supported the view that the appellant’s offending was linked to his mental health problems </w:t>
      </w:r>
      <w:r w:rsidR="00B03FF2">
        <w:rPr>
          <w:rFonts w:ascii="Book Antiqua" w:hAnsi="Book Antiqua"/>
          <w:color w:val="000000"/>
        </w:rPr>
        <w:t>and that those problems were</w:t>
      </w:r>
      <w:r w:rsidR="00DD2359">
        <w:rPr>
          <w:rFonts w:ascii="Book Antiqua" w:hAnsi="Book Antiqua"/>
          <w:color w:val="000000"/>
        </w:rPr>
        <w:t xml:space="preserve"> currently </w:t>
      </w:r>
      <w:r w:rsidR="00574E21">
        <w:rPr>
          <w:rFonts w:ascii="Book Antiqua" w:hAnsi="Book Antiqua"/>
          <w:color w:val="000000"/>
        </w:rPr>
        <w:t xml:space="preserve">successfully </w:t>
      </w:r>
      <w:r w:rsidR="00DD2359">
        <w:rPr>
          <w:rFonts w:ascii="Book Antiqua" w:hAnsi="Book Antiqua"/>
          <w:color w:val="000000"/>
        </w:rPr>
        <w:t>being treated, and that the judge’s findings on integration in the UK and Kenya were sustainable.</w:t>
      </w:r>
    </w:p>
    <w:p w:rsidR="009A73B1" w:rsidRPr="009A73B1" w:rsidRDefault="009A73B1" w:rsidP="009A73B1">
      <w:pPr>
        <w:pStyle w:val="ListParagraph"/>
        <w:rPr>
          <w:rFonts w:ascii="Book Antiqua" w:hAnsi="Book Antiqua"/>
          <w:color w:val="000000"/>
        </w:rPr>
      </w:pPr>
    </w:p>
    <w:p w:rsidR="004A7C4C" w:rsidRDefault="00DD2359" w:rsidP="0058585A">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602E69">
        <w:rPr>
          <w:rFonts w:ascii="Book Antiqua" w:hAnsi="Book Antiqua"/>
          <w:color w:val="000000"/>
        </w:rPr>
        <w:t>We</w:t>
      </w:r>
      <w:r w:rsidR="0083635E" w:rsidRPr="00602E69">
        <w:rPr>
          <w:rFonts w:ascii="Book Antiqua" w:hAnsi="Book Antiqua" w:cs="Arial"/>
        </w:rPr>
        <w:t xml:space="preserve"> advised the parties that </w:t>
      </w:r>
      <w:r w:rsidR="00B03FF2" w:rsidRPr="00602E69">
        <w:rPr>
          <w:rFonts w:ascii="Book Antiqua" w:hAnsi="Book Antiqua" w:cs="Arial"/>
        </w:rPr>
        <w:t xml:space="preserve">in </w:t>
      </w:r>
      <w:r w:rsidRPr="00602E69">
        <w:rPr>
          <w:rFonts w:ascii="Book Antiqua" w:hAnsi="Book Antiqua" w:cs="Arial"/>
        </w:rPr>
        <w:t>our</w:t>
      </w:r>
      <w:r w:rsidR="0083635E" w:rsidRPr="00602E69">
        <w:rPr>
          <w:rFonts w:ascii="Book Antiqua" w:hAnsi="Book Antiqua" w:cs="Arial"/>
        </w:rPr>
        <w:t xml:space="preserve"> view</w:t>
      </w:r>
      <w:r w:rsidRPr="00602E69">
        <w:rPr>
          <w:rFonts w:ascii="Book Antiqua" w:hAnsi="Book Antiqua" w:cs="Arial"/>
        </w:rPr>
        <w:t xml:space="preserve"> </w:t>
      </w:r>
      <w:r w:rsidR="0083635E" w:rsidRPr="00602E69">
        <w:rPr>
          <w:rFonts w:ascii="Book Antiqua" w:hAnsi="Book Antiqua" w:cs="Arial"/>
        </w:rPr>
        <w:t>the judge</w:t>
      </w:r>
      <w:r w:rsidRPr="00602E69">
        <w:rPr>
          <w:rFonts w:ascii="Book Antiqua" w:hAnsi="Book Antiqua" w:cs="Arial"/>
        </w:rPr>
        <w:t xml:space="preserve"> had made errors of law in her decision and that the</w:t>
      </w:r>
      <w:r w:rsidR="0083635E" w:rsidRPr="00602E69">
        <w:rPr>
          <w:rFonts w:ascii="Book Antiqua" w:hAnsi="Book Antiqua" w:cs="Arial"/>
        </w:rPr>
        <w:t xml:space="preserve"> decision could not stand and had to be </w:t>
      </w:r>
      <w:r w:rsidRPr="00602E69">
        <w:rPr>
          <w:rFonts w:ascii="Book Antiqua" w:hAnsi="Book Antiqua" w:cs="Arial"/>
        </w:rPr>
        <w:t>set aside</w:t>
      </w:r>
      <w:r w:rsidR="0083635E" w:rsidRPr="00602E69">
        <w:rPr>
          <w:rFonts w:ascii="Book Antiqua" w:hAnsi="Book Antiqua" w:cs="Arial"/>
        </w:rPr>
        <w:t>.</w:t>
      </w:r>
    </w:p>
    <w:p w:rsidR="00650F48" w:rsidRPr="00602E69" w:rsidRDefault="00650F48" w:rsidP="00650F48">
      <w:pPr>
        <w:tabs>
          <w:tab w:val="left" w:pos="0"/>
          <w:tab w:val="left" w:pos="360"/>
        </w:tabs>
        <w:overflowPunct w:val="0"/>
        <w:autoSpaceDE w:val="0"/>
        <w:autoSpaceDN w:val="0"/>
        <w:adjustRightInd w:val="0"/>
        <w:jc w:val="both"/>
        <w:textAlignment w:val="baseline"/>
        <w:rPr>
          <w:rFonts w:ascii="Book Antiqua" w:hAnsi="Book Antiqua" w:cs="Arial"/>
        </w:rPr>
      </w:pPr>
    </w:p>
    <w:p w:rsidR="004A7C4C" w:rsidRPr="001B618F" w:rsidRDefault="004A7C4C" w:rsidP="0097675F">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97675F">
        <w:rPr>
          <w:rFonts w:ascii="Book Antiqua" w:hAnsi="Book Antiqua" w:cs="Arial"/>
        </w:rPr>
        <w:t>Section 117C of the Nationality, Immigration</w:t>
      </w:r>
      <w:r w:rsidRPr="001B618F">
        <w:rPr>
          <w:rFonts w:ascii="Book Antiqua" w:hAnsi="Book Antiqua" w:cs="Arial"/>
        </w:rPr>
        <w:t xml:space="preserve"> and Asylum Act 2002 (“the 2002 Act”) provides that the deportation of foreign criminals is in the public interest. Foreign criminals include a persistent offender (see section 117D of the 2002) which should be interpreted as a persistent offender who shows a particular disregard for the law as explained in </w:t>
      </w:r>
      <w:proofErr w:type="spellStart"/>
      <w:r w:rsidRPr="001B618F">
        <w:rPr>
          <w:rFonts w:ascii="Book Antiqua" w:hAnsi="Book Antiqua" w:cs="Arial"/>
          <w:i/>
        </w:rPr>
        <w:t>Chege</w:t>
      </w:r>
      <w:proofErr w:type="spellEnd"/>
      <w:r w:rsidRPr="001B618F">
        <w:rPr>
          <w:rFonts w:ascii="Book Antiqua" w:hAnsi="Book Antiqua" w:cs="Arial"/>
          <w:i/>
        </w:rPr>
        <w:t xml:space="preserve"> v Secretary of State for the Home Department</w:t>
      </w:r>
      <w:r w:rsidRPr="001B618F">
        <w:rPr>
          <w:rFonts w:ascii="Book Antiqua" w:hAnsi="Book Antiqua" w:cs="Arial"/>
        </w:rPr>
        <w:t xml:space="preserve"> [2016] UKUT 00187.  In</w:t>
      </w:r>
      <w:r>
        <w:rPr>
          <w:rFonts w:ascii="Book Antiqua" w:hAnsi="Book Antiqua" w:cs="Arial"/>
        </w:rPr>
        <w:t xml:space="preserve"> such</w:t>
      </w:r>
      <w:r w:rsidRPr="0097675F">
        <w:rPr>
          <w:rFonts w:ascii="Book Antiqua" w:hAnsi="Book Antiqua" w:cs="Arial"/>
        </w:rPr>
        <w:t xml:space="preserve"> cases, the public interest requires deportation unless the exception</w:t>
      </w:r>
      <w:r w:rsidRPr="001B618F">
        <w:rPr>
          <w:rFonts w:ascii="Book Antiqua" w:hAnsi="Book Antiqua" w:cs="Arial"/>
        </w:rPr>
        <w:t>s in section 117(C) of the 2002 Act</w:t>
      </w:r>
      <w:r w:rsidR="000A729E">
        <w:rPr>
          <w:rFonts w:ascii="Book Antiqua" w:hAnsi="Book Antiqua" w:cs="Arial"/>
        </w:rPr>
        <w:t xml:space="preserve"> apply</w:t>
      </w:r>
      <w:r w:rsidRPr="001B618F">
        <w:rPr>
          <w:rFonts w:ascii="Book Antiqua" w:hAnsi="Book Antiqua" w:cs="Arial"/>
        </w:rPr>
        <w:t>. The position is reflected in Rules 398 to 399B of the Immigration Rules. The relevant exception is reflected in rule 399A, and requires that the person has been lawfully resident in the UK for most of his life, he is socially and culturally integrated in the UK, and there would not be very significant obstacles to his integration into the country to which he is to be deported.</w:t>
      </w:r>
    </w:p>
    <w:p w:rsidR="004A7C4C" w:rsidRDefault="004A7C4C" w:rsidP="004A7C4C">
      <w:pPr>
        <w:pStyle w:val="ListParagraph"/>
        <w:rPr>
          <w:rFonts w:ascii="Book Antiqua" w:hAnsi="Book Antiqua" w:cs="Arial"/>
        </w:rPr>
      </w:pPr>
    </w:p>
    <w:p w:rsidR="002536A5" w:rsidRPr="00782461" w:rsidRDefault="004A7C4C" w:rsidP="001B618F">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1B618F">
        <w:rPr>
          <w:rFonts w:ascii="Book Antiqua" w:hAnsi="Book Antiqua" w:cs="Arial"/>
        </w:rPr>
        <w:t xml:space="preserve">We consider that the judge failed to provide adequate justification for her conclusion that the appellant was no longer to be classed as a persistent offender given his lengthy history of offending, irrespective of the reasons for his offending. That is particularly relevant when some of the offending had occurred at a time when he had not been diagnosed with any mental health problems and where the evidence that he was mentally unwell </w:t>
      </w:r>
      <w:r w:rsidR="002536A5" w:rsidRPr="001B618F">
        <w:rPr>
          <w:rFonts w:ascii="Book Antiqua" w:hAnsi="Book Antiqua" w:cs="Arial"/>
        </w:rPr>
        <w:t xml:space="preserve">for most of the period of offending </w:t>
      </w:r>
      <w:r w:rsidRPr="001B618F">
        <w:rPr>
          <w:rFonts w:ascii="Book Antiqua" w:hAnsi="Book Antiqua" w:cs="Arial"/>
        </w:rPr>
        <w:t xml:space="preserve">was largely speculative. </w:t>
      </w:r>
      <w:r w:rsidR="00CF5338" w:rsidRPr="001B618F">
        <w:rPr>
          <w:rFonts w:ascii="Book Antiqua" w:hAnsi="Book Antiqua" w:cs="Arial"/>
        </w:rPr>
        <w:t xml:space="preserve">Nor do we understand the basis for the judge’s conclusion that the appellant was “self-medicating, using an illicit drug to assist him in managing the manic phases” of his condition. </w:t>
      </w:r>
      <w:r w:rsidR="001B6FA0" w:rsidRPr="001B618F">
        <w:rPr>
          <w:rFonts w:ascii="Book Antiqua" w:hAnsi="Book Antiqua" w:cs="Arial"/>
        </w:rPr>
        <w:t xml:space="preserve">We also </w:t>
      </w:r>
      <w:r w:rsidR="002536A5" w:rsidRPr="001B618F">
        <w:rPr>
          <w:rFonts w:ascii="Book Antiqua" w:hAnsi="Book Antiqua" w:cs="Arial"/>
        </w:rPr>
        <w:t>agree with the submission</w:t>
      </w:r>
      <w:r w:rsidR="001B6FA0" w:rsidRPr="001B618F">
        <w:rPr>
          <w:rFonts w:ascii="Book Antiqua" w:hAnsi="Book Antiqua" w:cs="Arial"/>
        </w:rPr>
        <w:t xml:space="preserve"> in the respondent’s grounds that there was a failure to consider whether sufficient time had elapsed since the appellant’s last offending in order that he could be considered as being rehabilitated.   </w:t>
      </w:r>
    </w:p>
    <w:p w:rsidR="005A3EFC" w:rsidRPr="00870797" w:rsidRDefault="005A3EFC" w:rsidP="005A3EFC">
      <w:pPr>
        <w:tabs>
          <w:tab w:val="left" w:pos="0"/>
          <w:tab w:val="left" w:pos="360"/>
        </w:tabs>
        <w:overflowPunct w:val="0"/>
        <w:autoSpaceDE w:val="0"/>
        <w:autoSpaceDN w:val="0"/>
        <w:adjustRightInd w:val="0"/>
        <w:jc w:val="both"/>
        <w:textAlignment w:val="baseline"/>
        <w:rPr>
          <w:rFonts w:ascii="Book Antiqua" w:hAnsi="Book Antiqua" w:cs="Arial"/>
        </w:rPr>
      </w:pPr>
    </w:p>
    <w:p w:rsidR="00DB6496" w:rsidRDefault="001B6FA0" w:rsidP="00DB6496">
      <w:pPr>
        <w:numPr>
          <w:ilvl w:val="2"/>
          <w:numId w:val="1"/>
        </w:num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 xml:space="preserve">The judge </w:t>
      </w:r>
      <w:r w:rsidR="00DB6496">
        <w:rPr>
          <w:rFonts w:ascii="Book Antiqua" w:hAnsi="Book Antiqua" w:cs="Arial"/>
        </w:rPr>
        <w:t xml:space="preserve">did go on to </w:t>
      </w:r>
      <w:r>
        <w:rPr>
          <w:rFonts w:ascii="Book Antiqua" w:hAnsi="Book Antiqua" w:cs="Arial"/>
        </w:rPr>
        <w:t>consider whether th</w:t>
      </w:r>
      <w:r w:rsidR="00DB6496">
        <w:rPr>
          <w:rFonts w:ascii="Book Antiqua" w:hAnsi="Book Antiqua" w:cs="Arial"/>
        </w:rPr>
        <w:t>e appellant</w:t>
      </w:r>
      <w:r>
        <w:rPr>
          <w:rFonts w:ascii="Book Antiqua" w:hAnsi="Book Antiqua" w:cs="Arial"/>
        </w:rPr>
        <w:t xml:space="preserve"> satisf</w:t>
      </w:r>
      <w:r w:rsidR="00DB6496">
        <w:rPr>
          <w:rFonts w:ascii="Book Antiqua" w:hAnsi="Book Antiqua" w:cs="Arial"/>
        </w:rPr>
        <w:t xml:space="preserve">ied </w:t>
      </w:r>
      <w:r>
        <w:rPr>
          <w:rFonts w:ascii="Book Antiqua" w:hAnsi="Book Antiqua" w:cs="Arial"/>
        </w:rPr>
        <w:t>the conditions in the</w:t>
      </w:r>
    </w:p>
    <w:p w:rsidR="00DB6496" w:rsidRDefault="001B6FA0"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 xml:space="preserve">exception, lest she be wrong in her conclusion that the appellant was not a persistent offender. We therefore consider whether her conclusion that the exception was satisfied was flawed as a matter of law. </w:t>
      </w:r>
    </w:p>
    <w:p w:rsidR="00DB6496" w:rsidRDefault="00DB6496" w:rsidP="00DB6496">
      <w:pPr>
        <w:tabs>
          <w:tab w:val="left" w:pos="0"/>
          <w:tab w:val="left" w:pos="360"/>
        </w:tabs>
        <w:overflowPunct w:val="0"/>
        <w:autoSpaceDE w:val="0"/>
        <w:autoSpaceDN w:val="0"/>
        <w:adjustRightInd w:val="0"/>
        <w:jc w:val="both"/>
        <w:textAlignment w:val="baseline"/>
        <w:rPr>
          <w:rFonts w:ascii="Book Antiqua" w:hAnsi="Book Antiqua" w:cs="Arial"/>
        </w:rPr>
      </w:pPr>
    </w:p>
    <w:p w:rsidR="002110F1" w:rsidRDefault="00DB6496"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15</w:t>
      </w:r>
      <w:r>
        <w:rPr>
          <w:rFonts w:ascii="Book Antiqua" w:hAnsi="Book Antiqua" w:cs="Arial"/>
        </w:rPr>
        <w:tab/>
      </w:r>
      <w:r w:rsidR="001B6FA0" w:rsidRPr="001B618F">
        <w:rPr>
          <w:rFonts w:ascii="Book Antiqua" w:hAnsi="Book Antiqua" w:cs="Arial"/>
        </w:rPr>
        <w:t xml:space="preserve">First, </w:t>
      </w:r>
      <w:r>
        <w:rPr>
          <w:rFonts w:ascii="Book Antiqua" w:hAnsi="Book Antiqua" w:cs="Arial"/>
        </w:rPr>
        <w:t>w</w:t>
      </w:r>
      <w:r w:rsidR="00B34299" w:rsidRPr="001B618F">
        <w:rPr>
          <w:rFonts w:ascii="Book Antiqua" w:hAnsi="Book Antiqua" w:cs="Arial"/>
        </w:rPr>
        <w:t xml:space="preserve">e </w:t>
      </w:r>
      <w:r>
        <w:rPr>
          <w:rFonts w:ascii="Book Antiqua" w:hAnsi="Book Antiqua" w:cs="Arial"/>
        </w:rPr>
        <w:t xml:space="preserve">agree with the </w:t>
      </w:r>
      <w:r w:rsidR="00B34299" w:rsidRPr="001B618F">
        <w:rPr>
          <w:rFonts w:ascii="Book Antiqua" w:hAnsi="Book Antiqua" w:cs="Arial"/>
        </w:rPr>
        <w:t>submission made by Ms Ahmad that, whilst the judge had regard to the decision of Judge Williams</w:t>
      </w:r>
      <w:r w:rsidR="00B03FF2" w:rsidRPr="001B618F">
        <w:rPr>
          <w:rFonts w:ascii="Book Antiqua" w:hAnsi="Book Antiqua" w:cs="Arial"/>
        </w:rPr>
        <w:t>, she</w:t>
      </w:r>
      <w:r w:rsidR="00B34299" w:rsidRPr="001B618F">
        <w:rPr>
          <w:rFonts w:ascii="Book Antiqua" w:hAnsi="Book Antiqua" w:cs="Arial"/>
        </w:rPr>
        <w:t xml:space="preserve"> did not </w:t>
      </w:r>
      <w:r w:rsidR="00E959CA" w:rsidRPr="001B618F">
        <w:rPr>
          <w:rFonts w:ascii="Book Antiqua" w:hAnsi="Book Antiqua" w:cs="Arial"/>
        </w:rPr>
        <w:t>give proper scrutiny to the new evidence in the light of the significantly adverse findings made</w:t>
      </w:r>
      <w:r w:rsidR="00FA58AB" w:rsidRPr="001B618F">
        <w:rPr>
          <w:rFonts w:ascii="Book Antiqua" w:hAnsi="Book Antiqua" w:cs="Arial"/>
        </w:rPr>
        <w:t xml:space="preserve"> by Judge Williams</w:t>
      </w:r>
      <w:r w:rsidR="00E959CA" w:rsidRPr="001B618F">
        <w:rPr>
          <w:rFonts w:ascii="Book Antiqua" w:hAnsi="Book Antiqua" w:cs="Arial"/>
        </w:rPr>
        <w:t xml:space="preserve">. In particular the judge placed great emphasis upon the support the appellant’s family provided to the appellant in the UK and the impact of the loss of their support on return to Kenya, yet failed to give anything other than a passing consideration to the previous lack of support from the family and the fact that they did not even attend the appellant’s deportation hearing before Judge Williams. </w:t>
      </w:r>
    </w:p>
    <w:p w:rsidR="00FA58AB" w:rsidRPr="0097675F" w:rsidRDefault="00FA58AB" w:rsidP="0097675F">
      <w:pPr>
        <w:tabs>
          <w:tab w:val="left" w:pos="0"/>
          <w:tab w:val="left" w:pos="360"/>
        </w:tabs>
        <w:overflowPunct w:val="0"/>
        <w:autoSpaceDE w:val="0"/>
        <w:autoSpaceDN w:val="0"/>
        <w:adjustRightInd w:val="0"/>
        <w:jc w:val="both"/>
        <w:textAlignment w:val="baseline"/>
        <w:rPr>
          <w:rFonts w:ascii="Book Antiqua" w:hAnsi="Book Antiqua" w:cs="Arial"/>
        </w:rPr>
      </w:pPr>
    </w:p>
    <w:p w:rsidR="002110F1" w:rsidRPr="00FA58AB" w:rsidRDefault="00DB6496"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16</w:t>
      </w:r>
      <w:r>
        <w:rPr>
          <w:rFonts w:ascii="Book Antiqua" w:hAnsi="Book Antiqua" w:cs="Arial"/>
        </w:rPr>
        <w:tab/>
      </w:r>
      <w:r w:rsidR="002110F1" w:rsidRPr="0097675F">
        <w:rPr>
          <w:rFonts w:ascii="Book Antiqua" w:hAnsi="Book Antiqua" w:cs="Arial"/>
        </w:rPr>
        <w:t xml:space="preserve">We </w:t>
      </w:r>
      <w:r>
        <w:rPr>
          <w:rFonts w:ascii="Book Antiqua" w:hAnsi="Book Antiqua" w:cs="Arial"/>
        </w:rPr>
        <w:t xml:space="preserve">also </w:t>
      </w:r>
      <w:r w:rsidR="002110F1" w:rsidRPr="0097675F">
        <w:rPr>
          <w:rFonts w:ascii="Book Antiqua" w:hAnsi="Book Antiqua" w:cs="Arial"/>
        </w:rPr>
        <w:t>consider that the respondent’s</w:t>
      </w:r>
      <w:r w:rsidR="002110F1" w:rsidRPr="001B618F">
        <w:rPr>
          <w:rFonts w:ascii="Book Antiqua" w:hAnsi="Book Antiqua" w:cs="Arial"/>
        </w:rPr>
        <w:t xml:space="preserve"> challenge to the judge’s findings on </w:t>
      </w:r>
      <w:r>
        <w:rPr>
          <w:rFonts w:ascii="Book Antiqua" w:hAnsi="Book Antiqua" w:cs="Arial"/>
        </w:rPr>
        <w:t xml:space="preserve">whether there are </w:t>
      </w:r>
      <w:r w:rsidR="002110F1" w:rsidRPr="001B618F">
        <w:rPr>
          <w:rFonts w:ascii="Book Antiqua" w:hAnsi="Book Antiqua" w:cs="Arial"/>
        </w:rPr>
        <w:t xml:space="preserve">very significant obstacles to integration in Kenya is well-founded. Section 117C(4)(c) of the 2002 Act, and the relevant </w:t>
      </w:r>
      <w:r>
        <w:rPr>
          <w:rFonts w:ascii="Book Antiqua" w:hAnsi="Book Antiqua" w:cs="Arial"/>
        </w:rPr>
        <w:t xml:space="preserve">immigration </w:t>
      </w:r>
      <w:r w:rsidR="002110F1" w:rsidRPr="001B618F">
        <w:rPr>
          <w:rFonts w:ascii="Book Antiqua" w:hAnsi="Book Antiqua" w:cs="Arial"/>
        </w:rPr>
        <w:t xml:space="preserve">rule, requires consideration of whether there “would be very significant obstacles to [the appellant’s] integration into the </w:t>
      </w:r>
      <w:r w:rsidR="002110F1" w:rsidRPr="001B618F">
        <w:rPr>
          <w:rFonts w:ascii="Book Antiqua" w:hAnsi="Book Antiqua" w:cs="Arial"/>
        </w:rPr>
        <w:lastRenderedPageBreak/>
        <w:t>country to which C is proposed to be deported”. The judge did not address that test. The judge considered, at paragraph 29 that the central feature of the case was the impact on the appellant o</w:t>
      </w:r>
      <w:r>
        <w:rPr>
          <w:rFonts w:ascii="Book Antiqua" w:hAnsi="Book Antiqua" w:cs="Arial"/>
        </w:rPr>
        <w:t>f</w:t>
      </w:r>
      <w:r w:rsidR="002110F1" w:rsidRPr="001B618F">
        <w:rPr>
          <w:rFonts w:ascii="Book Antiqua" w:hAnsi="Book Antiqua" w:cs="Arial"/>
        </w:rPr>
        <w:t xml:space="preserve"> removal from his family and returning to Kenya to live alone. Although there is one reference to very significant obstacles, it is clear fr</w:t>
      </w:r>
      <w:r>
        <w:rPr>
          <w:rFonts w:ascii="Book Antiqua" w:hAnsi="Book Antiqua" w:cs="Arial"/>
        </w:rPr>
        <w:t>o</w:t>
      </w:r>
      <w:r w:rsidR="002110F1" w:rsidRPr="001B618F">
        <w:rPr>
          <w:rFonts w:ascii="Book Antiqua" w:hAnsi="Book Antiqua" w:cs="Arial"/>
        </w:rPr>
        <w:t xml:space="preserve">m paragraph 29, and the judgment as a whole, that the judge was focussing on the impact on the appellant of leaving the United Kingdom. That is not what section 117C(4)(c) of the 2002 Act is focussing upon. </w:t>
      </w:r>
      <w:r w:rsidR="002110F1">
        <w:rPr>
          <w:rFonts w:ascii="Book Antiqua" w:hAnsi="Book Antiqua" w:cs="Arial"/>
        </w:rPr>
        <w:t xml:space="preserve">We </w:t>
      </w:r>
      <w:r w:rsidR="002110F1" w:rsidRPr="0097675F">
        <w:rPr>
          <w:rFonts w:ascii="Book Antiqua" w:hAnsi="Book Antiqua" w:cs="Arial"/>
        </w:rPr>
        <w:t>agree with Ms Ahmad that the judge’s assessment of the matter</w:t>
      </w:r>
      <w:r w:rsidR="002110F1" w:rsidRPr="001B618F">
        <w:rPr>
          <w:rFonts w:ascii="Book Antiqua" w:hAnsi="Book Antiqua" w:cs="Arial"/>
        </w:rPr>
        <w:t xml:space="preserve"> was limited to the impact on the appellant of returning to Kenya rather than a holistic assessment of all the circumstances relevant to integration such as those considered by Judge Williams at [53] of his decision</w:t>
      </w:r>
      <w:r w:rsidR="002110F1">
        <w:rPr>
          <w:rFonts w:ascii="Book Antiqua" w:hAnsi="Book Antiqua" w:cs="Arial"/>
        </w:rPr>
        <w:t xml:space="preserve">, the fact that the relevant medical treatment was available in Kenya, </w:t>
      </w:r>
      <w:r w:rsidR="002110F1" w:rsidRPr="0097675F">
        <w:rPr>
          <w:rFonts w:ascii="Book Antiqua" w:hAnsi="Book Antiqua" w:cs="Arial"/>
        </w:rPr>
        <w:t xml:space="preserve"> and a consideration of the possibility of his family members accompanying him to Kenya to assist with his integration</w:t>
      </w:r>
      <w:r w:rsidR="002110F1">
        <w:rPr>
          <w:rFonts w:ascii="Book Antiqua" w:hAnsi="Book Antiqua" w:cs="Arial"/>
        </w:rPr>
        <w:t xml:space="preserve"> or providing support by other means.  </w:t>
      </w:r>
      <w:r w:rsidR="002110F1" w:rsidRPr="0097675F">
        <w:rPr>
          <w:rFonts w:ascii="Book Antiqua" w:hAnsi="Book Antiqua" w:cs="Arial"/>
        </w:rPr>
        <w:t>W</w:t>
      </w:r>
      <w:r w:rsidR="00FD3013" w:rsidRPr="001B618F">
        <w:rPr>
          <w:rFonts w:ascii="Book Antiqua" w:hAnsi="Book Antiqua" w:cs="Arial"/>
        </w:rPr>
        <w:t>e consider there to be less merit in the assertion in the grounds that the judge was not entitled to find that the appellant was socially and culturally integrated in the UK</w:t>
      </w:r>
      <w:r w:rsidR="002110F1" w:rsidRPr="001B618F">
        <w:rPr>
          <w:rFonts w:ascii="Book Antiqua" w:hAnsi="Book Antiqua" w:cs="Arial"/>
        </w:rPr>
        <w:t xml:space="preserve"> and we would not have allowed the appeal on that ground. We understand that</w:t>
      </w:r>
      <w:r w:rsidR="002110F1">
        <w:rPr>
          <w:rFonts w:ascii="Book Antiqua" w:hAnsi="Book Antiqua" w:cs="Arial"/>
        </w:rPr>
        <w:t xml:space="preserve"> it is accepted </w:t>
      </w:r>
      <w:r w:rsidR="00EE7016">
        <w:rPr>
          <w:rFonts w:ascii="Book Antiqua" w:hAnsi="Book Antiqua" w:cs="Arial"/>
        </w:rPr>
        <w:t xml:space="preserve">that </w:t>
      </w:r>
      <w:r w:rsidR="00EE7016" w:rsidRPr="0097675F">
        <w:rPr>
          <w:rFonts w:ascii="Book Antiqua" w:hAnsi="Book Antiqua" w:cs="Arial"/>
        </w:rPr>
        <w:t>the</w:t>
      </w:r>
      <w:r w:rsidR="002110F1" w:rsidRPr="0097675F">
        <w:rPr>
          <w:rFonts w:ascii="Book Antiqua" w:hAnsi="Book Antiqua" w:cs="Arial"/>
        </w:rPr>
        <w:t xml:space="preserve"> first limb of the ex</w:t>
      </w:r>
      <w:r w:rsidR="002110F1">
        <w:rPr>
          <w:rFonts w:ascii="Book Antiqua" w:hAnsi="Book Antiqua" w:cs="Arial"/>
        </w:rPr>
        <w:t xml:space="preserve">ception (that the appellant has been lawfully in the United Kingdom for most of his life) is satisfied. </w:t>
      </w:r>
    </w:p>
    <w:p w:rsidR="00B34299" w:rsidRPr="0097675F" w:rsidRDefault="00B34299" w:rsidP="001B618F">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B655AC" w:rsidRDefault="00DB6496"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 xml:space="preserve">17 </w:t>
      </w:r>
      <w:r w:rsidR="00FD3013">
        <w:rPr>
          <w:rFonts w:ascii="Book Antiqua" w:hAnsi="Book Antiqua" w:cs="Arial"/>
        </w:rPr>
        <w:t xml:space="preserve">For all of these reasons we consider that the judge’s decision is inadequately reasoned and </w:t>
      </w:r>
      <w:r w:rsidR="00B655AC">
        <w:rPr>
          <w:rFonts w:ascii="Book Antiqua" w:hAnsi="Book Antiqua" w:cs="Arial"/>
        </w:rPr>
        <w:t xml:space="preserve">is materially flawed. We therefore </w:t>
      </w:r>
      <w:r w:rsidR="00922D9A" w:rsidRPr="00B655AC">
        <w:rPr>
          <w:rFonts w:ascii="Book Antiqua" w:hAnsi="Book Antiqua" w:cs="Arial"/>
        </w:rPr>
        <w:t>set aside</w:t>
      </w:r>
      <w:r w:rsidR="00B655AC">
        <w:rPr>
          <w:rFonts w:ascii="Book Antiqua" w:hAnsi="Book Antiqua" w:cs="Arial"/>
        </w:rPr>
        <w:t xml:space="preserve"> the decision</w:t>
      </w:r>
      <w:r w:rsidR="00922D9A" w:rsidRPr="00B655AC">
        <w:rPr>
          <w:rFonts w:ascii="Book Antiqua" w:hAnsi="Book Antiqua" w:cs="Arial"/>
        </w:rPr>
        <w:t xml:space="preserve"> in its entirety. </w:t>
      </w:r>
      <w:r w:rsidR="00B655AC">
        <w:rPr>
          <w:rFonts w:ascii="Book Antiqua" w:hAnsi="Book Antiqua" w:cs="Arial"/>
        </w:rPr>
        <w:t>Both parties agreed that, in such circumstances, t</w:t>
      </w:r>
      <w:r w:rsidR="00922D9A" w:rsidRPr="00B655AC">
        <w:rPr>
          <w:rFonts w:ascii="Book Antiqua" w:hAnsi="Book Antiqua" w:cs="Arial"/>
        </w:rPr>
        <w:t>he appropriate course</w:t>
      </w:r>
      <w:r w:rsidR="00B655AC">
        <w:rPr>
          <w:rFonts w:ascii="Book Antiqua" w:hAnsi="Book Antiqua" w:cs="Arial"/>
        </w:rPr>
        <w:t xml:space="preserve"> would be for</w:t>
      </w:r>
      <w:r w:rsidR="00922D9A" w:rsidRPr="00B655AC">
        <w:rPr>
          <w:rFonts w:ascii="Book Antiqua" w:hAnsi="Book Antiqua" w:cs="Arial"/>
        </w:rPr>
        <w:t xml:space="preserve"> the matter to be remitted to the First-tier Tribunal to be heard afresh.</w:t>
      </w:r>
    </w:p>
    <w:p w:rsidR="00922D9A" w:rsidRDefault="00922D9A"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9C5B26" w:rsidRDefault="00922D9A" w:rsidP="00922D9A">
      <w:pPr>
        <w:tabs>
          <w:tab w:val="left" w:pos="360"/>
        </w:tabs>
        <w:overflowPunct w:val="0"/>
        <w:autoSpaceDE w:val="0"/>
        <w:autoSpaceDN w:val="0"/>
        <w:adjustRightInd w:val="0"/>
        <w:jc w:val="both"/>
        <w:textAlignment w:val="baseline"/>
        <w:rPr>
          <w:rFonts w:ascii="Book Antiqua" w:hAnsi="Book Antiqua"/>
          <w:b/>
          <w:u w:val="single"/>
        </w:rPr>
      </w:pPr>
      <w:r w:rsidRPr="009C5B26">
        <w:rPr>
          <w:rFonts w:ascii="Book Antiqua" w:hAnsi="Book Antiqua"/>
          <w:b/>
          <w:u w:val="single"/>
        </w:rPr>
        <w:t>DECISION</w:t>
      </w:r>
    </w:p>
    <w:p w:rsidR="00922D9A" w:rsidRDefault="00922D9A"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2635B3" w:rsidRDefault="00DB6496"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rPr>
        <w:t>18</w:t>
      </w:r>
      <w:r w:rsidR="00650F48">
        <w:rPr>
          <w:rFonts w:ascii="Book Antiqua" w:hAnsi="Book Antiqua"/>
        </w:rPr>
        <w:t>.</w:t>
      </w:r>
      <w:r>
        <w:rPr>
          <w:rFonts w:ascii="Book Antiqua" w:hAnsi="Book Antiqua"/>
        </w:rPr>
        <w:t xml:space="preserve"> </w:t>
      </w:r>
      <w:r w:rsidR="00922D9A" w:rsidRPr="00AE0A04">
        <w:rPr>
          <w:rFonts w:ascii="Book Antiqua" w:hAnsi="Book Antiqua"/>
        </w:rPr>
        <w:t xml:space="preserve">The making of the decision of the First-tier Tribunal involved the making of an error on a point of law. The </w:t>
      </w:r>
      <w:r w:rsidR="00982AB1">
        <w:rPr>
          <w:rFonts w:ascii="Book Antiqua" w:hAnsi="Book Antiqua"/>
        </w:rPr>
        <w:t xml:space="preserve">Secretary of State’s appeal is allowed and the </w:t>
      </w:r>
      <w:r w:rsidR="00922D9A" w:rsidRPr="00AE0A04">
        <w:rPr>
          <w:rFonts w:ascii="Book Antiqua" w:hAnsi="Book Antiqua"/>
        </w:rPr>
        <w:t xml:space="preserve">decision is set aside. </w:t>
      </w:r>
    </w:p>
    <w:p w:rsidR="00DB6496" w:rsidRDefault="00DB6496" w:rsidP="00922D9A">
      <w:pPr>
        <w:tabs>
          <w:tab w:val="left" w:pos="0"/>
          <w:tab w:val="left" w:pos="360"/>
        </w:tabs>
        <w:overflowPunct w:val="0"/>
        <w:autoSpaceDE w:val="0"/>
        <w:autoSpaceDN w:val="0"/>
        <w:adjustRightInd w:val="0"/>
        <w:jc w:val="both"/>
        <w:textAlignment w:val="baseline"/>
        <w:rPr>
          <w:rFonts w:ascii="Book Antiqua" w:hAnsi="Book Antiqua" w:cs="Arial"/>
        </w:rPr>
      </w:pPr>
    </w:p>
    <w:p w:rsidR="00922D9A" w:rsidRPr="009F4530" w:rsidRDefault="00DB6496" w:rsidP="001B618F">
      <w:pPr>
        <w:tabs>
          <w:tab w:val="left" w:pos="0"/>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19.</w:t>
      </w:r>
      <w:r w:rsidR="00922D9A" w:rsidRPr="00AE0A04">
        <w:rPr>
          <w:rFonts w:ascii="Book Antiqua" w:hAnsi="Book Antiqua"/>
        </w:rPr>
        <w:t>The appeal is remitted to the First-tier Tribunal pursuant to section 12(2)(b)(</w:t>
      </w:r>
      <w:proofErr w:type="spellStart"/>
      <w:r w:rsidR="00922D9A" w:rsidRPr="00AE0A04">
        <w:rPr>
          <w:rFonts w:ascii="Book Antiqua" w:hAnsi="Book Antiqua"/>
        </w:rPr>
        <w:t>i</w:t>
      </w:r>
      <w:proofErr w:type="spellEnd"/>
      <w:r w:rsidR="00922D9A" w:rsidRPr="00AE0A04">
        <w:rPr>
          <w:rFonts w:ascii="Book Antiqua" w:hAnsi="Book Antiqua"/>
        </w:rPr>
        <w:t xml:space="preserve">) of the Tribunals, Courts and Enforcement Act 2007 and Practice Statement 7.2(b), </w:t>
      </w:r>
      <w:r w:rsidR="00782461">
        <w:rPr>
          <w:rFonts w:ascii="Book Antiqua" w:hAnsi="Book Antiqua"/>
        </w:rPr>
        <w:t xml:space="preserve">to be heard </w:t>
      </w:r>
      <w:r w:rsidR="00922D9A" w:rsidRPr="00AE0A04">
        <w:rPr>
          <w:rFonts w:ascii="Book Antiqua" w:hAnsi="Book Antiqua"/>
        </w:rPr>
        <w:t xml:space="preserve">before any judge </w:t>
      </w:r>
      <w:r w:rsidR="002110F1">
        <w:rPr>
          <w:rFonts w:ascii="Book Antiqua" w:hAnsi="Book Antiqua"/>
        </w:rPr>
        <w:t>other than J</w:t>
      </w:r>
      <w:r w:rsidR="00922D9A" w:rsidRPr="00AE0A04">
        <w:rPr>
          <w:rFonts w:ascii="Book Antiqua" w:hAnsi="Book Antiqua"/>
        </w:rPr>
        <w:t xml:space="preserve">udge </w:t>
      </w:r>
      <w:r w:rsidR="00922D9A">
        <w:rPr>
          <w:rFonts w:ascii="Book Antiqua" w:hAnsi="Book Antiqua"/>
        </w:rPr>
        <w:t>Clarke</w:t>
      </w:r>
      <w:r w:rsidR="00922D9A" w:rsidRPr="00AE0A04">
        <w:rPr>
          <w:rFonts w:ascii="Book Antiqua" w:hAnsi="Book Antiqua"/>
        </w:rPr>
        <w:t>.</w:t>
      </w:r>
    </w:p>
    <w:p w:rsidR="000A729E" w:rsidRDefault="000A729E" w:rsidP="0084487E">
      <w:pPr>
        <w:rPr>
          <w:rFonts w:ascii="Book Antiqua" w:hAnsi="Book Antiqua" w:cs="Arial"/>
        </w:rPr>
      </w:pPr>
    </w:p>
    <w:p w:rsidR="001F2716" w:rsidRPr="00324C69" w:rsidRDefault="00780F86" w:rsidP="0084487E">
      <w:pPr>
        <w:rPr>
          <w:rFonts w:ascii="Book Antiqua" w:hAnsi="Book Antiqua" w:cs="Arial"/>
        </w:rPr>
      </w:pPr>
      <w:r w:rsidRPr="00324C69">
        <w:rPr>
          <w:rFonts w:ascii="Book Antiqua" w:hAnsi="Book Antiqua" w:cs="Arial"/>
        </w:rPr>
        <w:t>Signed</w:t>
      </w:r>
      <w:r w:rsidR="0084487E">
        <w:rPr>
          <w:rFonts w:ascii="Book Antiqua" w:hAnsi="Book Antiqua" w:cs="Arial"/>
        </w:rPr>
        <w:t xml:space="preserve">:  </w:t>
      </w:r>
      <w:r w:rsidRPr="00324C69">
        <w:rPr>
          <w:rFonts w:ascii="Book Antiqua" w:hAnsi="Book Antiqua" w:cs="Arial"/>
        </w:rPr>
        <w:tab/>
      </w:r>
      <w:r w:rsidR="00EE7016" w:rsidRPr="005927AB">
        <w:rPr>
          <w:noProof/>
          <w:sz w:val="20"/>
          <w:szCs w:val="20"/>
        </w:rPr>
        <w:drawing>
          <wp:inline distT="0" distB="0" distL="0" distR="0">
            <wp:extent cx="1257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546100"/>
                    </a:xfrm>
                    <a:prstGeom prst="rect">
                      <a:avLst/>
                    </a:prstGeom>
                    <a:noFill/>
                    <a:ln>
                      <a:noFill/>
                    </a:ln>
                  </pic:spPr>
                </pic:pic>
              </a:graphicData>
            </a:graphic>
          </wp:inline>
        </w:drawing>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p>
    <w:p w:rsidR="00B95326" w:rsidRPr="00F97703" w:rsidRDefault="00640E33" w:rsidP="0084487E">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r>
        <w:rPr>
          <w:rFonts w:ascii="Book Antiqua" w:hAnsi="Book Antiqua" w:cs="Arial"/>
          <w:color w:val="000000"/>
        </w:rPr>
        <w:t>Kebede</w:t>
      </w:r>
      <w:r w:rsidR="004D2C44">
        <w:rPr>
          <w:rFonts w:ascii="Book Antiqua" w:hAnsi="Book Antiqua" w:cs="Arial"/>
          <w:color w:val="000000"/>
        </w:rPr>
        <w:t xml:space="preserve"> </w:t>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t xml:space="preserve">Dated: </w:t>
      </w:r>
      <w:r w:rsidR="00AA1726">
        <w:rPr>
          <w:rFonts w:ascii="Book Antiqua" w:hAnsi="Book Antiqua" w:cs="Arial"/>
          <w:color w:val="000000"/>
        </w:rPr>
        <w:t xml:space="preserve">20 </w:t>
      </w:r>
      <w:r w:rsidR="00B655AC">
        <w:rPr>
          <w:rFonts w:ascii="Book Antiqua" w:hAnsi="Book Antiqua" w:cs="Arial"/>
          <w:color w:val="000000"/>
        </w:rPr>
        <w:t>July 2018</w:t>
      </w:r>
    </w:p>
    <w:sectPr w:rsidR="00B95326" w:rsidRPr="00F97703"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759" w:rsidRDefault="002D5759">
      <w:r>
        <w:separator/>
      </w:r>
    </w:p>
  </w:endnote>
  <w:endnote w:type="continuationSeparator" w:id="0">
    <w:p w:rsidR="002D5759" w:rsidRDefault="002D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593795" w:rsidRDefault="00B655AC"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728AC">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090CF9" w:rsidRDefault="00B655AC"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759" w:rsidRDefault="002D5759">
      <w:r>
        <w:separator/>
      </w:r>
    </w:p>
  </w:footnote>
  <w:footnote w:type="continuationSeparator" w:id="0">
    <w:p w:rsidR="002D5759" w:rsidRDefault="002D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5AC" w:rsidRPr="003C5CE5" w:rsidRDefault="00B655AC" w:rsidP="00593795">
    <w:pPr>
      <w:pStyle w:val="Header"/>
      <w:jc w:val="right"/>
      <w:rPr>
        <w:rFonts w:ascii="Arial" w:hAnsi="Arial" w:cs="Arial"/>
        <w:sz w:val="16"/>
        <w:szCs w:val="16"/>
      </w:rPr>
    </w:pPr>
    <w:r>
      <w:rPr>
        <w:rFonts w:ascii="Arial" w:hAnsi="Arial" w:cs="Arial"/>
        <w:sz w:val="16"/>
        <w:szCs w:val="16"/>
      </w:rPr>
      <w:t xml:space="preserve">Appeal Number: HU/08360/2017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FD84694"/>
    <w:multiLevelType w:val="hybridMultilevel"/>
    <w:tmpl w:val="B8A63A26"/>
    <w:lvl w:ilvl="0" w:tplc="681C7948">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B84145E"/>
    <w:multiLevelType w:val="hybridMultilevel"/>
    <w:tmpl w:val="E39C8DF2"/>
    <w:lvl w:ilvl="0" w:tplc="A03A5E8A">
      <w:start w:val="1"/>
      <w:numFmt w:val="decimal"/>
      <w:lvlText w:val="%1."/>
      <w:lvlJc w:val="left"/>
      <w:pPr>
        <w:tabs>
          <w:tab w:val="num" w:pos="0"/>
        </w:tabs>
        <w:ind w:left="0" w:firstLine="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CB97CBA"/>
    <w:multiLevelType w:val="hybridMultilevel"/>
    <w:tmpl w:val="CF3A9606"/>
    <w:lvl w:ilvl="0" w:tplc="A5E83E7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EDA119E"/>
    <w:multiLevelType w:val="hybridMultilevel"/>
    <w:tmpl w:val="5600B2FC"/>
    <w:lvl w:ilvl="0" w:tplc="067E4CBE">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0CA6462"/>
    <w:multiLevelType w:val="hybridMultilevel"/>
    <w:tmpl w:val="1C4E499A"/>
    <w:lvl w:ilvl="0" w:tplc="08090011">
      <w:start w:val="1"/>
      <w:numFmt w:val="decimal"/>
      <w:lvlText w:val="%1)"/>
      <w:lvlJc w:val="left"/>
      <w:pPr>
        <w:tabs>
          <w:tab w:val="num" w:pos="720"/>
        </w:tabs>
        <w:ind w:left="720" w:hanging="360"/>
      </w:pPr>
      <w:rPr>
        <w:rFonts w:hint="default"/>
      </w:rPr>
    </w:lvl>
    <w:lvl w:ilvl="1" w:tplc="EF24D8A6">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BEB6CBC"/>
    <w:multiLevelType w:val="hybridMultilevel"/>
    <w:tmpl w:val="597C8310"/>
    <w:lvl w:ilvl="0" w:tplc="8A9873A2">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8BA3F9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36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10"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D40325"/>
    <w:multiLevelType w:val="hybridMultilevel"/>
    <w:tmpl w:val="2A403810"/>
    <w:lvl w:ilvl="0" w:tplc="B7E089A0">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3" w15:restartNumberingAfterBreak="0">
    <w:nsid w:val="6B1A13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E381AD7"/>
    <w:multiLevelType w:val="multilevel"/>
    <w:tmpl w:val="A0C2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268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10"/>
  </w:num>
  <w:num w:numId="3">
    <w:abstractNumId w:val="12"/>
  </w:num>
  <w:num w:numId="4">
    <w:abstractNumId w:val="4"/>
  </w:num>
  <w:num w:numId="5">
    <w:abstractNumId w:val="0"/>
  </w:num>
  <w:num w:numId="6">
    <w:abstractNumId w:val="1"/>
  </w:num>
  <w:num w:numId="7">
    <w:abstractNumId w:val="13"/>
  </w:num>
  <w:num w:numId="8">
    <w:abstractNumId w:val="15"/>
  </w:num>
  <w:num w:numId="9">
    <w:abstractNumId w:val="5"/>
  </w:num>
  <w:num w:numId="10">
    <w:abstractNumId w:val="8"/>
  </w:num>
  <w:num w:numId="11">
    <w:abstractNumId w:val="2"/>
  </w:num>
  <w:num w:numId="12">
    <w:abstractNumId w:val="7"/>
  </w:num>
  <w:num w:numId="13">
    <w:abstractNumId w:val="6"/>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9E7"/>
    <w:rsid w:val="000018B3"/>
    <w:rsid w:val="00002D6D"/>
    <w:rsid w:val="00002DC8"/>
    <w:rsid w:val="000036C2"/>
    <w:rsid w:val="00011C31"/>
    <w:rsid w:val="00026685"/>
    <w:rsid w:val="00026F3F"/>
    <w:rsid w:val="00030345"/>
    <w:rsid w:val="00033335"/>
    <w:rsid w:val="00033D3D"/>
    <w:rsid w:val="00036D0A"/>
    <w:rsid w:val="00043346"/>
    <w:rsid w:val="00043D6B"/>
    <w:rsid w:val="0004467F"/>
    <w:rsid w:val="00050232"/>
    <w:rsid w:val="00050997"/>
    <w:rsid w:val="00051513"/>
    <w:rsid w:val="00055E41"/>
    <w:rsid w:val="00056B84"/>
    <w:rsid w:val="00062F02"/>
    <w:rsid w:val="00064FF9"/>
    <w:rsid w:val="000652CE"/>
    <w:rsid w:val="000659FF"/>
    <w:rsid w:val="00071A7E"/>
    <w:rsid w:val="00071E54"/>
    <w:rsid w:val="000746C0"/>
    <w:rsid w:val="00074D1D"/>
    <w:rsid w:val="00080CBE"/>
    <w:rsid w:val="00084162"/>
    <w:rsid w:val="00086A53"/>
    <w:rsid w:val="00087109"/>
    <w:rsid w:val="00090CF9"/>
    <w:rsid w:val="00092580"/>
    <w:rsid w:val="00093C3E"/>
    <w:rsid w:val="00093D4D"/>
    <w:rsid w:val="000A1B34"/>
    <w:rsid w:val="000A729E"/>
    <w:rsid w:val="000A7A91"/>
    <w:rsid w:val="000B32D1"/>
    <w:rsid w:val="000D164B"/>
    <w:rsid w:val="000D5D94"/>
    <w:rsid w:val="000D7648"/>
    <w:rsid w:val="000F1A0E"/>
    <w:rsid w:val="000F43B8"/>
    <w:rsid w:val="000F4687"/>
    <w:rsid w:val="001049CE"/>
    <w:rsid w:val="00104CC5"/>
    <w:rsid w:val="0010645C"/>
    <w:rsid w:val="001165A7"/>
    <w:rsid w:val="00123148"/>
    <w:rsid w:val="0012526F"/>
    <w:rsid w:val="0013499C"/>
    <w:rsid w:val="00134C10"/>
    <w:rsid w:val="00146D61"/>
    <w:rsid w:val="001531E2"/>
    <w:rsid w:val="0015618E"/>
    <w:rsid w:val="00163092"/>
    <w:rsid w:val="00167D3A"/>
    <w:rsid w:val="00173A95"/>
    <w:rsid w:val="00184E34"/>
    <w:rsid w:val="00197E5A"/>
    <w:rsid w:val="001A1E7A"/>
    <w:rsid w:val="001A3082"/>
    <w:rsid w:val="001A7F3B"/>
    <w:rsid w:val="001B186A"/>
    <w:rsid w:val="001B2F75"/>
    <w:rsid w:val="001B618F"/>
    <w:rsid w:val="001B6FA0"/>
    <w:rsid w:val="001B756A"/>
    <w:rsid w:val="001C4525"/>
    <w:rsid w:val="001D0BD3"/>
    <w:rsid w:val="001E2457"/>
    <w:rsid w:val="001F15C4"/>
    <w:rsid w:val="001F2716"/>
    <w:rsid w:val="001F4EF7"/>
    <w:rsid w:val="001F6B68"/>
    <w:rsid w:val="00207617"/>
    <w:rsid w:val="00207D6B"/>
    <w:rsid w:val="002110F1"/>
    <w:rsid w:val="00212AB3"/>
    <w:rsid w:val="0021686A"/>
    <w:rsid w:val="0022390D"/>
    <w:rsid w:val="00223A9D"/>
    <w:rsid w:val="0023134B"/>
    <w:rsid w:val="00231F8B"/>
    <w:rsid w:val="00235C97"/>
    <w:rsid w:val="0024661D"/>
    <w:rsid w:val="002536A5"/>
    <w:rsid w:val="00260142"/>
    <w:rsid w:val="00262A71"/>
    <w:rsid w:val="00262F82"/>
    <w:rsid w:val="00267FA4"/>
    <w:rsid w:val="00270727"/>
    <w:rsid w:val="00270E13"/>
    <w:rsid w:val="002720D1"/>
    <w:rsid w:val="00275CB6"/>
    <w:rsid w:val="00277663"/>
    <w:rsid w:val="00281151"/>
    <w:rsid w:val="00281598"/>
    <w:rsid w:val="00283659"/>
    <w:rsid w:val="002A0B56"/>
    <w:rsid w:val="002A133A"/>
    <w:rsid w:val="002A632E"/>
    <w:rsid w:val="002A74C3"/>
    <w:rsid w:val="002B1CCC"/>
    <w:rsid w:val="002B7ADD"/>
    <w:rsid w:val="002C1B9B"/>
    <w:rsid w:val="002C27C9"/>
    <w:rsid w:val="002C5577"/>
    <w:rsid w:val="002C6BD4"/>
    <w:rsid w:val="002D0F36"/>
    <w:rsid w:val="002D1999"/>
    <w:rsid w:val="002D19E6"/>
    <w:rsid w:val="002D1F60"/>
    <w:rsid w:val="002D2D66"/>
    <w:rsid w:val="002D46F4"/>
    <w:rsid w:val="002D5759"/>
    <w:rsid w:val="002D68BF"/>
    <w:rsid w:val="002D7E58"/>
    <w:rsid w:val="002E77C4"/>
    <w:rsid w:val="002F5BC3"/>
    <w:rsid w:val="002F6B98"/>
    <w:rsid w:val="002F73F2"/>
    <w:rsid w:val="002F786B"/>
    <w:rsid w:val="00302336"/>
    <w:rsid w:val="0030553C"/>
    <w:rsid w:val="00321FB6"/>
    <w:rsid w:val="00324C69"/>
    <w:rsid w:val="00325F34"/>
    <w:rsid w:val="00326004"/>
    <w:rsid w:val="00333888"/>
    <w:rsid w:val="003369F6"/>
    <w:rsid w:val="00336CBF"/>
    <w:rsid w:val="00337EA4"/>
    <w:rsid w:val="00341C12"/>
    <w:rsid w:val="00343FE3"/>
    <w:rsid w:val="00346C6D"/>
    <w:rsid w:val="00347BE9"/>
    <w:rsid w:val="00352C91"/>
    <w:rsid w:val="003546C8"/>
    <w:rsid w:val="00354F6B"/>
    <w:rsid w:val="003577D0"/>
    <w:rsid w:val="0036093A"/>
    <w:rsid w:val="00364ECD"/>
    <w:rsid w:val="00365FE4"/>
    <w:rsid w:val="0036662E"/>
    <w:rsid w:val="003666F7"/>
    <w:rsid w:val="0037168F"/>
    <w:rsid w:val="00371C0A"/>
    <w:rsid w:val="00373ADE"/>
    <w:rsid w:val="0037471A"/>
    <w:rsid w:val="00381B46"/>
    <w:rsid w:val="0038485D"/>
    <w:rsid w:val="0038721B"/>
    <w:rsid w:val="00387CC1"/>
    <w:rsid w:val="00387ECE"/>
    <w:rsid w:val="003A1035"/>
    <w:rsid w:val="003A1CC4"/>
    <w:rsid w:val="003A74C1"/>
    <w:rsid w:val="003A7CF2"/>
    <w:rsid w:val="003B3CFE"/>
    <w:rsid w:val="003B58DD"/>
    <w:rsid w:val="003C4E33"/>
    <w:rsid w:val="003C579D"/>
    <w:rsid w:val="003C5CE5"/>
    <w:rsid w:val="003D5371"/>
    <w:rsid w:val="003D6760"/>
    <w:rsid w:val="003E267B"/>
    <w:rsid w:val="003E3D29"/>
    <w:rsid w:val="003E70D1"/>
    <w:rsid w:val="003E7CD1"/>
    <w:rsid w:val="003F1EA7"/>
    <w:rsid w:val="00402B9E"/>
    <w:rsid w:val="00404114"/>
    <w:rsid w:val="0040659A"/>
    <w:rsid w:val="0041482A"/>
    <w:rsid w:val="00414E53"/>
    <w:rsid w:val="00417DE2"/>
    <w:rsid w:val="00422992"/>
    <w:rsid w:val="004249CB"/>
    <w:rsid w:val="004301F6"/>
    <w:rsid w:val="00436176"/>
    <w:rsid w:val="0043684E"/>
    <w:rsid w:val="0044127D"/>
    <w:rsid w:val="00442BC9"/>
    <w:rsid w:val="0044437D"/>
    <w:rsid w:val="004448DB"/>
    <w:rsid w:val="00446C9A"/>
    <w:rsid w:val="00452F2B"/>
    <w:rsid w:val="00454741"/>
    <w:rsid w:val="00460336"/>
    <w:rsid w:val="004613BB"/>
    <w:rsid w:val="0046435F"/>
    <w:rsid w:val="004649F7"/>
    <w:rsid w:val="0046632D"/>
    <w:rsid w:val="00475C44"/>
    <w:rsid w:val="00476397"/>
    <w:rsid w:val="00477193"/>
    <w:rsid w:val="00482504"/>
    <w:rsid w:val="00484C8C"/>
    <w:rsid w:val="00492AFD"/>
    <w:rsid w:val="004A1848"/>
    <w:rsid w:val="004A5744"/>
    <w:rsid w:val="004A6F4A"/>
    <w:rsid w:val="004A7C4C"/>
    <w:rsid w:val="004B0D3A"/>
    <w:rsid w:val="004B1D2E"/>
    <w:rsid w:val="004B1F6E"/>
    <w:rsid w:val="004B3405"/>
    <w:rsid w:val="004C1054"/>
    <w:rsid w:val="004D2C44"/>
    <w:rsid w:val="004E4717"/>
    <w:rsid w:val="004E6C1E"/>
    <w:rsid w:val="004F2068"/>
    <w:rsid w:val="005007E9"/>
    <w:rsid w:val="005035E7"/>
    <w:rsid w:val="00507FEC"/>
    <w:rsid w:val="00510F0E"/>
    <w:rsid w:val="005120EC"/>
    <w:rsid w:val="005155E7"/>
    <w:rsid w:val="0051578C"/>
    <w:rsid w:val="00517DEF"/>
    <w:rsid w:val="0052171C"/>
    <w:rsid w:val="00524251"/>
    <w:rsid w:val="00524725"/>
    <w:rsid w:val="0053164F"/>
    <w:rsid w:val="00535A09"/>
    <w:rsid w:val="00536E45"/>
    <w:rsid w:val="00541EBF"/>
    <w:rsid w:val="00542CBA"/>
    <w:rsid w:val="00543A3F"/>
    <w:rsid w:val="005450DD"/>
    <w:rsid w:val="005479E1"/>
    <w:rsid w:val="00553E0A"/>
    <w:rsid w:val="005570FD"/>
    <w:rsid w:val="005575EA"/>
    <w:rsid w:val="0056207A"/>
    <w:rsid w:val="0056265F"/>
    <w:rsid w:val="00565469"/>
    <w:rsid w:val="00566827"/>
    <w:rsid w:val="00566A69"/>
    <w:rsid w:val="00570938"/>
    <w:rsid w:val="00570EF1"/>
    <w:rsid w:val="00574E21"/>
    <w:rsid w:val="00576D0D"/>
    <w:rsid w:val="0057790C"/>
    <w:rsid w:val="005833CC"/>
    <w:rsid w:val="005835AD"/>
    <w:rsid w:val="00583A24"/>
    <w:rsid w:val="0058521F"/>
    <w:rsid w:val="0058585A"/>
    <w:rsid w:val="005922DC"/>
    <w:rsid w:val="00593795"/>
    <w:rsid w:val="00593821"/>
    <w:rsid w:val="00597BB4"/>
    <w:rsid w:val="005A1EFD"/>
    <w:rsid w:val="005A3EFC"/>
    <w:rsid w:val="005A549B"/>
    <w:rsid w:val="005A5D6F"/>
    <w:rsid w:val="005A6C64"/>
    <w:rsid w:val="005A6DFE"/>
    <w:rsid w:val="005A75FF"/>
    <w:rsid w:val="005B150D"/>
    <w:rsid w:val="005B4E79"/>
    <w:rsid w:val="005C48C6"/>
    <w:rsid w:val="005C5D0E"/>
    <w:rsid w:val="005D10AB"/>
    <w:rsid w:val="005E162C"/>
    <w:rsid w:val="005E23B9"/>
    <w:rsid w:val="005E2763"/>
    <w:rsid w:val="005E27BA"/>
    <w:rsid w:val="005E6742"/>
    <w:rsid w:val="005F6E20"/>
    <w:rsid w:val="00601533"/>
    <w:rsid w:val="00601D8F"/>
    <w:rsid w:val="00602E69"/>
    <w:rsid w:val="00610923"/>
    <w:rsid w:val="00621BC6"/>
    <w:rsid w:val="00632D65"/>
    <w:rsid w:val="00634EA1"/>
    <w:rsid w:val="00635A27"/>
    <w:rsid w:val="00640E33"/>
    <w:rsid w:val="00647FFB"/>
    <w:rsid w:val="00650F48"/>
    <w:rsid w:val="00653E97"/>
    <w:rsid w:val="006556D2"/>
    <w:rsid w:val="0065583B"/>
    <w:rsid w:val="00656C02"/>
    <w:rsid w:val="00665619"/>
    <w:rsid w:val="006664A5"/>
    <w:rsid w:val="0066668D"/>
    <w:rsid w:val="00672EBF"/>
    <w:rsid w:val="006772C2"/>
    <w:rsid w:val="0068152E"/>
    <w:rsid w:val="006846EC"/>
    <w:rsid w:val="00684A74"/>
    <w:rsid w:val="00687E25"/>
    <w:rsid w:val="00690AC7"/>
    <w:rsid w:val="00690B8A"/>
    <w:rsid w:val="006959F5"/>
    <w:rsid w:val="00696EEF"/>
    <w:rsid w:val="00697131"/>
    <w:rsid w:val="006A1202"/>
    <w:rsid w:val="006A5697"/>
    <w:rsid w:val="006A57F3"/>
    <w:rsid w:val="006B1E52"/>
    <w:rsid w:val="006B4192"/>
    <w:rsid w:val="006B4527"/>
    <w:rsid w:val="006B45F8"/>
    <w:rsid w:val="006B4BCE"/>
    <w:rsid w:val="006B4F84"/>
    <w:rsid w:val="006B623E"/>
    <w:rsid w:val="006B6A12"/>
    <w:rsid w:val="006B7D7E"/>
    <w:rsid w:val="006C149C"/>
    <w:rsid w:val="006C781E"/>
    <w:rsid w:val="006D4376"/>
    <w:rsid w:val="006E1960"/>
    <w:rsid w:val="006E3766"/>
    <w:rsid w:val="006F2CF1"/>
    <w:rsid w:val="007038ED"/>
    <w:rsid w:val="00703BC3"/>
    <w:rsid w:val="00704436"/>
    <w:rsid w:val="00704B61"/>
    <w:rsid w:val="00705447"/>
    <w:rsid w:val="0070598A"/>
    <w:rsid w:val="007064D0"/>
    <w:rsid w:val="0071333E"/>
    <w:rsid w:val="00714F40"/>
    <w:rsid w:val="00724EC0"/>
    <w:rsid w:val="007309EC"/>
    <w:rsid w:val="00731A9F"/>
    <w:rsid w:val="00732F0F"/>
    <w:rsid w:val="007334B3"/>
    <w:rsid w:val="00734483"/>
    <w:rsid w:val="007347D5"/>
    <w:rsid w:val="00734A21"/>
    <w:rsid w:val="00735C42"/>
    <w:rsid w:val="00736965"/>
    <w:rsid w:val="007375BA"/>
    <w:rsid w:val="0074279F"/>
    <w:rsid w:val="007446C2"/>
    <w:rsid w:val="00751E08"/>
    <w:rsid w:val="007530EB"/>
    <w:rsid w:val="007552A9"/>
    <w:rsid w:val="00755C9D"/>
    <w:rsid w:val="00761858"/>
    <w:rsid w:val="00762034"/>
    <w:rsid w:val="0076577A"/>
    <w:rsid w:val="007673D9"/>
    <w:rsid w:val="0076768B"/>
    <w:rsid w:val="00767BFE"/>
    <w:rsid w:val="00767D59"/>
    <w:rsid w:val="00773A5E"/>
    <w:rsid w:val="00776E97"/>
    <w:rsid w:val="00780F86"/>
    <w:rsid w:val="00781A43"/>
    <w:rsid w:val="00782461"/>
    <w:rsid w:val="00784D03"/>
    <w:rsid w:val="007912AD"/>
    <w:rsid w:val="007937AD"/>
    <w:rsid w:val="007A182B"/>
    <w:rsid w:val="007A2F32"/>
    <w:rsid w:val="007A4B5E"/>
    <w:rsid w:val="007A7BE4"/>
    <w:rsid w:val="007B01C8"/>
    <w:rsid w:val="007B0824"/>
    <w:rsid w:val="007B1E46"/>
    <w:rsid w:val="007B35C6"/>
    <w:rsid w:val="007B5B48"/>
    <w:rsid w:val="007B5D3C"/>
    <w:rsid w:val="007B5F73"/>
    <w:rsid w:val="007B605B"/>
    <w:rsid w:val="007C494A"/>
    <w:rsid w:val="007D1494"/>
    <w:rsid w:val="007D4655"/>
    <w:rsid w:val="007D53FE"/>
    <w:rsid w:val="007D6925"/>
    <w:rsid w:val="007E11A9"/>
    <w:rsid w:val="008101BA"/>
    <w:rsid w:val="00810E14"/>
    <w:rsid w:val="0081643D"/>
    <w:rsid w:val="0082152A"/>
    <w:rsid w:val="00821B72"/>
    <w:rsid w:val="00823EF2"/>
    <w:rsid w:val="008278E4"/>
    <w:rsid w:val="008303B8"/>
    <w:rsid w:val="00833DCE"/>
    <w:rsid w:val="00835800"/>
    <w:rsid w:val="00835884"/>
    <w:rsid w:val="0083635E"/>
    <w:rsid w:val="00840B15"/>
    <w:rsid w:val="00842824"/>
    <w:rsid w:val="0084487E"/>
    <w:rsid w:val="008467A7"/>
    <w:rsid w:val="008618D6"/>
    <w:rsid w:val="0086307A"/>
    <w:rsid w:val="00863494"/>
    <w:rsid w:val="008644C2"/>
    <w:rsid w:val="00865D32"/>
    <w:rsid w:val="00870797"/>
    <w:rsid w:val="00871D34"/>
    <w:rsid w:val="00881B6B"/>
    <w:rsid w:val="00881F35"/>
    <w:rsid w:val="00892D3C"/>
    <w:rsid w:val="008A0A37"/>
    <w:rsid w:val="008A42EB"/>
    <w:rsid w:val="008B1281"/>
    <w:rsid w:val="008B270C"/>
    <w:rsid w:val="008B279F"/>
    <w:rsid w:val="008B380C"/>
    <w:rsid w:val="008B5078"/>
    <w:rsid w:val="008C0830"/>
    <w:rsid w:val="008C2F23"/>
    <w:rsid w:val="008C3D3D"/>
    <w:rsid w:val="008D4131"/>
    <w:rsid w:val="008D4E65"/>
    <w:rsid w:val="008E08C7"/>
    <w:rsid w:val="008E1F44"/>
    <w:rsid w:val="008E7A56"/>
    <w:rsid w:val="008F1932"/>
    <w:rsid w:val="008F20FF"/>
    <w:rsid w:val="009017E8"/>
    <w:rsid w:val="00902B0F"/>
    <w:rsid w:val="00902C1A"/>
    <w:rsid w:val="00905DD1"/>
    <w:rsid w:val="009129BD"/>
    <w:rsid w:val="00914C14"/>
    <w:rsid w:val="00921062"/>
    <w:rsid w:val="009220B5"/>
    <w:rsid w:val="00922D9A"/>
    <w:rsid w:val="00925AB2"/>
    <w:rsid w:val="009267A0"/>
    <w:rsid w:val="00927D2F"/>
    <w:rsid w:val="009326CA"/>
    <w:rsid w:val="009414AB"/>
    <w:rsid w:val="009429ED"/>
    <w:rsid w:val="00944FD5"/>
    <w:rsid w:val="009455E5"/>
    <w:rsid w:val="0094575D"/>
    <w:rsid w:val="0094736D"/>
    <w:rsid w:val="009515F9"/>
    <w:rsid w:val="00952B45"/>
    <w:rsid w:val="00952EA9"/>
    <w:rsid w:val="00960E3D"/>
    <w:rsid w:val="0096338C"/>
    <w:rsid w:val="009655D3"/>
    <w:rsid w:val="009722BC"/>
    <w:rsid w:val="009727A3"/>
    <w:rsid w:val="009728AC"/>
    <w:rsid w:val="00973E82"/>
    <w:rsid w:val="00974418"/>
    <w:rsid w:val="0097675F"/>
    <w:rsid w:val="00977C16"/>
    <w:rsid w:val="009824BB"/>
    <w:rsid w:val="00982AB1"/>
    <w:rsid w:val="0098693D"/>
    <w:rsid w:val="00987774"/>
    <w:rsid w:val="00990CB7"/>
    <w:rsid w:val="00994841"/>
    <w:rsid w:val="009A11E8"/>
    <w:rsid w:val="009A16F9"/>
    <w:rsid w:val="009A1923"/>
    <w:rsid w:val="009A73B1"/>
    <w:rsid w:val="009B2AB0"/>
    <w:rsid w:val="009B7562"/>
    <w:rsid w:val="009C3345"/>
    <w:rsid w:val="009C6C34"/>
    <w:rsid w:val="009D3905"/>
    <w:rsid w:val="009D5FEA"/>
    <w:rsid w:val="009E3A83"/>
    <w:rsid w:val="009F4530"/>
    <w:rsid w:val="009F5220"/>
    <w:rsid w:val="00A00180"/>
    <w:rsid w:val="00A03361"/>
    <w:rsid w:val="00A03DCF"/>
    <w:rsid w:val="00A03EDE"/>
    <w:rsid w:val="00A122F2"/>
    <w:rsid w:val="00A15234"/>
    <w:rsid w:val="00A16E74"/>
    <w:rsid w:val="00A16FBC"/>
    <w:rsid w:val="00A201AB"/>
    <w:rsid w:val="00A22431"/>
    <w:rsid w:val="00A23175"/>
    <w:rsid w:val="00A31C8B"/>
    <w:rsid w:val="00A35BC5"/>
    <w:rsid w:val="00A504C2"/>
    <w:rsid w:val="00A509FA"/>
    <w:rsid w:val="00A56F6E"/>
    <w:rsid w:val="00A66DCA"/>
    <w:rsid w:val="00A75DB3"/>
    <w:rsid w:val="00A8221A"/>
    <w:rsid w:val="00A845DC"/>
    <w:rsid w:val="00A86898"/>
    <w:rsid w:val="00A86E3D"/>
    <w:rsid w:val="00A91607"/>
    <w:rsid w:val="00A91A14"/>
    <w:rsid w:val="00AA1726"/>
    <w:rsid w:val="00AA3064"/>
    <w:rsid w:val="00AA7CE8"/>
    <w:rsid w:val="00AC047C"/>
    <w:rsid w:val="00AC0DFD"/>
    <w:rsid w:val="00AD4321"/>
    <w:rsid w:val="00AD75A2"/>
    <w:rsid w:val="00AE074F"/>
    <w:rsid w:val="00AE0A04"/>
    <w:rsid w:val="00AE3D96"/>
    <w:rsid w:val="00AF021B"/>
    <w:rsid w:val="00AF205D"/>
    <w:rsid w:val="00AF21FC"/>
    <w:rsid w:val="00AF463C"/>
    <w:rsid w:val="00B00EE8"/>
    <w:rsid w:val="00B03E85"/>
    <w:rsid w:val="00B03FF2"/>
    <w:rsid w:val="00B068EE"/>
    <w:rsid w:val="00B13F6B"/>
    <w:rsid w:val="00B232AE"/>
    <w:rsid w:val="00B24EF0"/>
    <w:rsid w:val="00B261FB"/>
    <w:rsid w:val="00B26AA2"/>
    <w:rsid w:val="00B34299"/>
    <w:rsid w:val="00B3524D"/>
    <w:rsid w:val="00B40445"/>
    <w:rsid w:val="00B40F69"/>
    <w:rsid w:val="00B46616"/>
    <w:rsid w:val="00B574ED"/>
    <w:rsid w:val="00B6142C"/>
    <w:rsid w:val="00B62BE6"/>
    <w:rsid w:val="00B62D72"/>
    <w:rsid w:val="00B62FC6"/>
    <w:rsid w:val="00B632DE"/>
    <w:rsid w:val="00B63BE9"/>
    <w:rsid w:val="00B63D45"/>
    <w:rsid w:val="00B655AC"/>
    <w:rsid w:val="00B65E51"/>
    <w:rsid w:val="00B67DD5"/>
    <w:rsid w:val="00B7040A"/>
    <w:rsid w:val="00B758FD"/>
    <w:rsid w:val="00B83391"/>
    <w:rsid w:val="00B83CB3"/>
    <w:rsid w:val="00B866FB"/>
    <w:rsid w:val="00B91964"/>
    <w:rsid w:val="00B94048"/>
    <w:rsid w:val="00B95326"/>
    <w:rsid w:val="00B97B10"/>
    <w:rsid w:val="00BB7394"/>
    <w:rsid w:val="00BC0709"/>
    <w:rsid w:val="00BC532E"/>
    <w:rsid w:val="00BD0A65"/>
    <w:rsid w:val="00BD3484"/>
    <w:rsid w:val="00BD4196"/>
    <w:rsid w:val="00BD74EA"/>
    <w:rsid w:val="00BE003B"/>
    <w:rsid w:val="00BF1816"/>
    <w:rsid w:val="00BF22CA"/>
    <w:rsid w:val="00BF23BB"/>
    <w:rsid w:val="00C010EA"/>
    <w:rsid w:val="00C02783"/>
    <w:rsid w:val="00C03853"/>
    <w:rsid w:val="00C04F75"/>
    <w:rsid w:val="00C052B6"/>
    <w:rsid w:val="00C12F97"/>
    <w:rsid w:val="00C13E43"/>
    <w:rsid w:val="00C16E5C"/>
    <w:rsid w:val="00C20F94"/>
    <w:rsid w:val="00C219D6"/>
    <w:rsid w:val="00C24598"/>
    <w:rsid w:val="00C2549F"/>
    <w:rsid w:val="00C26032"/>
    <w:rsid w:val="00C27EF7"/>
    <w:rsid w:val="00C345E1"/>
    <w:rsid w:val="00C4083F"/>
    <w:rsid w:val="00C422F3"/>
    <w:rsid w:val="00C43BFD"/>
    <w:rsid w:val="00C51388"/>
    <w:rsid w:val="00C52853"/>
    <w:rsid w:val="00C52F9C"/>
    <w:rsid w:val="00C56D95"/>
    <w:rsid w:val="00C57E53"/>
    <w:rsid w:val="00C647A6"/>
    <w:rsid w:val="00C72910"/>
    <w:rsid w:val="00C72D7C"/>
    <w:rsid w:val="00C73663"/>
    <w:rsid w:val="00C7387A"/>
    <w:rsid w:val="00C80FDA"/>
    <w:rsid w:val="00C85E1B"/>
    <w:rsid w:val="00C866E6"/>
    <w:rsid w:val="00C93826"/>
    <w:rsid w:val="00C94EB0"/>
    <w:rsid w:val="00C978A4"/>
    <w:rsid w:val="00CA00CA"/>
    <w:rsid w:val="00CA6DFD"/>
    <w:rsid w:val="00CB0C84"/>
    <w:rsid w:val="00CB3A55"/>
    <w:rsid w:val="00CB3EF4"/>
    <w:rsid w:val="00CB6E35"/>
    <w:rsid w:val="00CD4050"/>
    <w:rsid w:val="00CD5D68"/>
    <w:rsid w:val="00CE1A46"/>
    <w:rsid w:val="00CE307D"/>
    <w:rsid w:val="00CE51C6"/>
    <w:rsid w:val="00CE7E87"/>
    <w:rsid w:val="00CF5338"/>
    <w:rsid w:val="00D11C0D"/>
    <w:rsid w:val="00D13C15"/>
    <w:rsid w:val="00D17DC4"/>
    <w:rsid w:val="00D20757"/>
    <w:rsid w:val="00D20C3B"/>
    <w:rsid w:val="00D2228E"/>
    <w:rsid w:val="00D22636"/>
    <w:rsid w:val="00D25A39"/>
    <w:rsid w:val="00D3167F"/>
    <w:rsid w:val="00D32801"/>
    <w:rsid w:val="00D40FD9"/>
    <w:rsid w:val="00D42DD2"/>
    <w:rsid w:val="00D435AE"/>
    <w:rsid w:val="00D462BB"/>
    <w:rsid w:val="00D473C0"/>
    <w:rsid w:val="00D529C7"/>
    <w:rsid w:val="00D53769"/>
    <w:rsid w:val="00D5793C"/>
    <w:rsid w:val="00D631C2"/>
    <w:rsid w:val="00D67A60"/>
    <w:rsid w:val="00D736A9"/>
    <w:rsid w:val="00D76021"/>
    <w:rsid w:val="00D776CF"/>
    <w:rsid w:val="00D80383"/>
    <w:rsid w:val="00D80C56"/>
    <w:rsid w:val="00D824BA"/>
    <w:rsid w:val="00D85C13"/>
    <w:rsid w:val="00D87C25"/>
    <w:rsid w:val="00D9077C"/>
    <w:rsid w:val="00D9111A"/>
    <w:rsid w:val="00D91BE3"/>
    <w:rsid w:val="00D940B3"/>
    <w:rsid w:val="00D94AFC"/>
    <w:rsid w:val="00DA23A4"/>
    <w:rsid w:val="00DA27DD"/>
    <w:rsid w:val="00DA29A4"/>
    <w:rsid w:val="00DA5F46"/>
    <w:rsid w:val="00DB20FF"/>
    <w:rsid w:val="00DB6496"/>
    <w:rsid w:val="00DB6898"/>
    <w:rsid w:val="00DB70AE"/>
    <w:rsid w:val="00DC00FD"/>
    <w:rsid w:val="00DC3AD2"/>
    <w:rsid w:val="00DC60C1"/>
    <w:rsid w:val="00DD0A2F"/>
    <w:rsid w:val="00DD2359"/>
    <w:rsid w:val="00DD2BEA"/>
    <w:rsid w:val="00DD5071"/>
    <w:rsid w:val="00DD5C39"/>
    <w:rsid w:val="00DD7829"/>
    <w:rsid w:val="00DE1C92"/>
    <w:rsid w:val="00DE7DB7"/>
    <w:rsid w:val="00DF1555"/>
    <w:rsid w:val="00E00A0A"/>
    <w:rsid w:val="00E01BDE"/>
    <w:rsid w:val="00E066DE"/>
    <w:rsid w:val="00E07F57"/>
    <w:rsid w:val="00E12A05"/>
    <w:rsid w:val="00E17748"/>
    <w:rsid w:val="00E177AA"/>
    <w:rsid w:val="00E230DB"/>
    <w:rsid w:val="00E250B3"/>
    <w:rsid w:val="00E27C52"/>
    <w:rsid w:val="00E27EB8"/>
    <w:rsid w:val="00E30683"/>
    <w:rsid w:val="00E30FD6"/>
    <w:rsid w:val="00E34EB9"/>
    <w:rsid w:val="00E402D2"/>
    <w:rsid w:val="00E453D8"/>
    <w:rsid w:val="00E50BCE"/>
    <w:rsid w:val="00E54435"/>
    <w:rsid w:val="00E55030"/>
    <w:rsid w:val="00E574BF"/>
    <w:rsid w:val="00E60B0D"/>
    <w:rsid w:val="00E61292"/>
    <w:rsid w:val="00E70E0A"/>
    <w:rsid w:val="00E77C4D"/>
    <w:rsid w:val="00E80AD9"/>
    <w:rsid w:val="00E80EA8"/>
    <w:rsid w:val="00E81D01"/>
    <w:rsid w:val="00E8312F"/>
    <w:rsid w:val="00E959CA"/>
    <w:rsid w:val="00E97200"/>
    <w:rsid w:val="00EA102E"/>
    <w:rsid w:val="00EA45AA"/>
    <w:rsid w:val="00EA7966"/>
    <w:rsid w:val="00EA79CD"/>
    <w:rsid w:val="00EB36C5"/>
    <w:rsid w:val="00EB4301"/>
    <w:rsid w:val="00EC058E"/>
    <w:rsid w:val="00ED1BEC"/>
    <w:rsid w:val="00ED53FF"/>
    <w:rsid w:val="00EE02DB"/>
    <w:rsid w:val="00EE1E86"/>
    <w:rsid w:val="00EE4162"/>
    <w:rsid w:val="00EE45D8"/>
    <w:rsid w:val="00EE4DED"/>
    <w:rsid w:val="00EE5845"/>
    <w:rsid w:val="00EE6BAE"/>
    <w:rsid w:val="00EE7016"/>
    <w:rsid w:val="00F0500D"/>
    <w:rsid w:val="00F103CB"/>
    <w:rsid w:val="00F122B5"/>
    <w:rsid w:val="00F22EDA"/>
    <w:rsid w:val="00F25F2F"/>
    <w:rsid w:val="00F266FF"/>
    <w:rsid w:val="00F26B6D"/>
    <w:rsid w:val="00F32D00"/>
    <w:rsid w:val="00F3331E"/>
    <w:rsid w:val="00F35A3A"/>
    <w:rsid w:val="00F44542"/>
    <w:rsid w:val="00F5000A"/>
    <w:rsid w:val="00F5267D"/>
    <w:rsid w:val="00F53186"/>
    <w:rsid w:val="00F53EC8"/>
    <w:rsid w:val="00F55E4D"/>
    <w:rsid w:val="00F6606A"/>
    <w:rsid w:val="00F722E1"/>
    <w:rsid w:val="00F72493"/>
    <w:rsid w:val="00F7253F"/>
    <w:rsid w:val="00F83C6D"/>
    <w:rsid w:val="00F849FD"/>
    <w:rsid w:val="00F92F7C"/>
    <w:rsid w:val="00F97703"/>
    <w:rsid w:val="00FA0386"/>
    <w:rsid w:val="00FA436F"/>
    <w:rsid w:val="00FA58AB"/>
    <w:rsid w:val="00FB2CE4"/>
    <w:rsid w:val="00FB4231"/>
    <w:rsid w:val="00FB712C"/>
    <w:rsid w:val="00FC2273"/>
    <w:rsid w:val="00FD3013"/>
    <w:rsid w:val="00FD6CA0"/>
    <w:rsid w:val="00FE3C0D"/>
    <w:rsid w:val="00FE549A"/>
    <w:rsid w:val="00FE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E9C5B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styleId="NormalWeb">
    <w:name w:val="Normal (Web)"/>
    <w:basedOn w:val="Normal"/>
    <w:rsid w:val="002A632E"/>
    <w:pPr>
      <w:spacing w:before="100" w:beforeAutospacing="1" w:after="100" w:afterAutospacing="1"/>
    </w:pPr>
  </w:style>
  <w:style w:type="paragraph" w:customStyle="1" w:styleId="Level1">
    <w:name w:val="Level 1"/>
    <w:basedOn w:val="Normal"/>
    <w:rsid w:val="00056B84"/>
    <w:pPr>
      <w:widowControl w:val="0"/>
    </w:pPr>
    <w:rPr>
      <w:szCs w:val="20"/>
    </w:rPr>
  </w:style>
  <w:style w:type="paragraph" w:styleId="ListParagraph">
    <w:name w:val="List Paragraph"/>
    <w:basedOn w:val="Normal"/>
    <w:uiPriority w:val="34"/>
    <w:qFormat/>
    <w:rsid w:val="00275C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8551">
      <w:bodyDiv w:val="1"/>
      <w:marLeft w:val="0"/>
      <w:marRight w:val="0"/>
      <w:marTop w:val="0"/>
      <w:marBottom w:val="0"/>
      <w:divBdr>
        <w:top w:val="none" w:sz="0" w:space="0" w:color="auto"/>
        <w:left w:val="none" w:sz="0" w:space="0" w:color="auto"/>
        <w:bottom w:val="none" w:sz="0" w:space="0" w:color="auto"/>
        <w:right w:val="none" w:sz="0" w:space="0" w:color="auto"/>
      </w:divBdr>
    </w:div>
    <w:div w:id="83888593">
      <w:bodyDiv w:val="1"/>
      <w:marLeft w:val="0"/>
      <w:marRight w:val="0"/>
      <w:marTop w:val="0"/>
      <w:marBottom w:val="0"/>
      <w:divBdr>
        <w:top w:val="none" w:sz="0" w:space="0" w:color="auto"/>
        <w:left w:val="none" w:sz="0" w:space="0" w:color="auto"/>
        <w:bottom w:val="none" w:sz="0" w:space="0" w:color="auto"/>
        <w:right w:val="none" w:sz="0" w:space="0" w:color="auto"/>
      </w:divBdr>
    </w:div>
    <w:div w:id="160391211">
      <w:bodyDiv w:val="1"/>
      <w:marLeft w:val="0"/>
      <w:marRight w:val="0"/>
      <w:marTop w:val="0"/>
      <w:marBottom w:val="0"/>
      <w:divBdr>
        <w:top w:val="none" w:sz="0" w:space="0" w:color="auto"/>
        <w:left w:val="none" w:sz="0" w:space="0" w:color="auto"/>
        <w:bottom w:val="none" w:sz="0" w:space="0" w:color="auto"/>
        <w:right w:val="none" w:sz="0" w:space="0" w:color="auto"/>
      </w:divBdr>
    </w:div>
    <w:div w:id="174005272">
      <w:bodyDiv w:val="1"/>
      <w:marLeft w:val="0"/>
      <w:marRight w:val="0"/>
      <w:marTop w:val="0"/>
      <w:marBottom w:val="0"/>
      <w:divBdr>
        <w:top w:val="none" w:sz="0" w:space="0" w:color="auto"/>
        <w:left w:val="none" w:sz="0" w:space="0" w:color="auto"/>
        <w:bottom w:val="none" w:sz="0" w:space="0" w:color="auto"/>
        <w:right w:val="none" w:sz="0" w:space="0" w:color="auto"/>
      </w:divBdr>
      <w:divsChild>
        <w:div w:id="63721354">
          <w:marLeft w:val="0"/>
          <w:marRight w:val="0"/>
          <w:marTop w:val="0"/>
          <w:marBottom w:val="0"/>
          <w:divBdr>
            <w:top w:val="none" w:sz="0" w:space="0" w:color="auto"/>
            <w:left w:val="none" w:sz="0" w:space="0" w:color="auto"/>
            <w:bottom w:val="none" w:sz="0" w:space="0" w:color="auto"/>
            <w:right w:val="none" w:sz="0" w:space="0" w:color="auto"/>
          </w:divBdr>
          <w:divsChild>
            <w:div w:id="51539782">
              <w:marLeft w:val="0"/>
              <w:marRight w:val="0"/>
              <w:marTop w:val="0"/>
              <w:marBottom w:val="0"/>
              <w:divBdr>
                <w:top w:val="none" w:sz="0" w:space="0" w:color="auto"/>
                <w:left w:val="none" w:sz="0" w:space="0" w:color="auto"/>
                <w:bottom w:val="none" w:sz="0" w:space="0" w:color="auto"/>
                <w:right w:val="none" w:sz="0" w:space="0" w:color="auto"/>
              </w:divBdr>
              <w:divsChild>
                <w:div w:id="128210873">
                  <w:marLeft w:val="0"/>
                  <w:marRight w:val="0"/>
                  <w:marTop w:val="0"/>
                  <w:marBottom w:val="0"/>
                  <w:divBdr>
                    <w:top w:val="none" w:sz="0" w:space="0" w:color="auto"/>
                    <w:left w:val="none" w:sz="0" w:space="0" w:color="auto"/>
                    <w:bottom w:val="none" w:sz="0" w:space="0" w:color="auto"/>
                    <w:right w:val="none" w:sz="0" w:space="0" w:color="auto"/>
                  </w:divBdr>
                  <w:divsChild>
                    <w:div w:id="1829904927">
                      <w:marLeft w:val="0"/>
                      <w:marRight w:val="0"/>
                      <w:marTop w:val="0"/>
                      <w:marBottom w:val="0"/>
                      <w:divBdr>
                        <w:top w:val="none" w:sz="0" w:space="0" w:color="auto"/>
                        <w:left w:val="none" w:sz="0" w:space="0" w:color="auto"/>
                        <w:bottom w:val="none" w:sz="0" w:space="0" w:color="auto"/>
                        <w:right w:val="none" w:sz="0" w:space="0" w:color="auto"/>
                      </w:divBdr>
                      <w:divsChild>
                        <w:div w:id="2009364668">
                          <w:marLeft w:val="0"/>
                          <w:marRight w:val="0"/>
                          <w:marTop w:val="0"/>
                          <w:marBottom w:val="0"/>
                          <w:divBdr>
                            <w:top w:val="none" w:sz="0" w:space="0" w:color="auto"/>
                            <w:left w:val="none" w:sz="0" w:space="0" w:color="auto"/>
                            <w:bottom w:val="none" w:sz="0" w:space="0" w:color="auto"/>
                            <w:right w:val="none" w:sz="0" w:space="0" w:color="auto"/>
                          </w:divBdr>
                          <w:divsChild>
                            <w:div w:id="1233586250">
                              <w:marLeft w:val="0"/>
                              <w:marRight w:val="0"/>
                              <w:marTop w:val="0"/>
                              <w:marBottom w:val="0"/>
                              <w:divBdr>
                                <w:top w:val="none" w:sz="0" w:space="0" w:color="auto"/>
                                <w:left w:val="none" w:sz="0" w:space="0" w:color="auto"/>
                                <w:bottom w:val="none" w:sz="0" w:space="0" w:color="auto"/>
                                <w:right w:val="none" w:sz="0" w:space="0" w:color="auto"/>
                              </w:divBdr>
                              <w:divsChild>
                                <w:div w:id="516431202">
                                  <w:marLeft w:val="0"/>
                                  <w:marRight w:val="0"/>
                                  <w:marTop w:val="0"/>
                                  <w:marBottom w:val="0"/>
                                  <w:divBdr>
                                    <w:top w:val="none" w:sz="0" w:space="0" w:color="auto"/>
                                    <w:left w:val="none" w:sz="0" w:space="0" w:color="auto"/>
                                    <w:bottom w:val="none" w:sz="0" w:space="0" w:color="auto"/>
                                    <w:right w:val="none" w:sz="0" w:space="0" w:color="auto"/>
                                  </w:divBdr>
                                  <w:divsChild>
                                    <w:div w:id="1671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7815">
      <w:bodyDiv w:val="1"/>
      <w:marLeft w:val="0"/>
      <w:marRight w:val="0"/>
      <w:marTop w:val="0"/>
      <w:marBottom w:val="0"/>
      <w:divBdr>
        <w:top w:val="none" w:sz="0" w:space="0" w:color="auto"/>
        <w:left w:val="none" w:sz="0" w:space="0" w:color="auto"/>
        <w:bottom w:val="none" w:sz="0" w:space="0" w:color="auto"/>
        <w:right w:val="none" w:sz="0" w:space="0" w:color="auto"/>
      </w:divBdr>
    </w:div>
    <w:div w:id="1500194989">
      <w:bodyDiv w:val="1"/>
      <w:marLeft w:val="0"/>
      <w:marRight w:val="0"/>
      <w:marTop w:val="0"/>
      <w:marBottom w:val="0"/>
      <w:divBdr>
        <w:top w:val="none" w:sz="0" w:space="0" w:color="auto"/>
        <w:left w:val="none" w:sz="0" w:space="0" w:color="auto"/>
        <w:bottom w:val="none" w:sz="0" w:space="0" w:color="auto"/>
        <w:right w:val="none" w:sz="0" w:space="0" w:color="auto"/>
      </w:divBdr>
    </w:div>
    <w:div w:id="19086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32A8-BF62-4CB3-AE2A-58FA92E9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11120</Characters>
  <Application>Microsoft Office Word</Application>
  <DocSecurity>0</DocSecurity>
  <Lines>92</Lines>
  <Paragraphs>26</Paragraphs>
  <ScaleCrop>false</ScaleCrop>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2018-08-09T13:46:00Z</dcterms:created>
  <dcterms:modified xsi:type="dcterms:W3CDTF">2018-08-09T13:46:00Z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