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7A1319" w:rsidRDefault="000C2810" w:rsidP="008A6059">
      <w:pPr>
        <w:jc w:val="center"/>
        <w:rPr>
          <w:rFonts w:ascii="Book Antiqua" w:hAnsi="Book Antiqua" w:cs="Arial"/>
          <w:caps/>
          <w:color w:val="000000"/>
          <w:sz w:val="16"/>
          <w:szCs w:val="16"/>
        </w:rPr>
      </w:pPr>
      <w:r w:rsidRPr="007A1319">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7A1319"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6B5A88"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6B5A88" w:rsidRPr="006B5A88">
        <w:rPr>
          <w:rFonts w:ascii="Book Antiqua" w:hAnsi="Book Antiqua" w:cs="Arial"/>
          <w:caps/>
          <w:color w:val="000000"/>
        </w:rPr>
        <w:t>HU/08469/2015</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B4EB8" w:rsidTr="002B4EB8">
        <w:tc>
          <w:tcPr>
            <w:tcW w:w="6048" w:type="dxa"/>
            <w:shd w:val="clear" w:color="auto" w:fill="auto"/>
          </w:tcPr>
          <w:p w:rsidR="00D22636" w:rsidRPr="002B4EB8" w:rsidRDefault="00D22636" w:rsidP="002B4EB8">
            <w:pPr>
              <w:jc w:val="both"/>
              <w:rPr>
                <w:rFonts w:ascii="Book Antiqua" w:hAnsi="Book Antiqua" w:cs="Arial"/>
                <w:b/>
              </w:rPr>
            </w:pPr>
            <w:r w:rsidRPr="002B4EB8">
              <w:rPr>
                <w:rFonts w:ascii="Book Antiqua" w:hAnsi="Book Antiqua" w:cs="Arial"/>
                <w:b/>
              </w:rPr>
              <w:t xml:space="preserve">Heard at </w:t>
            </w:r>
            <w:r w:rsidR="006B5A88" w:rsidRPr="002B4EB8">
              <w:rPr>
                <w:rFonts w:ascii="Book Antiqua" w:hAnsi="Book Antiqua" w:cs="Arial"/>
                <w:b/>
              </w:rPr>
              <w:t>Field House</w:t>
            </w:r>
          </w:p>
        </w:tc>
        <w:tc>
          <w:tcPr>
            <w:tcW w:w="3960" w:type="dxa"/>
            <w:shd w:val="clear" w:color="auto" w:fill="auto"/>
          </w:tcPr>
          <w:p w:rsidR="00D22636" w:rsidRPr="002B4EB8" w:rsidRDefault="00D949B7" w:rsidP="002B4EB8">
            <w:pPr>
              <w:jc w:val="both"/>
              <w:rPr>
                <w:rFonts w:ascii="Book Antiqua" w:hAnsi="Book Antiqua" w:cs="Arial"/>
                <w:b/>
                <w:color w:val="000000"/>
              </w:rPr>
            </w:pPr>
            <w:r w:rsidRPr="002B4EB8">
              <w:rPr>
                <w:rFonts w:ascii="Book Antiqua" w:hAnsi="Book Antiqua" w:cs="Arial"/>
                <w:b/>
                <w:color w:val="000000"/>
              </w:rPr>
              <w:t>Decision &amp; Reasons</w:t>
            </w:r>
            <w:r w:rsidR="00283659" w:rsidRPr="002B4EB8">
              <w:rPr>
                <w:rFonts w:ascii="Book Antiqua" w:hAnsi="Book Antiqua" w:cs="Arial"/>
                <w:b/>
                <w:color w:val="000000"/>
              </w:rPr>
              <w:t xml:space="preserve"> Promulgated</w:t>
            </w:r>
          </w:p>
        </w:tc>
      </w:tr>
      <w:tr w:rsidR="00D22636" w:rsidRPr="002B4EB8" w:rsidTr="002B4EB8">
        <w:tc>
          <w:tcPr>
            <w:tcW w:w="6048" w:type="dxa"/>
            <w:shd w:val="clear" w:color="auto" w:fill="auto"/>
          </w:tcPr>
          <w:p w:rsidR="00D22636" w:rsidRPr="002B4EB8" w:rsidRDefault="00D22636" w:rsidP="002B4EB8">
            <w:pPr>
              <w:jc w:val="both"/>
              <w:rPr>
                <w:rFonts w:ascii="Book Antiqua" w:hAnsi="Book Antiqua" w:cs="Arial"/>
                <w:b/>
              </w:rPr>
            </w:pPr>
            <w:r w:rsidRPr="002B4EB8">
              <w:rPr>
                <w:rFonts w:ascii="Book Antiqua" w:hAnsi="Book Antiqua" w:cs="Arial"/>
                <w:b/>
              </w:rPr>
              <w:t xml:space="preserve">On </w:t>
            </w:r>
            <w:r w:rsidR="006B5A88" w:rsidRPr="002B4EB8">
              <w:rPr>
                <w:rFonts w:ascii="Book Antiqua" w:hAnsi="Book Antiqua" w:cs="Arial"/>
                <w:b/>
              </w:rPr>
              <w:t>10</w:t>
            </w:r>
            <w:r w:rsidR="006B5A88" w:rsidRPr="002B4EB8">
              <w:rPr>
                <w:rFonts w:ascii="Book Antiqua" w:hAnsi="Book Antiqua" w:cs="Arial"/>
                <w:b/>
                <w:vertAlign w:val="superscript"/>
              </w:rPr>
              <w:t>th</w:t>
            </w:r>
            <w:r w:rsidR="006B5A88" w:rsidRPr="002B4EB8">
              <w:rPr>
                <w:rFonts w:ascii="Book Antiqua" w:hAnsi="Book Antiqua" w:cs="Arial"/>
                <w:b/>
              </w:rPr>
              <w:t xml:space="preserve"> May 2018</w:t>
            </w:r>
          </w:p>
        </w:tc>
        <w:tc>
          <w:tcPr>
            <w:tcW w:w="3960" w:type="dxa"/>
            <w:shd w:val="clear" w:color="auto" w:fill="auto"/>
          </w:tcPr>
          <w:p w:rsidR="00D22636" w:rsidRPr="002B4EB8" w:rsidRDefault="000C2810" w:rsidP="002B4EB8">
            <w:pPr>
              <w:jc w:val="both"/>
              <w:rPr>
                <w:rFonts w:ascii="Book Antiqua" w:hAnsi="Book Antiqua" w:cs="Arial"/>
                <w:b/>
              </w:rPr>
            </w:pPr>
            <w:r>
              <w:rPr>
                <w:rFonts w:ascii="Book Antiqua" w:hAnsi="Book Antiqua" w:cs="Arial"/>
                <w:b/>
              </w:rPr>
              <w:t>On 31</w:t>
            </w:r>
            <w:r w:rsidRPr="000C2810">
              <w:rPr>
                <w:rFonts w:ascii="Book Antiqua" w:hAnsi="Book Antiqua" w:cs="Arial"/>
                <w:b/>
                <w:vertAlign w:val="superscript"/>
              </w:rPr>
              <w:t>st</w:t>
            </w:r>
            <w:r>
              <w:rPr>
                <w:rFonts w:ascii="Book Antiqua" w:hAnsi="Book Antiqua" w:cs="Arial"/>
                <w:b/>
              </w:rPr>
              <w:t xml:space="preserve"> May 2018</w:t>
            </w:r>
          </w:p>
        </w:tc>
      </w:tr>
      <w:tr w:rsidR="00D22636" w:rsidRPr="002B4EB8" w:rsidTr="002B4EB8">
        <w:tc>
          <w:tcPr>
            <w:tcW w:w="6048" w:type="dxa"/>
            <w:shd w:val="clear" w:color="auto" w:fill="auto"/>
          </w:tcPr>
          <w:p w:rsidR="00D22636" w:rsidRPr="002B4EB8" w:rsidRDefault="00D22636" w:rsidP="002B4EB8">
            <w:pPr>
              <w:jc w:val="both"/>
              <w:rPr>
                <w:rFonts w:ascii="Book Antiqua" w:hAnsi="Book Antiqua" w:cs="Arial"/>
                <w:b/>
              </w:rPr>
            </w:pPr>
          </w:p>
        </w:tc>
        <w:tc>
          <w:tcPr>
            <w:tcW w:w="3960" w:type="dxa"/>
            <w:shd w:val="clear" w:color="auto" w:fill="auto"/>
          </w:tcPr>
          <w:p w:rsidR="00D22636" w:rsidRPr="002B4EB8" w:rsidRDefault="00D22636" w:rsidP="002B4EB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rsidR="00D20757" w:rsidRDefault="00D20757" w:rsidP="00A15234">
      <w:pPr>
        <w:jc w:val="center"/>
        <w:rPr>
          <w:rFonts w:ascii="Book Antiqua" w:hAnsi="Book Antiqua" w:cs="Arial"/>
          <w:b/>
        </w:rPr>
      </w:pPr>
    </w:p>
    <w:p w:rsidR="007A1319" w:rsidRPr="009B7433" w:rsidRDefault="007A1319"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944D0" w:rsidRPr="009B7433" w:rsidRDefault="00A944D0" w:rsidP="00A15234">
      <w:pPr>
        <w:jc w:val="center"/>
        <w:rPr>
          <w:rFonts w:ascii="Book Antiqua" w:hAnsi="Book Antiqua" w:cs="Arial"/>
          <w:b/>
        </w:rPr>
      </w:pPr>
      <w:r>
        <w:rPr>
          <w:rFonts w:ascii="Book Antiqua" w:hAnsi="Book Antiqua" w:cs="Arial"/>
          <w:b/>
        </w:rPr>
        <w:t>ENTRY CLEARANCE OFFICER – NEW DELHI</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6B5A88" w:rsidRDefault="006B5A88" w:rsidP="006B5A88">
      <w:pPr>
        <w:jc w:val="center"/>
        <w:rPr>
          <w:rFonts w:ascii="Book Antiqua" w:hAnsi="Book Antiqua" w:cs="Arial"/>
          <w:b/>
          <w:caps/>
        </w:rPr>
      </w:pPr>
      <w:r>
        <w:rPr>
          <w:rFonts w:ascii="Book Antiqua" w:hAnsi="Book Antiqua" w:cs="Arial"/>
          <w:b/>
          <w:caps/>
        </w:rPr>
        <w:t>Mrs Hafiza Mahbub Nila</w:t>
      </w:r>
    </w:p>
    <w:p w:rsidR="00DD5071" w:rsidRPr="007A1319" w:rsidRDefault="006B5A88" w:rsidP="00704B61">
      <w:pPr>
        <w:jc w:val="center"/>
        <w:rPr>
          <w:rFonts w:ascii="Book Antiqua" w:hAnsi="Book Antiqua" w:cs="Arial"/>
          <w:b/>
          <w:sz w:val="22"/>
        </w:rPr>
      </w:pPr>
      <w:r w:rsidRPr="007A1319">
        <w:rPr>
          <w:rFonts w:ascii="Book Antiqua" w:hAnsi="Book Antiqua" w:cs="Arial"/>
          <w:b/>
          <w:caps/>
          <w:sz w:val="22"/>
        </w:rPr>
        <w:t xml:space="preserve">(ANONYMITY DIRECTION </w:t>
      </w:r>
      <w:bookmarkStart w:id="1" w:name="Text21"/>
      <w:r w:rsidR="00563C8E" w:rsidRPr="007A1319">
        <w:rPr>
          <w:rFonts w:ascii="Book Antiqua" w:hAnsi="Book Antiqua" w:cs="Arial"/>
          <w:b/>
          <w:caps/>
          <w:sz w:val="22"/>
        </w:rPr>
        <w:fldChar w:fldCharType="begin">
          <w:ffData>
            <w:name w:val="Text21"/>
            <w:enabled/>
            <w:calcOnExit w:val="0"/>
            <w:textInput>
              <w:default w:val="NOT MADE"/>
            </w:textInput>
          </w:ffData>
        </w:fldChar>
      </w:r>
      <w:r w:rsidR="00563C8E" w:rsidRPr="007A1319">
        <w:rPr>
          <w:rFonts w:ascii="Book Antiqua" w:hAnsi="Book Antiqua" w:cs="Arial"/>
          <w:b/>
          <w:caps/>
          <w:sz w:val="22"/>
        </w:rPr>
        <w:instrText xml:space="preserve"> FORMTEXT </w:instrText>
      </w:r>
      <w:r w:rsidR="00563C8E" w:rsidRPr="007A1319">
        <w:rPr>
          <w:rFonts w:ascii="Book Antiqua" w:hAnsi="Book Antiqua" w:cs="Arial"/>
          <w:b/>
          <w:caps/>
          <w:sz w:val="22"/>
        </w:rPr>
      </w:r>
      <w:r w:rsidR="00563C8E" w:rsidRPr="007A1319">
        <w:rPr>
          <w:rFonts w:ascii="Book Antiqua" w:hAnsi="Book Antiqua" w:cs="Arial"/>
          <w:b/>
          <w:caps/>
          <w:sz w:val="22"/>
        </w:rPr>
        <w:fldChar w:fldCharType="separate"/>
      </w:r>
      <w:r w:rsidR="00563C8E" w:rsidRPr="007A1319">
        <w:rPr>
          <w:rFonts w:ascii="Book Antiqua" w:hAnsi="Book Antiqua" w:cs="Arial"/>
          <w:b/>
          <w:caps/>
          <w:noProof/>
          <w:sz w:val="22"/>
        </w:rPr>
        <w:t>NOT MADE</w:t>
      </w:r>
      <w:r w:rsidR="00563C8E" w:rsidRPr="007A1319">
        <w:rPr>
          <w:rFonts w:ascii="Book Antiqua" w:hAnsi="Book Antiqua" w:cs="Arial"/>
          <w:b/>
          <w:caps/>
          <w:sz w:val="22"/>
        </w:rPr>
        <w:fldChar w:fldCharType="end"/>
      </w:r>
      <w:bookmarkEnd w:id="1"/>
      <w:r w:rsidRPr="007A1319">
        <w:rPr>
          <w:rFonts w:ascii="Book Antiqua" w:hAnsi="Book Antiqua" w:cs="Arial"/>
          <w:b/>
          <w:caps/>
          <w:sz w:val="22"/>
        </w:rPr>
        <w: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487D33" w:rsidRPr="00487D33">
        <w:rPr>
          <w:rFonts w:ascii="Book Antiqua" w:hAnsi="Book Antiqua" w:cs="Courier New"/>
        </w:rPr>
        <w:t xml:space="preserve">Mr S </w:t>
      </w:r>
      <w:proofErr w:type="spellStart"/>
      <w:r w:rsidR="00487D33" w:rsidRPr="00487D33">
        <w:rPr>
          <w:rFonts w:ascii="Book Antiqua" w:hAnsi="Book Antiqua" w:cs="Courier New"/>
        </w:rPr>
        <w:t>Kandola</w:t>
      </w:r>
      <w:proofErr w:type="spellEnd"/>
      <w:r w:rsidR="00487D33" w:rsidRPr="00487D33">
        <w:rPr>
          <w:rFonts w:ascii="Book Antiqua" w:hAnsi="Book Antiqua" w:cs="Courier New"/>
        </w:rPr>
        <w:t xml:space="preserve">, </w:t>
      </w:r>
      <w:r w:rsidR="00A944D0">
        <w:rPr>
          <w:rFonts w:ascii="Book Antiqua" w:hAnsi="Book Antiqua" w:cs="Courier New"/>
        </w:rPr>
        <w:t>Senior</w:t>
      </w:r>
      <w:r w:rsidR="00487D33" w:rsidRPr="00487D33">
        <w:rPr>
          <w:rFonts w:ascii="Book Antiqua" w:hAnsi="Book Antiqua" w:cs="Courier New"/>
        </w:rPr>
        <w:t xml:space="preserve"> Presenting Officer</w:t>
      </w:r>
    </w:p>
    <w:p w:rsidR="00DE7DB7" w:rsidRPr="00487D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487D33">
        <w:rPr>
          <w:rFonts w:ascii="Book Antiqua" w:hAnsi="Book Antiqua" w:cs="Arial"/>
        </w:rPr>
        <w:t xml:space="preserve">Mr D </w:t>
      </w:r>
      <w:proofErr w:type="spellStart"/>
      <w:r w:rsidR="00487D33">
        <w:rPr>
          <w:rFonts w:ascii="Book Antiqua" w:hAnsi="Book Antiqua" w:cs="Arial"/>
        </w:rPr>
        <w:t>Chuckooa</w:t>
      </w:r>
      <w:proofErr w:type="spellEnd"/>
      <w:r w:rsidR="00487D33">
        <w:rPr>
          <w:rFonts w:ascii="Book Antiqua" w:hAnsi="Book Antiqua" w:cs="Arial"/>
        </w:rPr>
        <w:t xml:space="preserve">, solicitor, </w:t>
      </w:r>
      <w:r w:rsidR="00487D33" w:rsidRPr="00487D33">
        <w:rPr>
          <w:rFonts w:ascii="Book Antiqua" w:hAnsi="Book Antiqua" w:cs="Arial"/>
        </w:rPr>
        <w:t xml:space="preserve">Bridgewater Solicitors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9D348A" w:rsidRDefault="00A944D0" w:rsidP="007A1319">
      <w:pPr>
        <w:pStyle w:val="p"/>
      </w:pPr>
      <w:r>
        <w:t xml:space="preserve">The Entry Clearance Officer appeals against the decision of First-tier Tribunal Judge Majid promulgated </w:t>
      </w:r>
      <w:r w:rsidR="008A1698">
        <w:t>on 21</w:t>
      </w:r>
      <w:r w:rsidR="008A1698" w:rsidRPr="008A1698">
        <w:rPr>
          <w:vertAlign w:val="superscript"/>
        </w:rPr>
        <w:t>st</w:t>
      </w:r>
      <w:r w:rsidR="008A1698">
        <w:t xml:space="preserve"> August 2017 allowing the appeal of the Appellant on the basis of her refused application for leave to enter the UK as the partner of a settled person.  The Entry Clearance Officer was granted permission to appeal by First-tier Tribunal Judge </w:t>
      </w:r>
      <w:proofErr w:type="spellStart"/>
      <w:r w:rsidR="008A1698">
        <w:t>Alis</w:t>
      </w:r>
      <w:proofErr w:type="spellEnd"/>
      <w:r w:rsidR="008A1698">
        <w:t>.  The reasons given for granting permission may be summarised as follows:</w:t>
      </w:r>
    </w:p>
    <w:p w:rsidR="008A1698" w:rsidRDefault="004762E2" w:rsidP="007A1319">
      <w:pPr>
        <w:pStyle w:val="q"/>
        <w:spacing w:before="120"/>
      </w:pPr>
      <w:r>
        <w:lastRenderedPageBreak/>
        <w:t xml:space="preserve">“The </w:t>
      </w:r>
      <w:r w:rsidR="00FB0789">
        <w:t xml:space="preserve">Grounds of Appeal argue the judge erred by failing to deal with evidence and identify why the appeal, with reference to the evidence, was allowed.  The </w:t>
      </w:r>
      <w:r>
        <w:t xml:space="preserve">decision consists of 25 paragraphs but of those paragraphs it is arguable that only </w:t>
      </w:r>
      <w:r w:rsidR="00FB0789">
        <w:t xml:space="preserve">paragraphs </w:t>
      </w:r>
      <w:r>
        <w:t>1</w:t>
      </w:r>
      <w:r w:rsidR="00FB0789">
        <w:t xml:space="preserve"> to </w:t>
      </w:r>
      <w:r>
        <w:t xml:space="preserve">2 and 10 </w:t>
      </w:r>
      <w:r w:rsidR="00FB0789">
        <w:t>to</w:t>
      </w:r>
      <w:r>
        <w:t xml:space="preserve"> 12 have any relevance to this appeal.  At </w:t>
      </w:r>
      <w:r w:rsidR="00FB0789">
        <w:t xml:space="preserve">paragraph </w:t>
      </w:r>
      <w:r>
        <w:t xml:space="preserve">12 the </w:t>
      </w:r>
      <w:r w:rsidR="00FB0789">
        <w:t>j</w:t>
      </w:r>
      <w:r>
        <w:t>udge made findings but failed to identify which evidence supported the findings.</w:t>
      </w:r>
      <w:r w:rsidR="00FB0789">
        <w:t xml:space="preserve">  It is arguable that anyone reading the judge’s decision would be left wondering why the appeal was allowed.  The grounds are all arguable.</w:t>
      </w:r>
      <w:r>
        <w:t>”</w:t>
      </w:r>
    </w:p>
    <w:p w:rsidR="003A2DCC" w:rsidRDefault="003A2DCC" w:rsidP="007A1319">
      <w:pPr>
        <w:pStyle w:val="p"/>
      </w:pPr>
      <w:r>
        <w:t xml:space="preserve">I was not provided with a Rule 24 reply from Mrs </w:t>
      </w:r>
      <w:proofErr w:type="spellStart"/>
      <w:r>
        <w:t>Nila’s</w:t>
      </w:r>
      <w:proofErr w:type="spellEnd"/>
      <w:r>
        <w:t xml:space="preserve"> representative but was addressed by her solicitor in submissions</w:t>
      </w:r>
      <w:r w:rsidR="003A3CAA">
        <w:t xml:space="preserve"> whom indicated that the appeal was resisted</w:t>
      </w:r>
      <w:r>
        <w:t>.</w:t>
      </w:r>
    </w:p>
    <w:p w:rsidR="003A2DCC" w:rsidRDefault="003A2DCC" w:rsidP="007A1319">
      <w:pPr>
        <w:pStyle w:val="h"/>
      </w:pPr>
      <w:r w:rsidRPr="0079631E">
        <w:t>Error of Law</w:t>
      </w:r>
    </w:p>
    <w:p w:rsidR="003A2DCC" w:rsidRDefault="003A2DCC" w:rsidP="007A1319">
      <w:pPr>
        <w:pStyle w:val="p"/>
      </w:pPr>
      <w:r>
        <w:t>At the close of hearing I indicated I found that there was an error of law but that my reasons for so finding would follow, which I shall now give.</w:t>
      </w:r>
    </w:p>
    <w:p w:rsidR="00AB6C87" w:rsidRDefault="00EE067D" w:rsidP="007A1319">
      <w:pPr>
        <w:pStyle w:val="p"/>
      </w:pPr>
      <w:r>
        <w:t xml:space="preserve">The grounds argue that the decision of Judge Majid fails to record the reasons given for refusal of entry clearance to Mrs </w:t>
      </w:r>
      <w:proofErr w:type="spellStart"/>
      <w:r>
        <w:t>Nila</w:t>
      </w:r>
      <w:proofErr w:type="spellEnd"/>
      <w:r>
        <w:t xml:space="preserve"> which required resolution by the judge.  This observation is indeed correct. Judge </w:t>
      </w:r>
      <w:proofErr w:type="spellStart"/>
      <w:r>
        <w:t>Alis</w:t>
      </w:r>
      <w:proofErr w:type="spellEnd"/>
      <w:r>
        <w:t xml:space="preserve"> is right to observe that Judge Majid does make findings, however, these findings </w:t>
      </w:r>
      <w:r w:rsidR="003A3CAA">
        <w:t xml:space="preserve">at paragraph 12 of the decision </w:t>
      </w:r>
      <w:r>
        <w:t>are not made with reference to specific pieces of specified evidence alongside the Immigration Rules in respect of specif</w:t>
      </w:r>
      <w:r w:rsidR="00296515">
        <w:t xml:space="preserve">ied evidentiary </w:t>
      </w:r>
      <w:r>
        <w:t>evidence (Appendix FM-SE)</w:t>
      </w:r>
      <w:r w:rsidR="00296515">
        <w:t xml:space="preserve"> under which the refusal of entry clearance was partly made.</w:t>
      </w:r>
      <w:r w:rsidR="005B09DC">
        <w:t xml:space="preserve">  Thus</w:t>
      </w:r>
      <w:r w:rsidR="003A3CAA">
        <w:t>,</w:t>
      </w:r>
      <w:r w:rsidR="005B09DC">
        <w:t xml:space="preserve"> the complaint that the Entry Clearance Officer would be unable to know the reasons why the appeal has succeeded is a valid one.  For Mrs </w:t>
      </w:r>
      <w:proofErr w:type="spellStart"/>
      <w:r w:rsidR="005B09DC">
        <w:t>Nila</w:t>
      </w:r>
      <w:proofErr w:type="spellEnd"/>
      <w:r w:rsidR="005B09DC">
        <w:t xml:space="preserve">, Mr </w:t>
      </w:r>
      <w:proofErr w:type="spellStart"/>
      <w:r w:rsidR="005B09DC">
        <w:t>Chuckooa</w:t>
      </w:r>
      <w:proofErr w:type="spellEnd"/>
      <w:r w:rsidR="005B09DC">
        <w:t xml:space="preserve"> was only able to point to paragraph 18 of the decision where Judge Majid said that the evidence adduced on the Appellant’s behalf was credible.  However, he had to accept that that one sentence paragraph contained no analysis of the evidence.  Mr </w:t>
      </w:r>
      <w:proofErr w:type="spellStart"/>
      <w:r w:rsidR="005B09DC">
        <w:t>Chuckooa</w:t>
      </w:r>
      <w:proofErr w:type="spellEnd"/>
      <w:r w:rsidR="005B09DC">
        <w:t xml:space="preserve"> was also further unable to demonstrate any analysis of the evidence that was sent by reference to the application as opposed to being sent on appeal (although such evidence is </w:t>
      </w:r>
      <w:r w:rsidR="00791780">
        <w:t xml:space="preserve">admissible and may be considered pursuant to the Immigration Rules: see paragraph </w:t>
      </w:r>
      <w:r w:rsidR="002C3088" w:rsidRPr="002C3088">
        <w:t>276ADE(A0)</w:t>
      </w:r>
      <w:r w:rsidR="008F24F9">
        <w:t xml:space="preserve">).  </w:t>
      </w:r>
    </w:p>
    <w:p w:rsidR="003A2DCC" w:rsidRDefault="008F24F9" w:rsidP="007A1319">
      <w:pPr>
        <w:pStyle w:val="p"/>
      </w:pPr>
      <w:r>
        <w:t xml:space="preserve">When I asked Mr </w:t>
      </w:r>
      <w:proofErr w:type="spellStart"/>
      <w:r>
        <w:t>Chuckooa</w:t>
      </w:r>
      <w:proofErr w:type="spellEnd"/>
      <w:r>
        <w:t xml:space="preserve"> where the basis upon which the appeal would have succeeded was evident he could only point to paragraph 24, which stated in summary that Judge Majid could not “ignore the ‘legal requirements’ stipulated by immigration law</w:t>
      </w:r>
      <w:r w:rsidR="00135117">
        <w:t xml:space="preserve">”, and that the Appellant could “benefit from the relevant Rules as indicated in paragraph 12 above”.  That wording is extremely similar if not identical to the wording referred to by the Upper Tribunal in the unreported judgment of </w:t>
      </w:r>
      <w:r w:rsidR="00E95193" w:rsidRPr="00E95193">
        <w:rPr>
          <w:i/>
        </w:rPr>
        <w:t xml:space="preserve">MM </w:t>
      </w:r>
      <w:r w:rsidR="00E95193">
        <w:rPr>
          <w:i/>
        </w:rPr>
        <w:t>and Others</w:t>
      </w:r>
      <w:r w:rsidR="00E95193">
        <w:t xml:space="preserve"> </w:t>
      </w:r>
      <w:r w:rsidR="00E95193" w:rsidRPr="00CD1CF0">
        <w:rPr>
          <w:i/>
        </w:rPr>
        <w:t>(AA/06906/2014)</w:t>
      </w:r>
      <w:r w:rsidR="00E95193">
        <w:t xml:space="preserve"> wherein the Upper Tribunal panel </w:t>
      </w:r>
      <w:r w:rsidR="00CD1CF0">
        <w:t>at paragraphs 18 to 20 of their decision stated as follows</w:t>
      </w:r>
      <w:r w:rsidR="000B683E">
        <w:t xml:space="preserve"> in respect of other decisions of Judge Majid</w:t>
      </w:r>
      <w:r w:rsidR="00CD1CF0">
        <w:t>:</w:t>
      </w:r>
    </w:p>
    <w:p w:rsidR="00CD1CF0" w:rsidRPr="007A1319" w:rsidRDefault="00CD1CF0" w:rsidP="007A1319">
      <w:pPr>
        <w:pStyle w:val="q"/>
        <w:spacing w:before="120"/>
        <w:ind w:right="567"/>
        <w:rPr>
          <w:sz w:val="22"/>
        </w:rPr>
      </w:pPr>
      <w:r w:rsidRPr="007A1319">
        <w:rPr>
          <w:sz w:val="22"/>
        </w:rPr>
        <w:t>“</w:t>
      </w:r>
      <w:r w:rsidR="00820799" w:rsidRPr="007A1319">
        <w:rPr>
          <w:sz w:val="22"/>
        </w:rPr>
        <w:t xml:space="preserve">Many of the cases depend on the application of the Immigration Rules.  </w:t>
      </w:r>
      <w:r w:rsidR="005D6600" w:rsidRPr="007A1319">
        <w:rPr>
          <w:sz w:val="22"/>
        </w:rPr>
        <w:t xml:space="preserve">Taken as a whole, those </w:t>
      </w:r>
      <w:r w:rsidR="00820799" w:rsidRPr="007A1319">
        <w:rPr>
          <w:sz w:val="22"/>
        </w:rPr>
        <w:t xml:space="preserve">Rules are notoriously complex, but an individual case usually raises a specific issue on the application of one </w:t>
      </w:r>
      <w:r w:rsidR="000B683E" w:rsidRPr="007A1319">
        <w:rPr>
          <w:sz w:val="22"/>
        </w:rPr>
        <w:t xml:space="preserve">or more provisions of the Rules </w:t>
      </w:r>
      <w:r w:rsidR="00820799" w:rsidRPr="007A1319">
        <w:rPr>
          <w:sz w:val="22"/>
        </w:rPr>
        <w:t xml:space="preserve">to the facts.  Judge Majid refers in general terms to the Rules, but in none of the decisions under appeal does he set out the part of the Rules that is in issue, and to be frank, in none of the decisions under appeal does he give the least reason to suppose that he is aware what the relevant requirements of the Rules are.  The conclusions cited above indicate that; and we give details in our decisions on the individual appeals.  </w:t>
      </w:r>
      <w:r w:rsidR="00820799" w:rsidRPr="007A1319">
        <w:rPr>
          <w:sz w:val="22"/>
        </w:rPr>
        <w:lastRenderedPageBreak/>
        <w:t xml:space="preserve">As a result, whoever wins the case can have no confidence that ‘the ‘legal requirements’ stipulated by immigration law’ have been followed at all.  It is not surprising that in a number of the appeals before us, the </w:t>
      </w:r>
      <w:r w:rsidR="006C5CC3" w:rsidRPr="007A1319">
        <w:rPr>
          <w:sz w:val="22"/>
        </w:rPr>
        <w:t>Grounds of Appeal</w:t>
      </w:r>
      <w:r w:rsidR="00820799" w:rsidRPr="007A1319">
        <w:rPr>
          <w:sz w:val="22"/>
        </w:rPr>
        <w:t xml:space="preserve"> focus on the inadequacy of reasons given.  Parties to an appeal are entitled to know why they have won or lost.</w:t>
      </w:r>
      <w:r w:rsidRPr="007A1319">
        <w:rPr>
          <w:sz w:val="22"/>
        </w:rPr>
        <w:t>”</w:t>
      </w:r>
    </w:p>
    <w:p w:rsidR="00820799" w:rsidRDefault="00820799" w:rsidP="007A1319">
      <w:pPr>
        <w:pStyle w:val="p"/>
      </w:pPr>
      <w:r>
        <w:t xml:space="preserve">As the above excerpt shows, the criticism made of Judge Majid’s decision here is strikingly similar to that made in previous appeals </w:t>
      </w:r>
      <w:r w:rsidR="000B683E">
        <w:t>which was robustly</w:t>
      </w:r>
      <w:r>
        <w:t xml:space="preserve"> criticised by the Upper </w:t>
      </w:r>
      <w:r w:rsidR="0053316B">
        <w:t>Tribunal in that unreported decision of 30</w:t>
      </w:r>
      <w:r w:rsidR="0053316B" w:rsidRPr="0053316B">
        <w:rPr>
          <w:vertAlign w:val="superscript"/>
        </w:rPr>
        <w:t>th</w:t>
      </w:r>
      <w:r w:rsidR="0053316B">
        <w:t xml:space="preserve"> August 2017.</w:t>
      </w:r>
    </w:p>
    <w:p w:rsidR="003D6043" w:rsidRPr="003D6043" w:rsidRDefault="0053316B" w:rsidP="007A1319">
      <w:pPr>
        <w:pStyle w:val="p"/>
      </w:pPr>
      <w:r>
        <w:t>It is indeed correct that the parties to an appeal are entitled to know why they have won or lost.  In that respect</w:t>
      </w:r>
      <w:r w:rsidR="000B683E">
        <w:t>,</w:t>
      </w:r>
      <w:r>
        <w:t xml:space="preserve"> the judge’s decision also is flawed in that it is inconsistent with the head note of </w:t>
      </w:r>
      <w:proofErr w:type="spellStart"/>
      <w:r w:rsidR="00635D23" w:rsidRPr="00635D23">
        <w:rPr>
          <w:i/>
        </w:rPr>
        <w:t>Budhathoki</w:t>
      </w:r>
      <w:proofErr w:type="spellEnd"/>
      <w:r w:rsidR="00635D23" w:rsidRPr="00635D23">
        <w:rPr>
          <w:i/>
        </w:rPr>
        <w:t xml:space="preserve"> (reasons for decisions)</w:t>
      </w:r>
      <w:r w:rsidR="00635D23" w:rsidRPr="00635D23">
        <w:t xml:space="preserve"> [2014] UKUT 00341 (IAC)</w:t>
      </w:r>
      <w:r w:rsidR="00635D23">
        <w:t>, which states that: “</w:t>
      </w:r>
      <w:r w:rsidR="00635D23" w:rsidRPr="00635D23">
        <w:t>It is, however, necessary for judges to identify and resolve key conflicts in the evidence and explain in clear and brief terms their reasons, so that the parties can under</w:t>
      </w:r>
      <w:r w:rsidR="00635D23">
        <w:t>stand why they have won or lost.”</w:t>
      </w:r>
      <w:r w:rsidR="003D6043">
        <w:t xml:space="preserve">  </w:t>
      </w:r>
      <w:proofErr w:type="gramStart"/>
      <w:r w:rsidR="00635D23">
        <w:t>Furthermore</w:t>
      </w:r>
      <w:proofErr w:type="gramEnd"/>
      <w:r w:rsidR="00635D23">
        <w:t xml:space="preserve"> the judge’s decision lack</w:t>
      </w:r>
      <w:r w:rsidR="000B683E">
        <w:t>s</w:t>
      </w:r>
      <w:r w:rsidR="00635D23">
        <w:t xml:space="preserve"> clear reasons </w:t>
      </w:r>
      <w:r w:rsidR="000B683E">
        <w:t xml:space="preserve">for why the judge concluded in one direction rather than the other, </w:t>
      </w:r>
      <w:r w:rsidR="00635D23">
        <w:t xml:space="preserve">and is furthermore inconsistent with the Upper Tribunal’s decision in </w:t>
      </w:r>
      <w:r w:rsidR="003D6043" w:rsidRPr="003D6043">
        <w:rPr>
          <w:i/>
        </w:rPr>
        <w:t>MK (duty to give reasons) Pakistan</w:t>
      </w:r>
      <w:r w:rsidR="003D6043" w:rsidRPr="003D6043">
        <w:t xml:space="preserve"> [2013] UKUT 641 (IAC)</w:t>
      </w:r>
      <w:r w:rsidR="003D6043">
        <w:t xml:space="preserve">, which makes clear that it </w:t>
      </w:r>
      <w:r w:rsidR="003D6043" w:rsidRPr="003D6043">
        <w:t xml:space="preserve">is axiomatic that a </w:t>
      </w:r>
      <w:r w:rsidR="003D6043">
        <w:t>determination</w:t>
      </w:r>
      <w:r w:rsidR="003D6043" w:rsidRPr="003D6043">
        <w:t xml:space="preserve"> discloses clearly the reasons for a </w:t>
      </w:r>
      <w:r w:rsidR="003D6043">
        <w:t>Tribunal’s decision.</w:t>
      </w:r>
    </w:p>
    <w:p w:rsidR="003D6043" w:rsidRPr="003D6043" w:rsidRDefault="00B97B23" w:rsidP="007A1319">
      <w:pPr>
        <w:pStyle w:val="p"/>
      </w:pPr>
      <w:r>
        <w:t xml:space="preserve">Therefore, in light of the above findings, the Entry Clearance Officer’s </w:t>
      </w:r>
      <w:r w:rsidR="006C5CC3">
        <w:t>appeal against the findings of the First-tier Tribunal J</w:t>
      </w:r>
      <w:r w:rsidR="000B683E">
        <w:t>udge does</w:t>
      </w:r>
      <w:r>
        <w:t xml:space="preserve"> reveal material error</w:t>
      </w:r>
      <w:r w:rsidR="000B683E">
        <w:t xml:space="preserve">s of law such that the decision </w:t>
      </w:r>
      <w:r>
        <w:t>should be set aside.</w:t>
      </w:r>
    </w:p>
    <w:p w:rsidR="00D949B7" w:rsidRPr="00D949B7" w:rsidRDefault="00D949B7" w:rsidP="007A1319">
      <w:pPr>
        <w:pStyle w:val="h"/>
      </w:pPr>
      <w:r w:rsidRPr="00D949B7">
        <w:t>Notice of Decision</w:t>
      </w:r>
    </w:p>
    <w:p w:rsidR="00D949B7" w:rsidRDefault="00B23896" w:rsidP="007A1319">
      <w:pPr>
        <w:pStyle w:val="p"/>
      </w:pPr>
      <w:r>
        <w:t>The appeal to the Upper Tribunal is allowed.</w:t>
      </w:r>
    </w:p>
    <w:p w:rsidR="00B23896" w:rsidRDefault="00B23896" w:rsidP="007A1319">
      <w:pPr>
        <w:pStyle w:val="p"/>
      </w:pPr>
      <w:r>
        <w:t>The decision of the First-tier Tribunal is hereby set asid</w:t>
      </w:r>
      <w:r w:rsidR="000B683E">
        <w:t xml:space="preserve">e and the appeal is remitted to </w:t>
      </w:r>
      <w:r>
        <w:t xml:space="preserve">be heard by a differently constituted bench of the First-tier Tribunal </w:t>
      </w:r>
      <w:r w:rsidRPr="00B23896">
        <w:rPr>
          <w:i/>
        </w:rPr>
        <w:t>de novo</w:t>
      </w:r>
      <w:r>
        <w:t>.</w:t>
      </w:r>
    </w:p>
    <w:p w:rsidR="00D949B7" w:rsidRDefault="00D949B7" w:rsidP="007A1319">
      <w:pPr>
        <w:pStyle w:val="p"/>
      </w:pPr>
      <w:r w:rsidRPr="00D949B7">
        <w:t>No anonymity direction is made.</w:t>
      </w:r>
    </w:p>
    <w:p w:rsidR="00B23896" w:rsidRDefault="00B23896" w:rsidP="007A1319">
      <w:pPr>
        <w:pStyle w:val="h"/>
      </w:pPr>
      <w:r>
        <w:t>Directions</w:t>
      </w:r>
    </w:p>
    <w:p w:rsidR="005C7AF5" w:rsidRDefault="005C7AF5" w:rsidP="007A1319">
      <w:pPr>
        <w:pStyle w:val="DIR"/>
        <w:spacing w:before="120"/>
      </w:pPr>
      <w:r>
        <w:t>The appeal is remitted to be heard at IAC Taylor House by a differently constituted bench.</w:t>
      </w:r>
    </w:p>
    <w:p w:rsidR="005C7AF5" w:rsidRDefault="005C7AF5" w:rsidP="007A1319">
      <w:pPr>
        <w:pStyle w:val="DIR"/>
        <w:spacing w:before="120"/>
      </w:pPr>
      <w:r>
        <w:t>No interpreter is required.</w:t>
      </w:r>
    </w:p>
    <w:p w:rsidR="005C7AF5" w:rsidRDefault="005C7AF5" w:rsidP="007A1319">
      <w:pPr>
        <w:pStyle w:val="DIR"/>
        <w:spacing w:before="120"/>
      </w:pPr>
      <w:r>
        <w:t>The appeal is to be listed for two hours.</w:t>
      </w:r>
    </w:p>
    <w:p w:rsidR="005C7AF5" w:rsidRDefault="005C7AF5" w:rsidP="007A1319">
      <w:pPr>
        <w:pStyle w:val="DIR"/>
        <w:spacing w:before="120"/>
      </w:pPr>
      <w:r>
        <w:t xml:space="preserve">Mrs </w:t>
      </w:r>
      <w:proofErr w:type="spellStart"/>
      <w:r>
        <w:t>Nila’s</w:t>
      </w:r>
      <w:proofErr w:type="spellEnd"/>
      <w:r>
        <w:t xml:space="preserve"> solicitor has indicated that there will be two witnesses giving oral evidence.</w:t>
      </w:r>
    </w:p>
    <w:p w:rsidR="005C7AF5" w:rsidRPr="005C7AF5" w:rsidRDefault="005C7AF5" w:rsidP="007A1319">
      <w:pPr>
        <w:pStyle w:val="DIR"/>
        <w:spacing w:before="120"/>
      </w:pPr>
      <w:r>
        <w:t xml:space="preserve">If any </w:t>
      </w:r>
      <w:r w:rsidRPr="005C7AF5">
        <w:t>further directions</w:t>
      </w:r>
      <w:r>
        <w:t xml:space="preserve"> are required by the parties </w:t>
      </w:r>
      <w:r w:rsidRPr="005C7AF5">
        <w:t xml:space="preserve">they </w:t>
      </w:r>
      <w:r>
        <w:t xml:space="preserve">are encouraged to make such a </w:t>
      </w:r>
      <w:r w:rsidRPr="005C7AF5">
        <w:t>request</w:t>
      </w:r>
      <w:r>
        <w:t xml:space="preserve"> in</w:t>
      </w:r>
      <w:r w:rsidRPr="005C7AF5">
        <w:t xml:space="preserve"> writing to the Resident Judge at </w:t>
      </w:r>
      <w:r>
        <w:t>Taylor House</w:t>
      </w:r>
      <w:r w:rsidRPr="005C7AF5">
        <w:t>.</w:t>
      </w:r>
    </w:p>
    <w:p w:rsidR="007A1319" w:rsidRPr="009B7433" w:rsidRDefault="007A1319"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0C2810">
        <w:rPr>
          <w:rFonts w:ascii="Book Antiqua" w:hAnsi="Book Antiqua" w:cs="Arial"/>
        </w:rPr>
        <w:t xml:space="preserve"> 27 May 2018</w:t>
      </w:r>
    </w:p>
    <w:p w:rsidR="001F2716" w:rsidRPr="009B7433" w:rsidRDefault="001F2716" w:rsidP="000A0743">
      <w:pPr>
        <w:jc w:val="both"/>
        <w:rPr>
          <w:rFonts w:ascii="Book Antiqua" w:hAnsi="Book Antiqua" w:cs="Arial"/>
        </w:rPr>
      </w:pPr>
    </w:p>
    <w:p w:rsidR="00B95326" w:rsidRPr="009B7433" w:rsidRDefault="000C40FF" w:rsidP="000C2810">
      <w:pPr>
        <w:rPr>
          <w:rFonts w:ascii="Book Antiqua" w:hAnsi="Book Antiqua" w:cs="Arial"/>
        </w:rPr>
      </w:pPr>
      <w:r>
        <w:rPr>
          <w:rFonts w:ascii="Book Antiqua" w:hAnsi="Book Antiqua" w:cs="Arial"/>
          <w:color w:val="000000"/>
        </w:rPr>
        <w:t>Deputy Upper Tribunal Judge Saini</w:t>
      </w: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946" w:rsidRDefault="00874946">
      <w:r>
        <w:separator/>
      </w:r>
    </w:p>
  </w:endnote>
  <w:endnote w:type="continuationSeparator" w:id="0">
    <w:p w:rsidR="00874946" w:rsidRDefault="00874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C87" w:rsidRPr="009B7433" w:rsidRDefault="00AB6C87"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63450D">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C87" w:rsidRPr="009B7433" w:rsidRDefault="00AB6C87"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946" w:rsidRDefault="00874946">
      <w:r>
        <w:separator/>
      </w:r>
    </w:p>
  </w:footnote>
  <w:footnote w:type="continuationSeparator" w:id="0">
    <w:p w:rsidR="00874946" w:rsidRDefault="00874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C87" w:rsidRPr="006B5A88" w:rsidRDefault="00AB6C87"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6B5A88">
      <w:rPr>
        <w:rFonts w:ascii="Book Antiqua" w:hAnsi="Book Antiqua" w:cs="Arial"/>
        <w:sz w:val="16"/>
        <w:szCs w:val="16"/>
      </w:rPr>
      <w:t>HU/08469/2015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C87" w:rsidRPr="009B7433" w:rsidRDefault="00AB6C87">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108A4"/>
    <w:multiLevelType w:val="hybridMultilevel"/>
    <w:tmpl w:val="02002BDE"/>
    <w:lvl w:ilvl="0" w:tplc="42B47C24">
      <w:start w:val="1"/>
      <w:numFmt w:val="decimal"/>
      <w:pStyle w:val="DIR"/>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75E67026"/>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2"/>
  </w:num>
  <w:num w:numId="4">
    <w:abstractNumId w:val="2"/>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D79"/>
    <w:rsid w:val="00000621"/>
    <w:rsid w:val="000036C2"/>
    <w:rsid w:val="0000797F"/>
    <w:rsid w:val="00016C1A"/>
    <w:rsid w:val="00033588"/>
    <w:rsid w:val="00033D3D"/>
    <w:rsid w:val="0004776F"/>
    <w:rsid w:val="00052895"/>
    <w:rsid w:val="00062F02"/>
    <w:rsid w:val="00071A7E"/>
    <w:rsid w:val="000746C0"/>
    <w:rsid w:val="00074D1D"/>
    <w:rsid w:val="00092580"/>
    <w:rsid w:val="00093D4D"/>
    <w:rsid w:val="000A0743"/>
    <w:rsid w:val="000B683E"/>
    <w:rsid w:val="000C2810"/>
    <w:rsid w:val="000C40FF"/>
    <w:rsid w:val="000D5D94"/>
    <w:rsid w:val="000F1A0E"/>
    <w:rsid w:val="001165A7"/>
    <w:rsid w:val="00135117"/>
    <w:rsid w:val="001363A5"/>
    <w:rsid w:val="0016508E"/>
    <w:rsid w:val="00167D3A"/>
    <w:rsid w:val="00173F50"/>
    <w:rsid w:val="00185986"/>
    <w:rsid w:val="001A3082"/>
    <w:rsid w:val="001B186A"/>
    <w:rsid w:val="001B2F75"/>
    <w:rsid w:val="001C6F5F"/>
    <w:rsid w:val="001D6167"/>
    <w:rsid w:val="001F2716"/>
    <w:rsid w:val="001F3AC0"/>
    <w:rsid w:val="00207617"/>
    <w:rsid w:val="0023134B"/>
    <w:rsid w:val="002621F7"/>
    <w:rsid w:val="00283659"/>
    <w:rsid w:val="00296515"/>
    <w:rsid w:val="002A6D94"/>
    <w:rsid w:val="002B4241"/>
    <w:rsid w:val="002B4EB8"/>
    <w:rsid w:val="002C3088"/>
    <w:rsid w:val="002C6BD4"/>
    <w:rsid w:val="002D68BF"/>
    <w:rsid w:val="002E4541"/>
    <w:rsid w:val="002F6B98"/>
    <w:rsid w:val="00336CBF"/>
    <w:rsid w:val="00343FE3"/>
    <w:rsid w:val="003546C8"/>
    <w:rsid w:val="0037777D"/>
    <w:rsid w:val="003825D4"/>
    <w:rsid w:val="003A2DCC"/>
    <w:rsid w:val="003A3CAA"/>
    <w:rsid w:val="003A7CF2"/>
    <w:rsid w:val="003C5CE5"/>
    <w:rsid w:val="003C6F6F"/>
    <w:rsid w:val="003D25F1"/>
    <w:rsid w:val="003D6043"/>
    <w:rsid w:val="003D6FAD"/>
    <w:rsid w:val="003E267B"/>
    <w:rsid w:val="003E7CD1"/>
    <w:rsid w:val="00402B9E"/>
    <w:rsid w:val="004249CB"/>
    <w:rsid w:val="0044127D"/>
    <w:rsid w:val="004448DB"/>
    <w:rsid w:val="00446C9A"/>
    <w:rsid w:val="00452F2B"/>
    <w:rsid w:val="0047230E"/>
    <w:rsid w:val="004762E2"/>
    <w:rsid w:val="00477193"/>
    <w:rsid w:val="00487D33"/>
    <w:rsid w:val="004A1848"/>
    <w:rsid w:val="004A2D15"/>
    <w:rsid w:val="004A534C"/>
    <w:rsid w:val="004A6F4A"/>
    <w:rsid w:val="004B70D7"/>
    <w:rsid w:val="004D6B45"/>
    <w:rsid w:val="004E4717"/>
    <w:rsid w:val="004E6DA7"/>
    <w:rsid w:val="004F2676"/>
    <w:rsid w:val="00502673"/>
    <w:rsid w:val="00507FEC"/>
    <w:rsid w:val="00510F0E"/>
    <w:rsid w:val="0053316B"/>
    <w:rsid w:val="005479E1"/>
    <w:rsid w:val="00553028"/>
    <w:rsid w:val="00553E0A"/>
    <w:rsid w:val="005570FD"/>
    <w:rsid w:val="005575EA"/>
    <w:rsid w:val="00563C8E"/>
    <w:rsid w:val="0057790C"/>
    <w:rsid w:val="00593795"/>
    <w:rsid w:val="005A75FF"/>
    <w:rsid w:val="005B09DC"/>
    <w:rsid w:val="005C7AF5"/>
    <w:rsid w:val="005D10AB"/>
    <w:rsid w:val="005D6600"/>
    <w:rsid w:val="00601D8F"/>
    <w:rsid w:val="00605582"/>
    <w:rsid w:val="00611F34"/>
    <w:rsid w:val="00621FE8"/>
    <w:rsid w:val="0063450D"/>
    <w:rsid w:val="00635D23"/>
    <w:rsid w:val="006434B6"/>
    <w:rsid w:val="00653E97"/>
    <w:rsid w:val="006667DB"/>
    <w:rsid w:val="00684A74"/>
    <w:rsid w:val="0068620A"/>
    <w:rsid w:val="00690B8A"/>
    <w:rsid w:val="006B5A88"/>
    <w:rsid w:val="006C5CC3"/>
    <w:rsid w:val="006F2CF1"/>
    <w:rsid w:val="007038ED"/>
    <w:rsid w:val="00703BC3"/>
    <w:rsid w:val="00704B61"/>
    <w:rsid w:val="00715A64"/>
    <w:rsid w:val="00733DF3"/>
    <w:rsid w:val="00740C1F"/>
    <w:rsid w:val="007552A9"/>
    <w:rsid w:val="0075658A"/>
    <w:rsid w:val="00761858"/>
    <w:rsid w:val="00767D59"/>
    <w:rsid w:val="00776E97"/>
    <w:rsid w:val="00780F86"/>
    <w:rsid w:val="007845C5"/>
    <w:rsid w:val="007912AD"/>
    <w:rsid w:val="00791780"/>
    <w:rsid w:val="007A1319"/>
    <w:rsid w:val="007B0824"/>
    <w:rsid w:val="007B5D3C"/>
    <w:rsid w:val="007B7BFD"/>
    <w:rsid w:val="007F0F63"/>
    <w:rsid w:val="0080604E"/>
    <w:rsid w:val="00815011"/>
    <w:rsid w:val="00820799"/>
    <w:rsid w:val="00821B72"/>
    <w:rsid w:val="0082229E"/>
    <w:rsid w:val="00823EF2"/>
    <w:rsid w:val="008303B8"/>
    <w:rsid w:val="00833DCE"/>
    <w:rsid w:val="00833E86"/>
    <w:rsid w:val="00871D34"/>
    <w:rsid w:val="00874946"/>
    <w:rsid w:val="008800A7"/>
    <w:rsid w:val="00890E97"/>
    <w:rsid w:val="008A1698"/>
    <w:rsid w:val="008A25EC"/>
    <w:rsid w:val="008A6059"/>
    <w:rsid w:val="008B270C"/>
    <w:rsid w:val="008B5078"/>
    <w:rsid w:val="008C3D3D"/>
    <w:rsid w:val="008D4131"/>
    <w:rsid w:val="008F1932"/>
    <w:rsid w:val="008F24F9"/>
    <w:rsid w:val="0090151B"/>
    <w:rsid w:val="009042A9"/>
    <w:rsid w:val="00921062"/>
    <w:rsid w:val="009722BC"/>
    <w:rsid w:val="009727A3"/>
    <w:rsid w:val="00987774"/>
    <w:rsid w:val="009A11E8"/>
    <w:rsid w:val="009B7433"/>
    <w:rsid w:val="009C4BBF"/>
    <w:rsid w:val="009C57C8"/>
    <w:rsid w:val="009D348A"/>
    <w:rsid w:val="009F5220"/>
    <w:rsid w:val="009F6FD7"/>
    <w:rsid w:val="00A07919"/>
    <w:rsid w:val="00A15234"/>
    <w:rsid w:val="00A172F5"/>
    <w:rsid w:val="00A201AB"/>
    <w:rsid w:val="00A24D79"/>
    <w:rsid w:val="00A31C8B"/>
    <w:rsid w:val="00A509FA"/>
    <w:rsid w:val="00A74B2D"/>
    <w:rsid w:val="00A845DC"/>
    <w:rsid w:val="00A944D0"/>
    <w:rsid w:val="00AB6C87"/>
    <w:rsid w:val="00B23896"/>
    <w:rsid w:val="00B26AA2"/>
    <w:rsid w:val="00B30B39"/>
    <w:rsid w:val="00B3524D"/>
    <w:rsid w:val="00B40F69"/>
    <w:rsid w:val="00B46616"/>
    <w:rsid w:val="00B528BB"/>
    <w:rsid w:val="00B7040A"/>
    <w:rsid w:val="00B83391"/>
    <w:rsid w:val="00B95326"/>
    <w:rsid w:val="00B97B23"/>
    <w:rsid w:val="00BC1D26"/>
    <w:rsid w:val="00BD4196"/>
    <w:rsid w:val="00BF22CA"/>
    <w:rsid w:val="00BF23BB"/>
    <w:rsid w:val="00C26032"/>
    <w:rsid w:val="00C345E1"/>
    <w:rsid w:val="00C43BFD"/>
    <w:rsid w:val="00C6048A"/>
    <w:rsid w:val="00CB6E35"/>
    <w:rsid w:val="00CD1CF0"/>
    <w:rsid w:val="00CE09B1"/>
    <w:rsid w:val="00CE1A46"/>
    <w:rsid w:val="00D05EA6"/>
    <w:rsid w:val="00D20757"/>
    <w:rsid w:val="00D22636"/>
    <w:rsid w:val="00D40FD9"/>
    <w:rsid w:val="00D53769"/>
    <w:rsid w:val="00D6602D"/>
    <w:rsid w:val="00D82818"/>
    <w:rsid w:val="00D8510D"/>
    <w:rsid w:val="00D85C13"/>
    <w:rsid w:val="00D9111A"/>
    <w:rsid w:val="00D91BE3"/>
    <w:rsid w:val="00D949B7"/>
    <w:rsid w:val="00D94AFC"/>
    <w:rsid w:val="00DB70AE"/>
    <w:rsid w:val="00DD5071"/>
    <w:rsid w:val="00DD5C39"/>
    <w:rsid w:val="00DE7DB7"/>
    <w:rsid w:val="00E00A0A"/>
    <w:rsid w:val="00E066DE"/>
    <w:rsid w:val="00E07F57"/>
    <w:rsid w:val="00E127EC"/>
    <w:rsid w:val="00E30683"/>
    <w:rsid w:val="00E42107"/>
    <w:rsid w:val="00E453D8"/>
    <w:rsid w:val="00E50BCE"/>
    <w:rsid w:val="00E574BF"/>
    <w:rsid w:val="00E61292"/>
    <w:rsid w:val="00E77C4D"/>
    <w:rsid w:val="00E81D01"/>
    <w:rsid w:val="00E95193"/>
    <w:rsid w:val="00EB485A"/>
    <w:rsid w:val="00EE067D"/>
    <w:rsid w:val="00EE45D8"/>
    <w:rsid w:val="00F22EDA"/>
    <w:rsid w:val="00F470D6"/>
    <w:rsid w:val="00F5589A"/>
    <w:rsid w:val="00FB0789"/>
    <w:rsid w:val="00FB12C3"/>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5112DFD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B5A88"/>
    <w:pPr>
      <w:numPr>
        <w:numId w:val="1"/>
      </w:numPr>
      <w:spacing w:before="240"/>
      <w:jc w:val="both"/>
    </w:pPr>
    <w:rPr>
      <w:rFonts w:ascii="Book Antiqua" w:hAnsi="Book Antiqua" w:cs="Arial"/>
    </w:rPr>
  </w:style>
  <w:style w:type="paragraph" w:customStyle="1" w:styleId="q">
    <w:name w:val="q"/>
    <w:basedOn w:val="p"/>
    <w:rsid w:val="004762E2"/>
    <w:pPr>
      <w:numPr>
        <w:numId w:val="0"/>
      </w:numPr>
      <w:ind w:left="1134"/>
    </w:pPr>
  </w:style>
  <w:style w:type="paragraph" w:customStyle="1" w:styleId="h">
    <w:name w:val="h"/>
    <w:basedOn w:val="p"/>
    <w:rsid w:val="003A2DCC"/>
    <w:pPr>
      <w:numPr>
        <w:numId w:val="0"/>
      </w:numPr>
    </w:pPr>
    <w:rPr>
      <w:b/>
      <w:u w:val="single"/>
    </w:rPr>
  </w:style>
  <w:style w:type="paragraph" w:customStyle="1" w:styleId="qn">
    <w:name w:val="qn"/>
    <w:basedOn w:val="Normal"/>
    <w:rsid w:val="00CD1CF0"/>
    <w:pPr>
      <w:spacing w:before="240"/>
      <w:ind w:left="1701" w:hanging="567"/>
      <w:jc w:val="both"/>
    </w:pPr>
    <w:rPr>
      <w:rFonts w:ascii="Book Antiqua" w:hAnsi="Book Antiqua" w:cs="Arial"/>
    </w:rPr>
  </w:style>
  <w:style w:type="paragraph" w:customStyle="1" w:styleId="subq">
    <w:name w:val="subq"/>
    <w:basedOn w:val="q"/>
    <w:rsid w:val="0080604E"/>
    <w:pPr>
      <w:ind w:left="1701"/>
    </w:pPr>
  </w:style>
  <w:style w:type="paragraph" w:customStyle="1" w:styleId="t">
    <w:name w:val="t"/>
    <w:basedOn w:val="Normal"/>
    <w:rsid w:val="00B23896"/>
    <w:pPr>
      <w:jc w:val="both"/>
    </w:pPr>
    <w:rPr>
      <w:rFonts w:ascii="Book Antiqua" w:hAnsi="Book Antiqua" w:cs="Arial"/>
    </w:rPr>
  </w:style>
  <w:style w:type="paragraph" w:customStyle="1" w:styleId="DIR">
    <w:name w:val="DIR"/>
    <w:basedOn w:val="Normal"/>
    <w:rsid w:val="00B23896"/>
    <w:pPr>
      <w:numPr>
        <w:numId w:val="6"/>
      </w:numPr>
      <w:spacing w:before="240"/>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58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1147</Words>
  <Characters>5671</Characters>
  <Application>Microsoft Office Word</Application>
  <DocSecurity>0</DocSecurity>
  <Lines>47</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2018-06-21T13:08:00Z</dcterms:created>
  <dcterms:modified xsi:type="dcterms:W3CDTF">2018-06-21T13:08:00Z</dcterms:modified>
</cp:coreProperties>
</file>