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70020" w14:textId="70F4534A" w:rsidR="0050388A" w:rsidRPr="00AE6DDE" w:rsidRDefault="0019335E" w:rsidP="0050388A">
      <w:pPr>
        <w:jc w:val="center"/>
        <w:rPr>
          <w:rFonts w:ascii="Book Antiqua" w:hAnsi="Book Antiqua" w:cs="Arial"/>
          <w:caps/>
          <w:color w:val="000000"/>
          <w:sz w:val="16"/>
          <w:szCs w:val="16"/>
        </w:rPr>
      </w:pPr>
      <w:r>
        <w:rPr>
          <w:noProof/>
        </w:rPr>
        <w:drawing>
          <wp:inline distT="0" distB="0" distL="0" distR="0" wp14:anchorId="38A931D8" wp14:editId="1C88CA10">
            <wp:extent cx="11880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000" cy="1044000"/>
                    </a:xfrm>
                    <a:prstGeom prst="rect">
                      <a:avLst/>
                    </a:prstGeom>
                    <a:noFill/>
                    <a:ln>
                      <a:noFill/>
                    </a:ln>
                  </pic:spPr>
                </pic:pic>
              </a:graphicData>
            </a:graphic>
          </wp:inline>
        </w:drawing>
      </w:r>
    </w:p>
    <w:p w14:paraId="4E2E8B8B"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6AAC32CD" w14:textId="6FA8FBEE" w:rsidR="00291F3D" w:rsidRPr="00D33BEB" w:rsidRDefault="0050388A" w:rsidP="00291F3D">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D33BEB">
        <w:rPr>
          <w:rFonts w:ascii="Book Antiqua" w:hAnsi="Book Antiqua" w:cs="Arial"/>
          <w:b/>
          <w:color w:val="000000"/>
        </w:rPr>
        <w:t xml:space="preserve">   </w:t>
      </w:r>
      <w:proofErr w:type="gramEnd"/>
      <w:r w:rsidR="00D33BEB">
        <w:rPr>
          <w:rFonts w:ascii="Book Antiqua" w:hAnsi="Book Antiqua" w:cs="Arial"/>
          <w:b/>
          <w:color w:val="000000"/>
        </w:rPr>
        <w:t xml:space="preserve">                   </w:t>
      </w:r>
      <w:r w:rsidR="00B3524D" w:rsidRPr="00D33BEB">
        <w:rPr>
          <w:rFonts w:ascii="Book Antiqua" w:hAnsi="Book Antiqua" w:cs="Arial"/>
          <w:b/>
          <w:color w:val="000000"/>
        </w:rPr>
        <w:t>Appeal Number</w:t>
      </w:r>
      <w:r w:rsidR="00291F3D" w:rsidRPr="00D33BEB">
        <w:rPr>
          <w:rFonts w:ascii="Book Antiqua" w:hAnsi="Book Antiqua" w:cs="Arial"/>
          <w:b/>
          <w:color w:val="000000"/>
        </w:rPr>
        <w:t>s</w:t>
      </w:r>
      <w:r w:rsidR="00D53769" w:rsidRPr="00D33BEB">
        <w:rPr>
          <w:rFonts w:ascii="Book Antiqua" w:hAnsi="Book Antiqua" w:cs="Arial"/>
          <w:b/>
          <w:color w:val="000000"/>
        </w:rPr>
        <w:t>:</w:t>
      </w:r>
      <w:r w:rsidR="00B3524D" w:rsidRPr="00D33BEB">
        <w:rPr>
          <w:rFonts w:ascii="Book Antiqua" w:hAnsi="Book Antiqua" w:cs="Arial"/>
          <w:b/>
          <w:color w:val="000000"/>
        </w:rPr>
        <w:t xml:space="preserve"> </w:t>
      </w:r>
      <w:r w:rsidR="00291F3D" w:rsidRPr="00D33BEB">
        <w:rPr>
          <w:rFonts w:ascii="Book Antiqua" w:hAnsi="Book Antiqua" w:cs="Arial"/>
          <w:b/>
          <w:caps/>
          <w:color w:val="000000"/>
        </w:rPr>
        <w:t>HU/08587/2015</w:t>
      </w:r>
    </w:p>
    <w:p w14:paraId="6B25E479" w14:textId="4946FAC2" w:rsidR="00291F3D" w:rsidRPr="00D33BEB" w:rsidRDefault="00D33BEB" w:rsidP="00291F3D">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291F3D" w:rsidRPr="00D33BEB">
        <w:rPr>
          <w:rFonts w:ascii="Book Antiqua" w:hAnsi="Book Antiqua" w:cs="Arial"/>
          <w:b/>
          <w:caps/>
          <w:color w:val="000000"/>
        </w:rPr>
        <w:t>HU/08588/2015</w:t>
      </w:r>
    </w:p>
    <w:p w14:paraId="27BAD56B" w14:textId="7B22EAD1" w:rsidR="00C345E1" w:rsidRPr="00D33BEB" w:rsidRDefault="00D33BEB" w:rsidP="00D33BEB">
      <w:pPr>
        <w:tabs>
          <w:tab w:val="right" w:pos="9720"/>
        </w:tabs>
        <w:ind w:right="-82"/>
        <w:jc w:val="center"/>
        <w:rPr>
          <w:rFonts w:ascii="Book Antiqua" w:hAnsi="Book Antiqua" w:cs="Arial"/>
          <w:b/>
          <w:color w:val="000000"/>
        </w:rPr>
      </w:pPr>
      <w:r>
        <w:rPr>
          <w:rFonts w:ascii="Book Antiqua" w:hAnsi="Book Antiqua" w:cs="Arial"/>
          <w:b/>
          <w:caps/>
          <w:color w:val="000000"/>
        </w:rPr>
        <w:t xml:space="preserve">                                                                                                               </w:t>
      </w:r>
      <w:r w:rsidR="00291F3D" w:rsidRPr="00D33BEB">
        <w:rPr>
          <w:rFonts w:ascii="Book Antiqua" w:hAnsi="Book Antiqua" w:cs="Arial"/>
          <w:b/>
          <w:caps/>
          <w:color w:val="000000"/>
        </w:rPr>
        <w:t>HU/08591/2015</w:t>
      </w:r>
    </w:p>
    <w:p w14:paraId="11438432" w14:textId="77777777" w:rsidR="00D33BEB" w:rsidRDefault="00D33BEB" w:rsidP="00C345E1">
      <w:pPr>
        <w:jc w:val="center"/>
        <w:rPr>
          <w:rFonts w:ascii="Book Antiqua" w:hAnsi="Book Antiqua" w:cs="Arial"/>
          <w:b/>
          <w:color w:val="000000"/>
          <w:u w:val="single"/>
        </w:rPr>
      </w:pPr>
    </w:p>
    <w:p w14:paraId="459A2D3B" w14:textId="57952F46"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3836FD93" w14:textId="77777777"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7D517A" w14:paraId="7AC3E490" w14:textId="77777777" w:rsidTr="00D33BEB">
        <w:tc>
          <w:tcPr>
            <w:tcW w:w="5245" w:type="dxa"/>
            <w:shd w:val="clear" w:color="auto" w:fill="auto"/>
          </w:tcPr>
          <w:p w14:paraId="30AAC153" w14:textId="77777777" w:rsidR="00D22636" w:rsidRPr="007D517A" w:rsidRDefault="00D22636" w:rsidP="007D517A">
            <w:pPr>
              <w:jc w:val="both"/>
              <w:rPr>
                <w:rFonts w:ascii="Book Antiqua" w:hAnsi="Book Antiqua" w:cs="Arial"/>
                <w:b/>
              </w:rPr>
            </w:pPr>
            <w:r w:rsidRPr="007D517A">
              <w:rPr>
                <w:rFonts w:ascii="Book Antiqua" w:hAnsi="Book Antiqua" w:cs="Arial"/>
                <w:b/>
              </w:rPr>
              <w:t xml:space="preserve">Heard at </w:t>
            </w:r>
            <w:r w:rsidR="00291F3D" w:rsidRPr="007D517A">
              <w:rPr>
                <w:rFonts w:ascii="Book Antiqua" w:hAnsi="Book Antiqua" w:cs="Arial"/>
                <w:b/>
              </w:rPr>
              <w:t>Field House</w:t>
            </w:r>
          </w:p>
        </w:tc>
        <w:tc>
          <w:tcPr>
            <w:tcW w:w="4393" w:type="dxa"/>
            <w:shd w:val="clear" w:color="auto" w:fill="auto"/>
          </w:tcPr>
          <w:p w14:paraId="21C76D96" w14:textId="77777777" w:rsidR="00D22636" w:rsidRPr="007D517A" w:rsidRDefault="00847259" w:rsidP="007D517A">
            <w:pPr>
              <w:jc w:val="both"/>
              <w:rPr>
                <w:rFonts w:ascii="Book Antiqua" w:hAnsi="Book Antiqua" w:cs="Arial"/>
                <w:b/>
                <w:color w:val="000000"/>
              </w:rPr>
            </w:pPr>
            <w:r w:rsidRPr="007D517A">
              <w:rPr>
                <w:rFonts w:ascii="Book Antiqua" w:hAnsi="Book Antiqua" w:cs="Arial"/>
                <w:b/>
                <w:color w:val="000000"/>
              </w:rPr>
              <w:t>Decision &amp; Reasons</w:t>
            </w:r>
            <w:r w:rsidR="00283659" w:rsidRPr="007D517A">
              <w:rPr>
                <w:rFonts w:ascii="Book Antiqua" w:hAnsi="Book Antiqua" w:cs="Arial"/>
                <w:b/>
                <w:color w:val="000000"/>
              </w:rPr>
              <w:t xml:space="preserve"> Promulgated</w:t>
            </w:r>
          </w:p>
        </w:tc>
      </w:tr>
      <w:tr w:rsidR="00D22636" w:rsidRPr="007D517A" w14:paraId="649C7E68" w14:textId="77777777" w:rsidTr="00D33BEB">
        <w:tc>
          <w:tcPr>
            <w:tcW w:w="5245" w:type="dxa"/>
            <w:shd w:val="clear" w:color="auto" w:fill="auto"/>
          </w:tcPr>
          <w:p w14:paraId="482456AF" w14:textId="77777777" w:rsidR="00D22636" w:rsidRPr="007D517A" w:rsidRDefault="00D22636" w:rsidP="007D517A">
            <w:pPr>
              <w:jc w:val="both"/>
              <w:rPr>
                <w:rFonts w:ascii="Book Antiqua" w:hAnsi="Book Antiqua" w:cs="Arial"/>
                <w:b/>
              </w:rPr>
            </w:pPr>
            <w:r w:rsidRPr="007D517A">
              <w:rPr>
                <w:rFonts w:ascii="Book Antiqua" w:hAnsi="Book Antiqua" w:cs="Arial"/>
                <w:b/>
              </w:rPr>
              <w:t xml:space="preserve">On </w:t>
            </w:r>
            <w:r w:rsidR="00291F3D" w:rsidRPr="007D517A">
              <w:rPr>
                <w:rFonts w:ascii="Book Antiqua" w:hAnsi="Book Antiqua" w:cs="Arial"/>
                <w:b/>
              </w:rPr>
              <w:t>4 July 2018</w:t>
            </w:r>
          </w:p>
        </w:tc>
        <w:tc>
          <w:tcPr>
            <w:tcW w:w="4393" w:type="dxa"/>
            <w:shd w:val="clear" w:color="auto" w:fill="auto"/>
          </w:tcPr>
          <w:p w14:paraId="351E407B" w14:textId="77777777" w:rsidR="00D22636" w:rsidRPr="007D517A" w:rsidRDefault="00A31A29" w:rsidP="007D517A">
            <w:pPr>
              <w:jc w:val="both"/>
              <w:rPr>
                <w:rFonts w:ascii="Book Antiqua" w:hAnsi="Book Antiqua" w:cs="Arial"/>
                <w:b/>
              </w:rPr>
            </w:pPr>
            <w:r w:rsidRPr="00A31A29">
              <w:rPr>
                <w:rFonts w:ascii="Book Antiqua" w:hAnsi="Book Antiqua" w:cs="Arial"/>
                <w:b/>
              </w:rPr>
              <w:t>On 10 July 2018</w:t>
            </w:r>
          </w:p>
        </w:tc>
      </w:tr>
      <w:tr w:rsidR="00D22636" w:rsidRPr="007D517A" w14:paraId="29184AD8" w14:textId="77777777" w:rsidTr="00D33BEB">
        <w:tc>
          <w:tcPr>
            <w:tcW w:w="5245" w:type="dxa"/>
            <w:shd w:val="clear" w:color="auto" w:fill="auto"/>
          </w:tcPr>
          <w:p w14:paraId="62AA3FCF" w14:textId="77777777" w:rsidR="00D22636" w:rsidRPr="007D517A" w:rsidRDefault="00D22636" w:rsidP="007D517A">
            <w:pPr>
              <w:jc w:val="both"/>
              <w:rPr>
                <w:rFonts w:ascii="Book Antiqua" w:hAnsi="Book Antiqua" w:cs="Arial"/>
                <w:b/>
              </w:rPr>
            </w:pPr>
          </w:p>
        </w:tc>
        <w:tc>
          <w:tcPr>
            <w:tcW w:w="4393" w:type="dxa"/>
            <w:shd w:val="clear" w:color="auto" w:fill="auto"/>
          </w:tcPr>
          <w:p w14:paraId="385ED4D9" w14:textId="77777777" w:rsidR="00D22636" w:rsidRPr="007D517A" w:rsidRDefault="00D22636" w:rsidP="007D517A">
            <w:pPr>
              <w:jc w:val="both"/>
              <w:rPr>
                <w:rFonts w:ascii="Book Antiqua" w:hAnsi="Book Antiqua" w:cs="Arial"/>
                <w:b/>
              </w:rPr>
            </w:pPr>
          </w:p>
        </w:tc>
      </w:tr>
    </w:tbl>
    <w:p w14:paraId="23FC1B49" w14:textId="77777777" w:rsidR="00A15234" w:rsidRPr="00AE6DDE" w:rsidRDefault="00A15234" w:rsidP="00A15234">
      <w:pPr>
        <w:jc w:val="center"/>
        <w:rPr>
          <w:rFonts w:ascii="Book Antiqua" w:hAnsi="Book Antiqua" w:cs="Arial"/>
        </w:rPr>
      </w:pPr>
    </w:p>
    <w:p w14:paraId="146890A7" w14:textId="77777777" w:rsidR="00D33BEB" w:rsidRDefault="00D33BEB" w:rsidP="00A15234">
      <w:pPr>
        <w:jc w:val="center"/>
        <w:rPr>
          <w:rFonts w:ascii="Book Antiqua" w:hAnsi="Book Antiqua" w:cs="Arial"/>
          <w:b/>
        </w:rPr>
      </w:pPr>
    </w:p>
    <w:p w14:paraId="19AF78B1" w14:textId="272D6AD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7BB5E87A" w14:textId="77777777" w:rsidR="00A15234" w:rsidRPr="00AE6DDE" w:rsidRDefault="00A15234" w:rsidP="00A15234">
      <w:pPr>
        <w:jc w:val="center"/>
        <w:rPr>
          <w:rFonts w:ascii="Book Antiqua" w:hAnsi="Book Antiqua" w:cs="Arial"/>
          <w:b/>
        </w:rPr>
      </w:pPr>
    </w:p>
    <w:p w14:paraId="0CA489C8"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1F468211" w14:textId="77777777" w:rsidR="00A845DC" w:rsidRPr="00AE6DDE" w:rsidRDefault="00A845DC" w:rsidP="00A15234">
      <w:pPr>
        <w:jc w:val="center"/>
        <w:rPr>
          <w:rFonts w:ascii="Book Antiqua" w:hAnsi="Book Antiqua" w:cs="Arial"/>
          <w:b/>
        </w:rPr>
      </w:pPr>
    </w:p>
    <w:p w14:paraId="6EF899CB"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5230F5DC" w14:textId="77777777" w:rsidR="00A845DC" w:rsidRPr="00AE6DDE" w:rsidRDefault="00A845DC" w:rsidP="00A15234">
      <w:pPr>
        <w:jc w:val="center"/>
        <w:rPr>
          <w:rFonts w:ascii="Book Antiqua" w:hAnsi="Book Antiqua" w:cs="Arial"/>
          <w:b/>
        </w:rPr>
      </w:pPr>
    </w:p>
    <w:p w14:paraId="3B54CF2A" w14:textId="5620A3C5" w:rsidR="00291F3D" w:rsidRPr="00291F3D" w:rsidRDefault="00291F3D" w:rsidP="00291F3D">
      <w:pPr>
        <w:jc w:val="center"/>
        <w:rPr>
          <w:rFonts w:ascii="Book Antiqua" w:hAnsi="Book Antiqua" w:cs="Arial"/>
          <w:b/>
          <w:caps/>
        </w:rPr>
      </w:pPr>
      <w:r w:rsidRPr="00291F3D">
        <w:rPr>
          <w:rFonts w:ascii="Book Antiqua" w:hAnsi="Book Antiqua" w:cs="Arial"/>
          <w:b/>
          <w:caps/>
        </w:rPr>
        <w:t xml:space="preserve">Mr M </w:t>
      </w:r>
      <w:proofErr w:type="gramStart"/>
      <w:r w:rsidRPr="00291F3D">
        <w:rPr>
          <w:rFonts w:ascii="Book Antiqua" w:hAnsi="Book Antiqua" w:cs="Arial"/>
          <w:b/>
          <w:caps/>
        </w:rPr>
        <w:t>A</w:t>
      </w:r>
      <w:proofErr w:type="gramEnd"/>
      <w:r w:rsidRPr="00291F3D">
        <w:rPr>
          <w:rFonts w:ascii="Book Antiqua" w:hAnsi="Book Antiqua" w:cs="Arial"/>
          <w:b/>
          <w:caps/>
        </w:rPr>
        <w:t xml:space="preserve"> </w:t>
      </w:r>
      <w:proofErr w:type="spellStart"/>
      <w:r w:rsidRPr="00291F3D">
        <w:rPr>
          <w:rFonts w:ascii="Book Antiqua" w:hAnsi="Book Antiqua" w:cs="Arial"/>
          <w:b/>
          <w:caps/>
        </w:rPr>
        <w:t>A</w:t>
      </w:r>
      <w:proofErr w:type="spellEnd"/>
    </w:p>
    <w:p w14:paraId="3F9C5AB8" w14:textId="253252FF" w:rsidR="00291F3D" w:rsidRPr="00291F3D" w:rsidRDefault="00291F3D" w:rsidP="00291F3D">
      <w:pPr>
        <w:jc w:val="center"/>
        <w:rPr>
          <w:rFonts w:ascii="Book Antiqua" w:hAnsi="Book Antiqua" w:cs="Arial"/>
          <w:b/>
          <w:caps/>
        </w:rPr>
      </w:pPr>
      <w:r w:rsidRPr="00291F3D">
        <w:rPr>
          <w:rFonts w:ascii="Book Antiqua" w:hAnsi="Book Antiqua" w:cs="Arial"/>
          <w:b/>
          <w:caps/>
        </w:rPr>
        <w:t xml:space="preserve">Mr S </w:t>
      </w:r>
      <w:proofErr w:type="gramStart"/>
      <w:r w:rsidRPr="00291F3D">
        <w:rPr>
          <w:rFonts w:ascii="Book Antiqua" w:hAnsi="Book Antiqua" w:cs="Arial"/>
          <w:b/>
          <w:caps/>
        </w:rPr>
        <w:t>A</w:t>
      </w:r>
      <w:proofErr w:type="gramEnd"/>
      <w:r w:rsidRPr="00291F3D">
        <w:rPr>
          <w:rFonts w:ascii="Book Antiqua" w:hAnsi="Book Antiqua" w:cs="Arial"/>
          <w:b/>
          <w:caps/>
        </w:rPr>
        <w:t xml:space="preserve"> </w:t>
      </w:r>
      <w:proofErr w:type="spellStart"/>
      <w:r w:rsidRPr="00291F3D">
        <w:rPr>
          <w:rFonts w:ascii="Book Antiqua" w:hAnsi="Book Antiqua" w:cs="Arial"/>
          <w:b/>
          <w:caps/>
        </w:rPr>
        <w:t>A</w:t>
      </w:r>
      <w:proofErr w:type="spellEnd"/>
    </w:p>
    <w:p w14:paraId="6C51243A" w14:textId="637C0799" w:rsidR="00A845DC" w:rsidRPr="00291F3D" w:rsidRDefault="00291F3D" w:rsidP="00291F3D">
      <w:pPr>
        <w:jc w:val="center"/>
        <w:rPr>
          <w:rFonts w:ascii="Book Antiqua" w:hAnsi="Book Antiqua" w:cs="Arial"/>
          <w:b/>
          <w:caps/>
        </w:rPr>
      </w:pPr>
      <w:r w:rsidRPr="00291F3D">
        <w:rPr>
          <w:rFonts w:ascii="Book Antiqua" w:hAnsi="Book Antiqua" w:cs="Arial"/>
          <w:b/>
          <w:caps/>
        </w:rPr>
        <w:t xml:space="preserve">Mr Y </w:t>
      </w:r>
      <w:proofErr w:type="gramStart"/>
      <w:r w:rsidRPr="00291F3D">
        <w:rPr>
          <w:rFonts w:ascii="Book Antiqua" w:hAnsi="Book Antiqua" w:cs="Arial"/>
          <w:b/>
          <w:caps/>
        </w:rPr>
        <w:t>A</w:t>
      </w:r>
      <w:proofErr w:type="gramEnd"/>
      <w:r w:rsidRPr="00291F3D">
        <w:rPr>
          <w:rFonts w:ascii="Book Antiqua" w:hAnsi="Book Antiqua" w:cs="Arial"/>
          <w:b/>
          <w:caps/>
        </w:rPr>
        <w:t xml:space="preserve"> </w:t>
      </w:r>
      <w:proofErr w:type="spellStart"/>
      <w:r w:rsidRPr="00291F3D">
        <w:rPr>
          <w:rFonts w:ascii="Book Antiqua" w:hAnsi="Book Antiqua" w:cs="Arial"/>
          <w:b/>
          <w:caps/>
        </w:rPr>
        <w:t>A</w:t>
      </w:r>
      <w:bookmarkStart w:id="0" w:name="_GoBack"/>
      <w:bookmarkEnd w:id="0"/>
      <w:proofErr w:type="spellEnd"/>
    </w:p>
    <w:p w14:paraId="7FE7A7AC" w14:textId="50626D5A" w:rsidR="00704B61" w:rsidRPr="00D33BEB" w:rsidRDefault="00847259" w:rsidP="00A15234">
      <w:pPr>
        <w:jc w:val="center"/>
        <w:rPr>
          <w:rFonts w:ascii="Book Antiqua" w:hAnsi="Book Antiqua" w:cs="Arial"/>
        </w:rPr>
      </w:pPr>
      <w:r w:rsidRPr="00D33BEB">
        <w:rPr>
          <w:rFonts w:ascii="Book Antiqua" w:hAnsi="Book Antiqua" w:cs="Arial"/>
          <w:caps/>
        </w:rPr>
        <w:t>(anonymity direction</w:t>
      </w:r>
      <w:r w:rsidR="00D33BEB" w:rsidRPr="00D33BEB">
        <w:rPr>
          <w:rFonts w:ascii="Book Antiqua" w:hAnsi="Book Antiqua" w:cs="Arial"/>
          <w:caps/>
        </w:rPr>
        <w:t xml:space="preserve"> MADE</w:t>
      </w:r>
      <w:r w:rsidRPr="00D33BEB">
        <w:rPr>
          <w:rFonts w:ascii="Book Antiqua" w:hAnsi="Book Antiqua" w:cs="Arial"/>
          <w:caps/>
        </w:rPr>
        <w:t>)</w:t>
      </w:r>
    </w:p>
    <w:p w14:paraId="7518732F"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291F3D">
        <w:rPr>
          <w:rFonts w:ascii="Book Antiqua" w:hAnsi="Book Antiqua" w:cs="Arial"/>
          <w:u w:val="single"/>
        </w:rPr>
        <w:t>s</w:t>
      </w:r>
    </w:p>
    <w:p w14:paraId="2A62B4ED" w14:textId="77777777" w:rsidR="00D33BEB" w:rsidRDefault="00D33BEB" w:rsidP="00704B61">
      <w:pPr>
        <w:jc w:val="center"/>
        <w:rPr>
          <w:rFonts w:ascii="Book Antiqua" w:hAnsi="Book Antiqua" w:cs="Arial"/>
          <w:b/>
        </w:rPr>
      </w:pPr>
    </w:p>
    <w:p w14:paraId="4607BC19" w14:textId="703E8AE0" w:rsidR="00704B61" w:rsidRPr="00AE6DDE" w:rsidRDefault="00DD5071" w:rsidP="00704B61">
      <w:pPr>
        <w:jc w:val="center"/>
        <w:rPr>
          <w:rFonts w:ascii="Book Antiqua" w:hAnsi="Book Antiqua" w:cs="Arial"/>
          <w:b/>
        </w:rPr>
      </w:pPr>
      <w:r w:rsidRPr="00AE6DDE">
        <w:rPr>
          <w:rFonts w:ascii="Book Antiqua" w:hAnsi="Book Antiqua" w:cs="Arial"/>
          <w:b/>
        </w:rPr>
        <w:t>and</w:t>
      </w:r>
    </w:p>
    <w:p w14:paraId="31C7E5D2" w14:textId="20AF420C" w:rsidR="00DD5071" w:rsidRDefault="00DD5071" w:rsidP="00704B61">
      <w:pPr>
        <w:jc w:val="center"/>
        <w:rPr>
          <w:rFonts w:ascii="Book Antiqua" w:hAnsi="Book Antiqua" w:cs="Arial"/>
          <w:b/>
        </w:rPr>
      </w:pPr>
    </w:p>
    <w:p w14:paraId="7E857915" w14:textId="0871FEBD" w:rsidR="00D33BEB" w:rsidRPr="00AE6DDE" w:rsidRDefault="00D33BEB" w:rsidP="00704B61">
      <w:pPr>
        <w:jc w:val="center"/>
        <w:rPr>
          <w:rFonts w:ascii="Book Antiqua" w:hAnsi="Book Antiqua" w:cs="Arial"/>
          <w:b/>
        </w:rPr>
      </w:pPr>
      <w:r>
        <w:rPr>
          <w:rFonts w:ascii="Book Antiqua" w:hAnsi="Book Antiqua" w:cs="Arial"/>
          <w:b/>
        </w:rPr>
        <w:t>THE SECRETARY OF STATE FOR THE HOME DEPARTMENT</w:t>
      </w:r>
    </w:p>
    <w:p w14:paraId="132A7CDD"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6004D6A4" w14:textId="77777777" w:rsidR="00DD5071" w:rsidRPr="00AE6DDE" w:rsidRDefault="00DD5071" w:rsidP="00DD5071">
      <w:pPr>
        <w:rPr>
          <w:rFonts w:ascii="Book Antiqua" w:hAnsi="Book Antiqua" w:cs="Arial"/>
          <w:u w:val="single"/>
        </w:rPr>
      </w:pPr>
    </w:p>
    <w:p w14:paraId="34AB3FCC"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8BB565E" w14:textId="77777777" w:rsidR="00DE7DB7" w:rsidRPr="00AE6DDE" w:rsidRDefault="00DE7DB7" w:rsidP="00DD5071">
      <w:pPr>
        <w:rPr>
          <w:rFonts w:ascii="Book Antiqua" w:hAnsi="Book Antiqua" w:cs="Arial"/>
        </w:rPr>
      </w:pPr>
    </w:p>
    <w:p w14:paraId="35ED2526"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291F3D">
        <w:rPr>
          <w:rFonts w:ascii="Book Antiqua" w:hAnsi="Book Antiqua" w:cs="Arial"/>
        </w:rPr>
        <w:t>s</w:t>
      </w:r>
      <w:r w:rsidRPr="00AE6DDE">
        <w:rPr>
          <w:rFonts w:ascii="Book Antiqua" w:hAnsi="Book Antiqua" w:cs="Arial"/>
        </w:rPr>
        <w:t>:</w:t>
      </w:r>
      <w:r w:rsidRPr="00AE6DDE">
        <w:rPr>
          <w:rFonts w:ascii="Book Antiqua" w:hAnsi="Book Antiqua" w:cs="Arial"/>
        </w:rPr>
        <w:tab/>
      </w:r>
      <w:r w:rsidR="006E49BD">
        <w:rPr>
          <w:rFonts w:ascii="Book Antiqua" w:hAnsi="Book Antiqua" w:cs="Arial"/>
        </w:rPr>
        <w:t>Ms G Loughran, Counsel, instructed by Wilson Solicitors LLP</w:t>
      </w:r>
    </w:p>
    <w:p w14:paraId="65B6E3D7"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6E49BD">
        <w:rPr>
          <w:rFonts w:ascii="Book Antiqua" w:hAnsi="Book Antiqua" w:cs="Arial"/>
        </w:rPr>
        <w:t xml:space="preserve">Mr E </w:t>
      </w:r>
      <w:proofErr w:type="spellStart"/>
      <w:r w:rsidR="006E49BD">
        <w:rPr>
          <w:rFonts w:ascii="Book Antiqua" w:hAnsi="Book Antiqua" w:cs="Arial"/>
        </w:rPr>
        <w:t>Tufan</w:t>
      </w:r>
      <w:proofErr w:type="spellEnd"/>
      <w:r w:rsidR="006E49BD">
        <w:rPr>
          <w:rFonts w:ascii="Book Antiqua" w:hAnsi="Book Antiqua" w:cs="Arial"/>
        </w:rPr>
        <w:t xml:space="preserve">, </w:t>
      </w:r>
      <w:r w:rsidR="00C555EB">
        <w:rPr>
          <w:rFonts w:ascii="Book Antiqua" w:hAnsi="Book Antiqua" w:cs="Arial"/>
        </w:rPr>
        <w:t xml:space="preserve">Senior </w:t>
      </w:r>
      <w:r w:rsidR="006E49BD">
        <w:rPr>
          <w:rFonts w:ascii="Book Antiqua" w:hAnsi="Book Antiqua" w:cs="Arial"/>
        </w:rPr>
        <w:t>Home Office Presenting Officer</w:t>
      </w:r>
    </w:p>
    <w:p w14:paraId="344FA26C" w14:textId="77777777" w:rsidR="00DE7DB7" w:rsidRPr="00AE6DDE" w:rsidRDefault="00DE7DB7" w:rsidP="00847259">
      <w:pPr>
        <w:jc w:val="center"/>
        <w:rPr>
          <w:rFonts w:ascii="Book Antiqua" w:hAnsi="Book Antiqua" w:cs="Arial"/>
        </w:rPr>
      </w:pPr>
    </w:p>
    <w:p w14:paraId="6E16D19D" w14:textId="77777777" w:rsidR="00DE7DB7" w:rsidRPr="00AE6DDE" w:rsidRDefault="00DE7DB7" w:rsidP="00847259">
      <w:pPr>
        <w:jc w:val="center"/>
        <w:rPr>
          <w:rFonts w:ascii="Book Antiqua" w:hAnsi="Book Antiqua" w:cs="Arial"/>
        </w:rPr>
      </w:pPr>
    </w:p>
    <w:p w14:paraId="7C745FB4"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17887D58" w14:textId="77777777" w:rsidR="00402B9E" w:rsidRPr="00AE6DDE" w:rsidRDefault="00402B9E" w:rsidP="00847259">
      <w:pPr>
        <w:jc w:val="both"/>
        <w:rPr>
          <w:rFonts w:ascii="Book Antiqua" w:hAnsi="Book Antiqua" w:cs="Arial"/>
        </w:rPr>
      </w:pPr>
    </w:p>
    <w:p w14:paraId="6A3D63AC" w14:textId="77777777" w:rsidR="00FE1D17" w:rsidRDefault="00402B9E" w:rsidP="00FE1D17">
      <w:pPr>
        <w:pStyle w:val="p"/>
      </w:pPr>
      <w:r w:rsidRPr="00AE6DDE">
        <w:t>1.</w:t>
      </w:r>
      <w:r w:rsidRPr="00AE6DDE">
        <w:tab/>
      </w:r>
      <w:r w:rsidR="00C555EB">
        <w:t>This is an appeal from a</w:t>
      </w:r>
      <w:r w:rsidR="00500133" w:rsidRPr="00FE1D17">
        <w:t xml:space="preserve"> decision of First-</w:t>
      </w:r>
      <w:r w:rsidR="00C555EB">
        <w:t>tier Tribunal Judge Lucas</w:t>
      </w:r>
      <w:r w:rsidR="00500133" w:rsidRPr="00FE1D17">
        <w:t xml:space="preserve"> </w:t>
      </w:r>
      <w:r w:rsidR="00FE1D17">
        <w:t>promulgated on 6 June 2017.</w:t>
      </w:r>
    </w:p>
    <w:p w14:paraId="50259AFF" w14:textId="77777777" w:rsidR="00FE1D17" w:rsidRDefault="00FE1D17" w:rsidP="00FE1D17">
      <w:pPr>
        <w:pStyle w:val="p"/>
      </w:pPr>
    </w:p>
    <w:p w14:paraId="4DB7F67D" w14:textId="77777777" w:rsidR="00BF23BB" w:rsidRDefault="00FE1D17" w:rsidP="00FE1D17">
      <w:pPr>
        <w:pStyle w:val="p"/>
      </w:pPr>
      <w:r>
        <w:t>2.</w:t>
      </w:r>
      <w:r>
        <w:tab/>
      </w:r>
      <w:r w:rsidR="00C555EB">
        <w:t>The three appellants, minor siblings</w:t>
      </w:r>
      <w:r w:rsidR="009953CB">
        <w:t xml:space="preserve"> who are Somali citizens living in Addis Ababa</w:t>
      </w:r>
      <w:r w:rsidR="00500133" w:rsidRPr="00FE1D17">
        <w:t xml:space="preserve">, </w:t>
      </w:r>
      <w:r w:rsidR="00C555EB">
        <w:t>sought entry clearance. T</w:t>
      </w:r>
      <w:r w:rsidR="009953CB">
        <w:t>he sponsor i</w:t>
      </w:r>
      <w:r w:rsidR="00C555EB">
        <w:t>s</w:t>
      </w:r>
      <w:r w:rsidRPr="00FE1D17">
        <w:t xml:space="preserve"> their father. Such evidenc</w:t>
      </w:r>
      <w:r w:rsidR="009953CB">
        <w:t xml:space="preserve">e as there was before </w:t>
      </w:r>
      <w:r w:rsidRPr="00FE1D17">
        <w:t xml:space="preserve">suggested </w:t>
      </w:r>
      <w:r w:rsidR="009953CB">
        <w:t>that the appellants’ mother, who had primary care of the three children</w:t>
      </w:r>
      <w:r w:rsidRPr="00FE1D17">
        <w:t xml:space="preserve">, had </w:t>
      </w:r>
      <w:r w:rsidRPr="00FE1D17">
        <w:lastRenderedPageBreak/>
        <w:t>died s</w:t>
      </w:r>
      <w:r w:rsidR="00C97985">
        <w:t>ome</w:t>
      </w:r>
      <w:r w:rsidR="006256F6">
        <w:t xml:space="preserve"> </w:t>
      </w:r>
      <w:r w:rsidR="00C97985">
        <w:t xml:space="preserve">time </w:t>
      </w:r>
      <w:r w:rsidRPr="00FE1D17">
        <w:t xml:space="preserve">in 2015. </w:t>
      </w:r>
      <w:r w:rsidR="00C97985">
        <w:t>The mother’s husband informed the sponsor that he should make arrangements for the children, and it is the appellants’ case that from that time onwards the sponsor, being their natural father,</w:t>
      </w:r>
      <w:r w:rsidRPr="00FE1D17">
        <w:t xml:space="preserve"> became responsible for them.</w:t>
      </w:r>
    </w:p>
    <w:p w14:paraId="2577E8B0" w14:textId="77777777" w:rsidR="00FE1D17" w:rsidRDefault="00FE1D17" w:rsidP="00FE1D17">
      <w:pPr>
        <w:pStyle w:val="p"/>
      </w:pPr>
    </w:p>
    <w:p w14:paraId="04266229" w14:textId="77777777" w:rsidR="00FE1D17" w:rsidRPr="00FE1D17" w:rsidRDefault="00FE1D17" w:rsidP="00640C83">
      <w:pPr>
        <w:pStyle w:val="p"/>
      </w:pPr>
      <w:r>
        <w:t>3.</w:t>
      </w:r>
      <w:r>
        <w:tab/>
        <w:t xml:space="preserve">The judge </w:t>
      </w:r>
      <w:r w:rsidR="00D70D93">
        <w:t xml:space="preserve">in the First-tier Tribunal </w:t>
      </w:r>
      <w:r>
        <w:t>seemed to take a robust and immovable view</w:t>
      </w:r>
      <w:r w:rsidR="00B71FBC">
        <w:t xml:space="preserve"> that the inability of the appellants to lodge an authenticated certificate dealing with the death of the appellants’ mother was of great</w:t>
      </w:r>
      <w:r w:rsidR="00D70D93">
        <w:t xml:space="preserve"> significance.  It was a matter </w:t>
      </w:r>
      <w:r w:rsidR="00B71FBC">
        <w:t>adverted to on several occasions duri</w:t>
      </w:r>
      <w:r w:rsidR="00D70D93">
        <w:t xml:space="preserve">ng the course of the decision. </w:t>
      </w:r>
      <w:r w:rsidR="00B71FBC">
        <w:t>The judge did not</w:t>
      </w:r>
      <w:r w:rsidR="00D70D93">
        <w:t xml:space="preserve"> appear to give any meaningful </w:t>
      </w:r>
      <w:r w:rsidR="00B71FBC">
        <w:t xml:space="preserve">consideration to the reasons why, having regard to the political situation in </w:t>
      </w:r>
      <w:r w:rsidR="00D70D93">
        <w:t xml:space="preserve">war-torn </w:t>
      </w:r>
      <w:r w:rsidR="00B71FBC">
        <w:t>Somalia</w:t>
      </w:r>
      <w:r w:rsidR="00640C83">
        <w:t xml:space="preserve"> prevailing at the time</w:t>
      </w:r>
      <w:r w:rsidR="00D70D93">
        <w:t>,</w:t>
      </w:r>
      <w:r w:rsidR="00640C83">
        <w:t xml:space="preserve"> a death certificate may not have been issued</w:t>
      </w:r>
      <w:r w:rsidR="00D70D93">
        <w:t xml:space="preserve"> or </w:t>
      </w:r>
      <w:r w:rsidR="00106B61">
        <w:t>retained This</w:t>
      </w:r>
      <w:r w:rsidR="00D70D93">
        <w:t xml:space="preserve"> was a material consideration which should have been entertained and addressed by the judge</w:t>
      </w:r>
      <w:r w:rsidR="00640C83">
        <w:t>.</w:t>
      </w:r>
    </w:p>
    <w:p w14:paraId="4F90778A" w14:textId="77777777" w:rsidR="00FE1D17" w:rsidRDefault="00FE1D17" w:rsidP="00FE1D17">
      <w:pPr>
        <w:pStyle w:val="p"/>
      </w:pPr>
    </w:p>
    <w:p w14:paraId="7446CF42" w14:textId="77777777" w:rsidR="00A91EE4" w:rsidRPr="008C663A" w:rsidRDefault="00FE1D17" w:rsidP="00640C83">
      <w:pPr>
        <w:pStyle w:val="p"/>
        <w:rPr>
          <w:b/>
        </w:rPr>
      </w:pPr>
      <w:r>
        <w:t>4.</w:t>
      </w:r>
      <w:r w:rsidR="00D70D93">
        <w:tab/>
        <w:t>The judge appears to have founded</w:t>
      </w:r>
      <w:r w:rsidR="00640C83">
        <w:t xml:space="preserve"> his decision almost exclusively </w:t>
      </w:r>
      <w:r w:rsidR="00D70D93">
        <w:t>upon the lack of corroboration</w:t>
      </w:r>
      <w:r w:rsidR="00640C83">
        <w:t xml:space="preserve"> of the fact that the appellants’ mother had died, </w:t>
      </w:r>
      <w:r w:rsidR="00D70D93">
        <w:t xml:space="preserve">there being no </w:t>
      </w:r>
      <w:r w:rsidR="00640C83">
        <w:t>death</w:t>
      </w:r>
      <w:r w:rsidR="00D70D93">
        <w:t xml:space="preserve"> certificate</w:t>
      </w:r>
      <w:r w:rsidR="00640C83">
        <w:t xml:space="preserve">.  He says in paragraph 25: “This is an unlikely and wholly unsupported assertion.” </w:t>
      </w:r>
      <w:r w:rsidR="00E9710A">
        <w:t xml:space="preserve"> With respect to him, </w:t>
      </w:r>
      <w:r w:rsidR="00640C83">
        <w:t xml:space="preserve">an explanation </w:t>
      </w:r>
      <w:r w:rsidR="00E9710A">
        <w:t xml:space="preserve">for the absence of documentary corroboration had been given and </w:t>
      </w:r>
      <w:r w:rsidR="00640C83">
        <w:t>its credibility</w:t>
      </w:r>
      <w:r w:rsidR="00E9710A">
        <w:t xml:space="preserve"> should have been examined and assessed by the judge. It was not</w:t>
      </w:r>
      <w:r w:rsidR="00A91EE4">
        <w:t>.</w:t>
      </w:r>
      <w:r w:rsidR="00C3627A">
        <w:t xml:space="preserve"> Indeed, to imply that corroboration is a legal or procedural requirement is a misdirection: </w:t>
      </w:r>
      <w:proofErr w:type="spellStart"/>
      <w:r w:rsidR="008C663A">
        <w:rPr>
          <w:b/>
          <w:u w:val="single"/>
        </w:rPr>
        <w:t>Kasolo</w:t>
      </w:r>
      <w:proofErr w:type="spellEnd"/>
      <w:r w:rsidR="008C663A">
        <w:rPr>
          <w:b/>
          <w:u w:val="single"/>
        </w:rPr>
        <w:t xml:space="preserve"> v Secretary of State for the Home Department</w:t>
      </w:r>
      <w:r w:rsidR="008C663A">
        <w:rPr>
          <w:b/>
        </w:rPr>
        <w:t xml:space="preserve"> (13190).</w:t>
      </w:r>
    </w:p>
    <w:p w14:paraId="5B8A06EB" w14:textId="77777777" w:rsidR="00A91EE4" w:rsidRDefault="00A91EE4" w:rsidP="00640C83">
      <w:pPr>
        <w:pStyle w:val="p"/>
      </w:pPr>
    </w:p>
    <w:p w14:paraId="59384D98" w14:textId="77777777" w:rsidR="00FE1D17" w:rsidRPr="00640C83" w:rsidRDefault="00A91EE4" w:rsidP="00640C83">
      <w:pPr>
        <w:pStyle w:val="p"/>
      </w:pPr>
      <w:r>
        <w:t>5.</w:t>
      </w:r>
      <w:r>
        <w:tab/>
      </w:r>
      <w:r w:rsidR="00E9710A">
        <w:t>In addition</w:t>
      </w:r>
      <w:r w:rsidR="00640C83">
        <w:t>, the judge</w:t>
      </w:r>
      <w:r w:rsidR="00E9710A">
        <w:t xml:space="preserve"> did not deal in any meaningful</w:t>
      </w:r>
      <w:r w:rsidR="00640C83">
        <w:t xml:space="preserve"> way with the extent to which the appellant may have become solel</w:t>
      </w:r>
      <w:r w:rsidR="00E9710A">
        <w:t>y responsible for the appellants following</w:t>
      </w:r>
      <w:r w:rsidR="00640C83">
        <w:t xml:space="preserve"> their mother’s death. </w:t>
      </w:r>
      <w:r w:rsidR="00C3627A">
        <w:t>As the detailed written grounds, settled by Ms Loughran of counsel, persuasively argue,</w:t>
      </w:r>
      <w:r w:rsidR="00640C83">
        <w:t xml:space="preserve"> </w:t>
      </w:r>
      <w:r w:rsidR="006256F6">
        <w:t>there were elements in the evidence the sponsor assuming responsibility</w:t>
      </w:r>
      <w:r w:rsidR="00BA3E3B">
        <w:t xml:space="preserve"> for the welfare, upbringing</w:t>
      </w:r>
      <w:r w:rsidR="006256F6">
        <w:t xml:space="preserve"> and education of the children in circumstances suggestive of a chronological nexus with the alleged death of the mother.</w:t>
      </w:r>
      <w:r w:rsidR="00BA3E3B">
        <w:t xml:space="preserve"> The judge appears to have given little or no regard to the making of thes</w:t>
      </w:r>
      <w:r w:rsidR="00E81A68">
        <w:t>e</w:t>
      </w:r>
      <w:r w:rsidR="00BA3E3B">
        <w:t xml:space="preserve"> important decisions in the children’s lives and instead </w:t>
      </w:r>
      <w:r w:rsidR="00640C83">
        <w:t>place</w:t>
      </w:r>
      <w:r w:rsidR="00BA3E3B">
        <w:t>d</w:t>
      </w:r>
      <w:r w:rsidR="00640C83">
        <w:t xml:space="preserve"> undue weight on one factor, namely the </w:t>
      </w:r>
      <w:r w:rsidR="00BA3E3B">
        <w:t xml:space="preserve">relatively </w:t>
      </w:r>
      <w:r w:rsidR="00640C83">
        <w:t>low level of financial assistance which might have been given.</w:t>
      </w:r>
      <w:r w:rsidR="00E81A68">
        <w:t xml:space="preserve"> The judge seemed to draw an adverse inference form the lack of interaction between the sponsor and the appellants prior to 2015, notwithstanding that at the core of the appellant’s case was the fact that responsibility for the appellants did not devolve </w:t>
      </w:r>
      <w:r w:rsidR="00DD45DA">
        <w:t xml:space="preserve">onto the sponsor until the mother’s death that year. While the mother had been alive, she had sole (or at least principal) responsibility for the appellants. </w:t>
      </w:r>
      <w:r w:rsidR="00E81A68">
        <w:t xml:space="preserve"> </w:t>
      </w:r>
    </w:p>
    <w:p w14:paraId="6005B375" w14:textId="77777777" w:rsidR="00FE1D17" w:rsidRDefault="00FE1D17" w:rsidP="00FE1D17">
      <w:pPr>
        <w:pStyle w:val="p"/>
      </w:pPr>
    </w:p>
    <w:p w14:paraId="55C27747" w14:textId="77777777" w:rsidR="00A91EE4" w:rsidRPr="006E79DC" w:rsidRDefault="00A91EE4" w:rsidP="00A91EE4">
      <w:pPr>
        <w:pStyle w:val="p"/>
        <w:rPr>
          <w:b/>
        </w:rPr>
      </w:pPr>
      <w:r>
        <w:t>6</w:t>
      </w:r>
      <w:r w:rsidR="00FE1D17">
        <w:t>.</w:t>
      </w:r>
      <w:r w:rsidR="00FE1D17">
        <w:tab/>
      </w:r>
      <w:r w:rsidR="00BA3E3B">
        <w:t>Finally,</w:t>
      </w:r>
      <w:r w:rsidR="00640C83">
        <w:t xml:space="preserve"> no consideration was given </w:t>
      </w:r>
      <w:r w:rsidR="00C765E8">
        <w:t>by</w:t>
      </w:r>
      <w:r w:rsidR="00640C83">
        <w:t xml:space="preserve"> the judge </w:t>
      </w:r>
      <w:r w:rsidR="00C765E8">
        <w:t>in this instance of the best interest</w:t>
      </w:r>
      <w:r>
        <w:t xml:space="preserve"> consideration of the three infant appellants</w:t>
      </w:r>
      <w:r w:rsidR="00DD45DA">
        <w:t>, not any proper Article 8 analysis</w:t>
      </w:r>
      <w:r w:rsidR="006E79DC">
        <w:t xml:space="preserve">: </w:t>
      </w:r>
      <w:proofErr w:type="spellStart"/>
      <w:r w:rsidR="006E79DC">
        <w:rPr>
          <w:b/>
          <w:u w:val="single"/>
        </w:rPr>
        <w:t>Mundeba</w:t>
      </w:r>
      <w:proofErr w:type="spellEnd"/>
      <w:r w:rsidR="006E79DC">
        <w:rPr>
          <w:b/>
          <w:u w:val="single"/>
        </w:rPr>
        <w:t xml:space="preserve"> (s 55 and para 297(1)(f))</w:t>
      </w:r>
      <w:r w:rsidR="006E79DC">
        <w:rPr>
          <w:b/>
        </w:rPr>
        <w:t xml:space="preserve"> [2013] UKUT 0088 (IAC).</w:t>
      </w:r>
    </w:p>
    <w:p w14:paraId="2066CE97" w14:textId="77777777" w:rsidR="00A91EE4" w:rsidRDefault="00A91EE4" w:rsidP="00A91EE4">
      <w:pPr>
        <w:pStyle w:val="p"/>
      </w:pPr>
    </w:p>
    <w:p w14:paraId="23102AA2" w14:textId="77777777" w:rsidR="00FE1D17" w:rsidRPr="00640C83" w:rsidRDefault="00F3519C" w:rsidP="00A91EE4">
      <w:pPr>
        <w:pStyle w:val="p"/>
      </w:pPr>
      <w:r>
        <w:t>7.</w:t>
      </w:r>
      <w:r>
        <w:tab/>
        <w:t xml:space="preserve">Mr </w:t>
      </w:r>
      <w:proofErr w:type="spellStart"/>
      <w:r>
        <w:t>Tufan</w:t>
      </w:r>
      <w:proofErr w:type="spellEnd"/>
      <w:r>
        <w:t xml:space="preserve">, </w:t>
      </w:r>
      <w:r w:rsidR="00A91EE4">
        <w:t>on behalf</w:t>
      </w:r>
      <w:r w:rsidR="006E79DC">
        <w:t xml:space="preserve"> of the Secretary of State, </w:t>
      </w:r>
      <w:r w:rsidR="00A91EE4">
        <w:t>realistically ac</w:t>
      </w:r>
      <w:r w:rsidR="006E79DC">
        <w:t>cepts that the reasoning in the</w:t>
      </w:r>
      <w:r w:rsidR="00A91EE4">
        <w:t xml:space="preserve"> </w:t>
      </w:r>
      <w:r w:rsidR="006E79DC">
        <w:t>decision is less than adequate</w:t>
      </w:r>
      <w:r>
        <w:t>. T</w:t>
      </w:r>
      <w:r w:rsidR="00A91EE4">
        <w:t xml:space="preserve">he basis upon which the decision is made </w:t>
      </w:r>
      <w:r>
        <w:t xml:space="preserve">is not apparent and it </w:t>
      </w:r>
      <w:r w:rsidR="00A91EE4">
        <w:t>can</w:t>
      </w:r>
      <w:r>
        <w:t>not</w:t>
      </w:r>
      <w:r w:rsidR="00A91EE4">
        <w:t xml:space="preserve"> safely be relied </w:t>
      </w:r>
      <w:r w:rsidR="00EB66D3">
        <w:t>on.  As</w:t>
      </w:r>
      <w:r>
        <w:t xml:space="preserve"> issues identified as </w:t>
      </w:r>
      <w:r w:rsidR="00A91EE4">
        <w:t>inadequate go to the very core of the appeal</w:t>
      </w:r>
      <w:r w:rsidR="00EB66D3">
        <w:t>,</w:t>
      </w:r>
      <w:r w:rsidR="00A91EE4">
        <w:t xml:space="preserve"> it would </w:t>
      </w:r>
      <w:r w:rsidR="00EB66D3">
        <w:t>not be appropriate to retain this</w:t>
      </w:r>
      <w:r w:rsidR="00A91EE4">
        <w:t xml:space="preserve"> ma</w:t>
      </w:r>
      <w:r>
        <w:t xml:space="preserve">tter in the Upper </w:t>
      </w:r>
      <w:r>
        <w:lastRenderedPageBreak/>
        <w:t>Tribunal for the decision to be remad</w:t>
      </w:r>
      <w:r w:rsidR="009721A8">
        <w:t>e. I</w:t>
      </w:r>
      <w:r w:rsidR="00A91EE4">
        <w:t>t must be remitted to the Firs</w:t>
      </w:r>
      <w:r w:rsidR="009721A8">
        <w:t>t-tier Tribunal to be heard afresh.</w:t>
      </w:r>
    </w:p>
    <w:p w14:paraId="3E405009" w14:textId="77777777" w:rsidR="00640C83" w:rsidRDefault="00640C83" w:rsidP="00FE1D17">
      <w:pPr>
        <w:pStyle w:val="p"/>
      </w:pPr>
    </w:p>
    <w:p w14:paraId="444B322D" w14:textId="77777777" w:rsidR="00640C83" w:rsidRPr="00A91EE4" w:rsidRDefault="00640C83" w:rsidP="00484E82">
      <w:pPr>
        <w:pStyle w:val="p"/>
      </w:pPr>
    </w:p>
    <w:p w14:paraId="13D0B813" w14:textId="77777777" w:rsidR="001F2716" w:rsidRPr="00AE6DDE" w:rsidRDefault="001F2716" w:rsidP="00847259">
      <w:pPr>
        <w:jc w:val="both"/>
        <w:rPr>
          <w:rFonts w:ascii="Book Antiqua" w:hAnsi="Book Antiqua" w:cs="Arial"/>
        </w:rPr>
      </w:pPr>
    </w:p>
    <w:p w14:paraId="49326E91" w14:textId="77777777"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14:paraId="2EC89D53" w14:textId="77777777" w:rsidR="00847259" w:rsidRDefault="00847259" w:rsidP="00847259">
      <w:pPr>
        <w:jc w:val="both"/>
        <w:rPr>
          <w:rFonts w:ascii="Book Antiqua" w:hAnsi="Book Antiqua" w:cs="Arial"/>
        </w:rPr>
      </w:pPr>
    </w:p>
    <w:p w14:paraId="61483B2A" w14:textId="77777777" w:rsidR="009721A8" w:rsidRDefault="009721A8" w:rsidP="009721A8">
      <w:pPr>
        <w:pStyle w:val="p"/>
        <w:numPr>
          <w:ilvl w:val="0"/>
          <w:numId w:val="2"/>
        </w:numPr>
      </w:pPr>
      <w:r>
        <w:t xml:space="preserve">The decision of the </w:t>
      </w:r>
      <w:r w:rsidR="00F3519C">
        <w:t xml:space="preserve">First-tier </w:t>
      </w:r>
      <w:r>
        <w:t>Tribunal is set aside.</w:t>
      </w:r>
    </w:p>
    <w:p w14:paraId="2B129513" w14:textId="77777777" w:rsidR="009721A8" w:rsidRDefault="009721A8" w:rsidP="009721A8">
      <w:pPr>
        <w:pStyle w:val="p"/>
        <w:numPr>
          <w:ilvl w:val="0"/>
          <w:numId w:val="2"/>
        </w:numPr>
      </w:pPr>
      <w:r>
        <w:t>T</w:t>
      </w:r>
      <w:r w:rsidR="00F3519C">
        <w:t>he matter is r</w:t>
      </w:r>
      <w:r w:rsidR="00EB66D3">
        <w:t>emitted to be</w:t>
      </w:r>
      <w:r>
        <w:t xml:space="preserve"> head afresh</w:t>
      </w:r>
      <w:r w:rsidR="00F3519C">
        <w:t xml:space="preserve"> by</w:t>
      </w:r>
      <w:r>
        <w:t xml:space="preserve"> a judge other than Judge Lucas</w:t>
      </w:r>
      <w:r w:rsidR="00EB66D3">
        <w:t>.</w:t>
      </w:r>
    </w:p>
    <w:p w14:paraId="02EDB314" w14:textId="77777777" w:rsidR="00F3519C" w:rsidRPr="009721A8" w:rsidRDefault="009721A8" w:rsidP="00847259">
      <w:pPr>
        <w:pStyle w:val="p"/>
        <w:numPr>
          <w:ilvl w:val="0"/>
          <w:numId w:val="2"/>
        </w:numPr>
      </w:pPr>
      <w:r>
        <w:t>No findings of fact are preserved.</w:t>
      </w:r>
    </w:p>
    <w:p w14:paraId="73FBAA14" w14:textId="77777777" w:rsidR="00F3519C" w:rsidRDefault="00F3519C" w:rsidP="00847259">
      <w:pPr>
        <w:jc w:val="both"/>
        <w:rPr>
          <w:rFonts w:ascii="Book Antiqua" w:hAnsi="Book Antiqua" w:cs="Arial"/>
        </w:rPr>
      </w:pPr>
    </w:p>
    <w:p w14:paraId="18B8BABB" w14:textId="77777777" w:rsidR="00F3519C" w:rsidRDefault="00F3519C" w:rsidP="00847259">
      <w:pPr>
        <w:jc w:val="both"/>
        <w:rPr>
          <w:rFonts w:ascii="Book Antiqua" w:hAnsi="Book Antiqua" w:cs="Arial"/>
        </w:rPr>
      </w:pPr>
    </w:p>
    <w:p w14:paraId="01E04CE9" w14:textId="77777777"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14F34A3C" w14:textId="77777777" w:rsidR="00847259" w:rsidRDefault="00847259" w:rsidP="00847259">
      <w:pPr>
        <w:jc w:val="both"/>
        <w:rPr>
          <w:rFonts w:ascii="Book Antiqua" w:hAnsi="Book Antiqua" w:cs="Arial"/>
        </w:rPr>
      </w:pPr>
    </w:p>
    <w:p w14:paraId="54738D21" w14:textId="77777777" w:rsidR="009F5220" w:rsidRPr="00AE6DDE" w:rsidRDefault="00291F3D" w:rsidP="00847259">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w:t>
      </w:r>
      <w:r w:rsidRPr="00D949B7">
        <w:rPr>
          <w:rFonts w:ascii="Book Antiqua" w:hAnsi="Book Antiqua"/>
        </w:rPr>
        <w:t>ppellant</w:t>
      </w:r>
      <w:r>
        <w:rPr>
          <w:rFonts w:ascii="Book Antiqua" w:hAnsi="Book Antiqua"/>
        </w:rPr>
        <w:t>s</w:t>
      </w:r>
      <w:r w:rsidR="009721A8">
        <w:rPr>
          <w:rFonts w:ascii="Book Antiqua" w:hAnsi="Book Antiqua"/>
        </w:rPr>
        <w:t xml:space="preserve"> (and for the avoidance of doubt the sponsor) </w:t>
      </w:r>
      <w:r w:rsidRPr="00D949B7">
        <w:rPr>
          <w:rFonts w:ascii="Book Antiqua" w:hAnsi="Book Antiqua"/>
        </w:rPr>
        <w:t xml:space="preserve"> </w:t>
      </w:r>
      <w:r>
        <w:rPr>
          <w:rFonts w:ascii="Book Antiqua" w:hAnsi="Book Antiqua"/>
        </w:rPr>
        <w:t>are</w:t>
      </w:r>
      <w:r w:rsidRPr="00D949B7">
        <w:rPr>
          <w:rFonts w:ascii="Book Antiqua" w:hAnsi="Book Antiqua"/>
        </w:rPr>
        <w:t xml:space="preserve"> granted anonymity.  No report of these proceedings shall directly or indirectly identify </w:t>
      </w:r>
      <w:r>
        <w:rPr>
          <w:rFonts w:ascii="Book Antiqua" w:hAnsi="Book Antiqua"/>
        </w:rPr>
        <w:t>them</w:t>
      </w:r>
      <w:r w:rsidRPr="00D949B7">
        <w:rPr>
          <w:rFonts w:ascii="Book Antiqua" w:hAnsi="Book Antiqua"/>
        </w:rPr>
        <w:t xml:space="preserve"> or any member of their family.  This direction applies both to the </w:t>
      </w:r>
      <w:r>
        <w:rPr>
          <w:rFonts w:ascii="Book Antiqua" w:hAnsi="Book Antiqua"/>
        </w:rPr>
        <w:t>a</w:t>
      </w:r>
      <w:r w:rsidRPr="00D949B7">
        <w:rPr>
          <w:rFonts w:ascii="Book Antiqua" w:hAnsi="Book Antiqua"/>
        </w:rPr>
        <w:t>ppellant</w:t>
      </w:r>
      <w:r>
        <w:rPr>
          <w:rFonts w:ascii="Book Antiqua" w:hAnsi="Book Antiqua"/>
        </w:rPr>
        <w:t>s</w:t>
      </w:r>
      <w:r w:rsidRPr="00D949B7">
        <w:rPr>
          <w:rFonts w:ascii="Book Antiqua" w:hAnsi="Book Antiqua"/>
        </w:rPr>
        <w:t xml:space="preserve"> and to the </w:t>
      </w:r>
      <w:r>
        <w:rPr>
          <w:rFonts w:ascii="Book Antiqua" w:hAnsi="Book Antiqua"/>
        </w:rPr>
        <w:t>r</w:t>
      </w:r>
      <w:r w:rsidRPr="00D949B7">
        <w:rPr>
          <w:rFonts w:ascii="Book Antiqua" w:hAnsi="Book Antiqua"/>
        </w:rPr>
        <w:t>espondent.  Failure to comply with this direction could lead to contempt of court proceedings.</w:t>
      </w:r>
    </w:p>
    <w:p w14:paraId="6FFA17B5" w14:textId="77777777" w:rsidR="009F5220" w:rsidRDefault="009F5220" w:rsidP="00847259">
      <w:pPr>
        <w:jc w:val="both"/>
        <w:rPr>
          <w:rFonts w:ascii="Book Antiqua" w:hAnsi="Book Antiqua" w:cs="Arial"/>
        </w:rPr>
      </w:pPr>
    </w:p>
    <w:p w14:paraId="686C6A18" w14:textId="77777777" w:rsidR="00847259" w:rsidRDefault="00847259" w:rsidP="00847259">
      <w:pPr>
        <w:jc w:val="both"/>
        <w:rPr>
          <w:rFonts w:ascii="Book Antiqua" w:hAnsi="Book Antiqua" w:cs="Arial"/>
        </w:rPr>
      </w:pPr>
    </w:p>
    <w:p w14:paraId="222F17ED"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006E79DC">
        <w:rPr>
          <w:rFonts w:ascii="Book Antiqua" w:hAnsi="Book Antiqua" w:cs="Arial"/>
          <w:i/>
        </w:rPr>
        <w:t>Mark Hill</w:t>
      </w:r>
      <w:r w:rsidR="006E79DC">
        <w:rPr>
          <w:rFonts w:ascii="Book Antiqua" w:hAnsi="Book Antiqua" w:cs="Arial"/>
          <w:i/>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6E79DC">
        <w:rPr>
          <w:rFonts w:ascii="Book Antiqua" w:hAnsi="Book Antiqua" w:cs="Arial"/>
        </w:rPr>
        <w:tab/>
      </w:r>
      <w:r w:rsidR="006E79DC">
        <w:rPr>
          <w:rFonts w:ascii="Book Antiqua" w:hAnsi="Book Antiqua" w:cs="Arial"/>
        </w:rPr>
        <w:tab/>
        <w:t>9 July 2018</w:t>
      </w:r>
    </w:p>
    <w:p w14:paraId="03B5A695" w14:textId="77777777" w:rsidR="001F2716" w:rsidRPr="00AE6DDE" w:rsidRDefault="001F2716" w:rsidP="00847259">
      <w:pPr>
        <w:jc w:val="both"/>
        <w:rPr>
          <w:rFonts w:ascii="Book Antiqua" w:hAnsi="Book Antiqua" w:cs="Arial"/>
        </w:rPr>
      </w:pPr>
    </w:p>
    <w:p w14:paraId="6AC4608B" w14:textId="77777777" w:rsidR="001F2716" w:rsidRPr="00AE6DDE" w:rsidRDefault="001F2716" w:rsidP="00847259">
      <w:pPr>
        <w:jc w:val="both"/>
        <w:rPr>
          <w:rFonts w:ascii="Book Antiqua" w:hAnsi="Book Antiqua" w:cs="Arial"/>
        </w:rPr>
      </w:pPr>
    </w:p>
    <w:p w14:paraId="0AB89A1A"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66FC969C" w14:textId="77777777" w:rsidR="00847259" w:rsidRDefault="00847259" w:rsidP="00847259">
      <w:pPr>
        <w:jc w:val="both"/>
        <w:rPr>
          <w:rFonts w:ascii="Book Antiqua" w:hAnsi="Book Antiqua" w:cs="Arial"/>
          <w:color w:val="000000"/>
        </w:rPr>
      </w:pPr>
    </w:p>
    <w:p w14:paraId="032ABD3C" w14:textId="77777777" w:rsidR="00847259" w:rsidRDefault="00847259" w:rsidP="00847259">
      <w:pPr>
        <w:jc w:val="both"/>
        <w:rPr>
          <w:rFonts w:ascii="Book Antiqua" w:hAnsi="Book Antiqua" w:cs="Arial"/>
          <w:color w:val="000000"/>
        </w:rPr>
      </w:pPr>
    </w:p>
    <w:p w14:paraId="19AA631E"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D33BEB">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77838" w14:textId="77777777" w:rsidR="007D517A" w:rsidRDefault="007D517A">
      <w:r>
        <w:separator/>
      </w:r>
    </w:p>
  </w:endnote>
  <w:endnote w:type="continuationSeparator" w:id="0">
    <w:p w14:paraId="2ED83310" w14:textId="77777777" w:rsidR="007D517A" w:rsidRDefault="007D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C0217" w14:textId="723AA576" w:rsidR="00CD3634" w:rsidRPr="00D33BEB" w:rsidRDefault="00CD3634" w:rsidP="00593795">
    <w:pPr>
      <w:pStyle w:val="Footer"/>
      <w:jc w:val="center"/>
      <w:rPr>
        <w:rFonts w:ascii="Book Antiqua" w:hAnsi="Book Antiqua" w:cs="Arial"/>
      </w:rPr>
    </w:pPr>
    <w:r w:rsidRPr="00D33BEB">
      <w:rPr>
        <w:rStyle w:val="PageNumber"/>
        <w:rFonts w:ascii="Book Antiqua" w:hAnsi="Book Antiqua" w:cs="Arial"/>
      </w:rPr>
      <w:fldChar w:fldCharType="begin"/>
    </w:r>
    <w:r w:rsidRPr="00D33BEB">
      <w:rPr>
        <w:rStyle w:val="PageNumber"/>
        <w:rFonts w:ascii="Book Antiqua" w:hAnsi="Book Antiqua" w:cs="Arial"/>
      </w:rPr>
      <w:instrText xml:space="preserve"> PAGE </w:instrText>
    </w:r>
    <w:r w:rsidRPr="00D33BEB">
      <w:rPr>
        <w:rStyle w:val="PageNumber"/>
        <w:rFonts w:ascii="Book Antiqua" w:hAnsi="Book Antiqua" w:cs="Arial"/>
      </w:rPr>
      <w:fldChar w:fldCharType="separate"/>
    </w:r>
    <w:r w:rsidR="004C6903">
      <w:rPr>
        <w:rStyle w:val="PageNumber"/>
        <w:rFonts w:ascii="Book Antiqua" w:hAnsi="Book Antiqua" w:cs="Arial"/>
        <w:noProof/>
      </w:rPr>
      <w:t>3</w:t>
    </w:r>
    <w:r w:rsidRPr="00D33BE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AC465"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7F505" w14:textId="77777777" w:rsidR="007D517A" w:rsidRDefault="007D517A">
      <w:r>
        <w:separator/>
      </w:r>
    </w:p>
  </w:footnote>
  <w:footnote w:type="continuationSeparator" w:id="0">
    <w:p w14:paraId="4BA1205A" w14:textId="77777777" w:rsidR="007D517A" w:rsidRDefault="007D5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4083" w14:textId="77777777" w:rsidR="00291F3D" w:rsidRPr="00291F3D" w:rsidRDefault="00CD3634" w:rsidP="00291F3D">
    <w:pPr>
      <w:pStyle w:val="Header"/>
      <w:jc w:val="right"/>
      <w:rPr>
        <w:rFonts w:ascii="Book Antiqua" w:hAnsi="Book Antiqua" w:cs="Arial"/>
        <w:sz w:val="16"/>
        <w:szCs w:val="16"/>
      </w:rPr>
    </w:pPr>
    <w:r w:rsidRPr="00AE6DDE">
      <w:rPr>
        <w:rFonts w:ascii="Book Antiqua" w:hAnsi="Book Antiqua" w:cs="Arial"/>
        <w:sz w:val="16"/>
        <w:szCs w:val="16"/>
      </w:rPr>
      <w:t>Appeal Number</w:t>
    </w:r>
    <w:r w:rsidR="00291F3D">
      <w:rPr>
        <w:rFonts w:ascii="Book Antiqua" w:hAnsi="Book Antiqua" w:cs="Arial"/>
        <w:sz w:val="16"/>
        <w:szCs w:val="16"/>
      </w:rPr>
      <w:t>s</w:t>
    </w:r>
    <w:r w:rsidRPr="00AE6DDE">
      <w:rPr>
        <w:rFonts w:ascii="Book Antiqua" w:hAnsi="Book Antiqua" w:cs="Arial"/>
        <w:sz w:val="16"/>
        <w:szCs w:val="16"/>
      </w:rPr>
      <w:t xml:space="preserve">: </w:t>
    </w:r>
    <w:r w:rsidR="00291F3D" w:rsidRPr="00291F3D">
      <w:rPr>
        <w:rFonts w:ascii="Book Antiqua" w:hAnsi="Book Antiqua" w:cs="Arial"/>
        <w:sz w:val="16"/>
        <w:szCs w:val="16"/>
      </w:rPr>
      <w:t>HU/08587/2015</w:t>
    </w:r>
  </w:p>
  <w:p w14:paraId="5300B489" w14:textId="77777777" w:rsidR="00291F3D" w:rsidRPr="00291F3D" w:rsidRDefault="00291F3D" w:rsidP="00291F3D">
    <w:pPr>
      <w:pStyle w:val="Header"/>
      <w:jc w:val="right"/>
      <w:rPr>
        <w:rFonts w:ascii="Book Antiqua" w:hAnsi="Book Antiqua" w:cs="Arial"/>
        <w:sz w:val="16"/>
        <w:szCs w:val="16"/>
      </w:rPr>
    </w:pPr>
    <w:r w:rsidRPr="00291F3D">
      <w:rPr>
        <w:rFonts w:ascii="Book Antiqua" w:hAnsi="Book Antiqua" w:cs="Arial"/>
        <w:sz w:val="16"/>
        <w:szCs w:val="16"/>
      </w:rPr>
      <w:t>HU/08588/2015</w:t>
    </w:r>
  </w:p>
  <w:p w14:paraId="5D1AC888" w14:textId="24AF9109" w:rsidR="00CD3634" w:rsidRDefault="00291F3D" w:rsidP="00291F3D">
    <w:pPr>
      <w:pStyle w:val="Header"/>
      <w:jc w:val="right"/>
      <w:rPr>
        <w:rFonts w:ascii="Book Antiqua" w:hAnsi="Book Antiqua" w:cs="Arial"/>
        <w:sz w:val="16"/>
        <w:szCs w:val="16"/>
      </w:rPr>
    </w:pPr>
    <w:r w:rsidRPr="00291F3D">
      <w:rPr>
        <w:rFonts w:ascii="Book Antiqua" w:hAnsi="Book Antiqua" w:cs="Arial"/>
        <w:sz w:val="16"/>
        <w:szCs w:val="16"/>
      </w:rPr>
      <w:t>HU/08591/2015</w:t>
    </w:r>
  </w:p>
  <w:p w14:paraId="7E5BDF48" w14:textId="77777777" w:rsidR="00D33BEB" w:rsidRPr="00291F3D" w:rsidRDefault="00D33BEB" w:rsidP="00291F3D">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23687"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8679A"/>
    <w:multiLevelType w:val="hybridMultilevel"/>
    <w:tmpl w:val="4332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9857F0"/>
    <w:multiLevelType w:val="hybridMultilevel"/>
    <w:tmpl w:val="2CD40956"/>
    <w:lvl w:ilvl="0" w:tplc="8BA81B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A3"/>
    <w:rsid w:val="00000621"/>
    <w:rsid w:val="000036C2"/>
    <w:rsid w:val="00033D3D"/>
    <w:rsid w:val="00036302"/>
    <w:rsid w:val="00062F02"/>
    <w:rsid w:val="00070A60"/>
    <w:rsid w:val="00071A7E"/>
    <w:rsid w:val="000746C0"/>
    <w:rsid w:val="00074D1D"/>
    <w:rsid w:val="00092580"/>
    <w:rsid w:val="00093D4D"/>
    <w:rsid w:val="000B24F7"/>
    <w:rsid w:val="000C4CC2"/>
    <w:rsid w:val="000D5D94"/>
    <w:rsid w:val="000F1A0E"/>
    <w:rsid w:val="00106B61"/>
    <w:rsid w:val="001156C7"/>
    <w:rsid w:val="001165A7"/>
    <w:rsid w:val="00140067"/>
    <w:rsid w:val="00143A28"/>
    <w:rsid w:val="00167D3A"/>
    <w:rsid w:val="00173946"/>
    <w:rsid w:val="00173A2D"/>
    <w:rsid w:val="0019335E"/>
    <w:rsid w:val="001A3082"/>
    <w:rsid w:val="001B186A"/>
    <w:rsid w:val="001B2F75"/>
    <w:rsid w:val="001F2716"/>
    <w:rsid w:val="00207617"/>
    <w:rsid w:val="00224D49"/>
    <w:rsid w:val="0023134B"/>
    <w:rsid w:val="002376E5"/>
    <w:rsid w:val="002477A3"/>
    <w:rsid w:val="00252EB7"/>
    <w:rsid w:val="00253D70"/>
    <w:rsid w:val="00254DBC"/>
    <w:rsid w:val="00283659"/>
    <w:rsid w:val="00291F3D"/>
    <w:rsid w:val="002C6BD4"/>
    <w:rsid w:val="002D083B"/>
    <w:rsid w:val="002D68BF"/>
    <w:rsid w:val="002F6B98"/>
    <w:rsid w:val="003133AE"/>
    <w:rsid w:val="00336CBF"/>
    <w:rsid w:val="00343FE3"/>
    <w:rsid w:val="00347A9C"/>
    <w:rsid w:val="003546C8"/>
    <w:rsid w:val="00360529"/>
    <w:rsid w:val="003A0375"/>
    <w:rsid w:val="003A7CF2"/>
    <w:rsid w:val="003C5CE5"/>
    <w:rsid w:val="003E267B"/>
    <w:rsid w:val="003E7CD1"/>
    <w:rsid w:val="003F4C61"/>
    <w:rsid w:val="00402B9E"/>
    <w:rsid w:val="00421EEA"/>
    <w:rsid w:val="004249CB"/>
    <w:rsid w:val="0044127D"/>
    <w:rsid w:val="004448DB"/>
    <w:rsid w:val="00446C9A"/>
    <w:rsid w:val="00447988"/>
    <w:rsid w:val="00452F2B"/>
    <w:rsid w:val="00471E3C"/>
    <w:rsid w:val="00477193"/>
    <w:rsid w:val="00484E82"/>
    <w:rsid w:val="004A0254"/>
    <w:rsid w:val="004A1848"/>
    <w:rsid w:val="004A6F4A"/>
    <w:rsid w:val="004C6903"/>
    <w:rsid w:val="004E1F64"/>
    <w:rsid w:val="004E4717"/>
    <w:rsid w:val="004F672C"/>
    <w:rsid w:val="00500133"/>
    <w:rsid w:val="0050388A"/>
    <w:rsid w:val="00507FEC"/>
    <w:rsid w:val="00510F0E"/>
    <w:rsid w:val="005420FD"/>
    <w:rsid w:val="005473D4"/>
    <w:rsid w:val="005479E1"/>
    <w:rsid w:val="00553E0A"/>
    <w:rsid w:val="005570FD"/>
    <w:rsid w:val="005575EA"/>
    <w:rsid w:val="0056269E"/>
    <w:rsid w:val="0057790C"/>
    <w:rsid w:val="00593795"/>
    <w:rsid w:val="00596130"/>
    <w:rsid w:val="005A75FF"/>
    <w:rsid w:val="005C2B9C"/>
    <w:rsid w:val="005D10AB"/>
    <w:rsid w:val="005E3B61"/>
    <w:rsid w:val="005E761F"/>
    <w:rsid w:val="00601D8F"/>
    <w:rsid w:val="0062078F"/>
    <w:rsid w:val="006256F6"/>
    <w:rsid w:val="00640C83"/>
    <w:rsid w:val="00653E97"/>
    <w:rsid w:val="00673989"/>
    <w:rsid w:val="00684A74"/>
    <w:rsid w:val="00690B8A"/>
    <w:rsid w:val="006E47C4"/>
    <w:rsid w:val="006E49BD"/>
    <w:rsid w:val="006E79DC"/>
    <w:rsid w:val="006F2CF1"/>
    <w:rsid w:val="00703184"/>
    <w:rsid w:val="007038ED"/>
    <w:rsid w:val="00703BC3"/>
    <w:rsid w:val="00704B61"/>
    <w:rsid w:val="007552A9"/>
    <w:rsid w:val="00761858"/>
    <w:rsid w:val="00767D59"/>
    <w:rsid w:val="00776E97"/>
    <w:rsid w:val="00780F86"/>
    <w:rsid w:val="007912AD"/>
    <w:rsid w:val="007A0794"/>
    <w:rsid w:val="007A63E3"/>
    <w:rsid w:val="007B0824"/>
    <w:rsid w:val="007B5D3C"/>
    <w:rsid w:val="007D517A"/>
    <w:rsid w:val="00821B72"/>
    <w:rsid w:val="00823EF2"/>
    <w:rsid w:val="00827025"/>
    <w:rsid w:val="008303B8"/>
    <w:rsid w:val="00833DCE"/>
    <w:rsid w:val="008453BF"/>
    <w:rsid w:val="00847206"/>
    <w:rsid w:val="00847259"/>
    <w:rsid w:val="008478F6"/>
    <w:rsid w:val="00854534"/>
    <w:rsid w:val="00871D34"/>
    <w:rsid w:val="00874D45"/>
    <w:rsid w:val="008B270C"/>
    <w:rsid w:val="008B5078"/>
    <w:rsid w:val="008C3D3D"/>
    <w:rsid w:val="008C4805"/>
    <w:rsid w:val="008C663A"/>
    <w:rsid w:val="008D0BCD"/>
    <w:rsid w:val="008D4131"/>
    <w:rsid w:val="008F1932"/>
    <w:rsid w:val="00921062"/>
    <w:rsid w:val="00942BEE"/>
    <w:rsid w:val="00947565"/>
    <w:rsid w:val="009721A8"/>
    <w:rsid w:val="009722BC"/>
    <w:rsid w:val="009727A3"/>
    <w:rsid w:val="00984E64"/>
    <w:rsid w:val="00987774"/>
    <w:rsid w:val="009953CB"/>
    <w:rsid w:val="009A11E8"/>
    <w:rsid w:val="009B443B"/>
    <w:rsid w:val="009D1EA3"/>
    <w:rsid w:val="009F5220"/>
    <w:rsid w:val="009F6BAB"/>
    <w:rsid w:val="00A15234"/>
    <w:rsid w:val="00A201AB"/>
    <w:rsid w:val="00A31A29"/>
    <w:rsid w:val="00A31C8B"/>
    <w:rsid w:val="00A509FA"/>
    <w:rsid w:val="00A57B5D"/>
    <w:rsid w:val="00A845DC"/>
    <w:rsid w:val="00A91EE4"/>
    <w:rsid w:val="00A92942"/>
    <w:rsid w:val="00AD30EF"/>
    <w:rsid w:val="00AD5231"/>
    <w:rsid w:val="00AE28D8"/>
    <w:rsid w:val="00AE6DDE"/>
    <w:rsid w:val="00AE7D4D"/>
    <w:rsid w:val="00B26AA2"/>
    <w:rsid w:val="00B3524D"/>
    <w:rsid w:val="00B40F69"/>
    <w:rsid w:val="00B46616"/>
    <w:rsid w:val="00B55BD0"/>
    <w:rsid w:val="00B7040A"/>
    <w:rsid w:val="00B71FBC"/>
    <w:rsid w:val="00B83391"/>
    <w:rsid w:val="00B87C01"/>
    <w:rsid w:val="00B95326"/>
    <w:rsid w:val="00BA3238"/>
    <w:rsid w:val="00BA3E3B"/>
    <w:rsid w:val="00BC31CE"/>
    <w:rsid w:val="00BD4196"/>
    <w:rsid w:val="00BE6840"/>
    <w:rsid w:val="00BF22CA"/>
    <w:rsid w:val="00BF23BB"/>
    <w:rsid w:val="00C26032"/>
    <w:rsid w:val="00C345E1"/>
    <w:rsid w:val="00C3627A"/>
    <w:rsid w:val="00C43BFD"/>
    <w:rsid w:val="00C520FF"/>
    <w:rsid w:val="00C53074"/>
    <w:rsid w:val="00C555EB"/>
    <w:rsid w:val="00C612EB"/>
    <w:rsid w:val="00C765E8"/>
    <w:rsid w:val="00C97985"/>
    <w:rsid w:val="00CB6E35"/>
    <w:rsid w:val="00CD3634"/>
    <w:rsid w:val="00CD58CE"/>
    <w:rsid w:val="00CD59AC"/>
    <w:rsid w:val="00CE1A46"/>
    <w:rsid w:val="00D20757"/>
    <w:rsid w:val="00D22636"/>
    <w:rsid w:val="00D33BEB"/>
    <w:rsid w:val="00D36D7D"/>
    <w:rsid w:val="00D40DDC"/>
    <w:rsid w:val="00D40FD9"/>
    <w:rsid w:val="00D45631"/>
    <w:rsid w:val="00D53769"/>
    <w:rsid w:val="00D70D93"/>
    <w:rsid w:val="00D83038"/>
    <w:rsid w:val="00D85C13"/>
    <w:rsid w:val="00D87AF7"/>
    <w:rsid w:val="00D9111A"/>
    <w:rsid w:val="00D91BE3"/>
    <w:rsid w:val="00D94AFC"/>
    <w:rsid w:val="00DB70AE"/>
    <w:rsid w:val="00DD1BBC"/>
    <w:rsid w:val="00DD45DA"/>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7C4D"/>
    <w:rsid w:val="00E81A68"/>
    <w:rsid w:val="00E81D01"/>
    <w:rsid w:val="00E845A5"/>
    <w:rsid w:val="00E9710A"/>
    <w:rsid w:val="00EB66D3"/>
    <w:rsid w:val="00EE45D8"/>
    <w:rsid w:val="00F22EDA"/>
    <w:rsid w:val="00F3519C"/>
    <w:rsid w:val="00F731FB"/>
    <w:rsid w:val="00F74FA7"/>
    <w:rsid w:val="00FB0ECD"/>
    <w:rsid w:val="00FB6DB1"/>
    <w:rsid w:val="00FC244D"/>
    <w:rsid w:val="00FE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5121"/>
    <o:shapelayout v:ext="edit">
      <o:idmap v:ext="edit" data="1"/>
    </o:shapelayout>
  </w:shapeDefaults>
  <w:decimalSymbol w:val="."/>
  <w:listSeparator w:val=","/>
  <w14:docId w14:val="42BB9B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6E49BD"/>
    <w:pPr>
      <w:ind w:left="567" w:hanging="567"/>
      <w:jc w:val="both"/>
    </w:pPr>
    <w:rPr>
      <w:rFonts w:ascii="Book Antiqua" w:hAnsi="Book Antiqua" w:cs="Arial"/>
    </w:rPr>
  </w:style>
  <w:style w:type="character" w:customStyle="1" w:styleId="pChar">
    <w:name w:val="p Char"/>
    <w:link w:val="p"/>
    <w:rsid w:val="006E49BD"/>
    <w:rPr>
      <w:rFonts w:ascii="Book Antiqua" w:hAnsi="Book Antiqua" w:cs="Arial"/>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4500</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2018-07-24T13:12:00Z</dcterms:created>
  <dcterms:modified xsi:type="dcterms:W3CDTF">2018-07-24T13:12:00Z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