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Pr="000360D3" w:rsidRDefault="00412857" w:rsidP="00F97703">
      <w:pPr>
        <w:jc w:val="center"/>
        <w:rPr>
          <w:rFonts w:ascii="Book Antiqua" w:hAnsi="Book Antiqua" w:cs="Arial"/>
          <w:color w:val="000000"/>
        </w:rPr>
      </w:pPr>
      <w:r w:rsidRPr="000360D3">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0360D3" w:rsidRDefault="00611011" w:rsidP="00780F86">
      <w:pPr>
        <w:tabs>
          <w:tab w:val="right" w:pos="9720"/>
        </w:tabs>
        <w:ind w:right="-82"/>
        <w:rPr>
          <w:rFonts w:ascii="Book Antiqua" w:hAnsi="Book Antiqua" w:cs="Arial"/>
          <w:b/>
          <w:color w:val="000000"/>
        </w:rPr>
      </w:pPr>
      <w:r w:rsidRPr="000360D3">
        <w:rPr>
          <w:rFonts w:ascii="Book Antiqua" w:hAnsi="Book Antiqua" w:cs="Arial"/>
          <w:b/>
          <w:color w:val="000000"/>
        </w:rPr>
        <w:t>Upper</w:t>
      </w:r>
      <w:r w:rsidR="00F97703" w:rsidRPr="000360D3">
        <w:rPr>
          <w:rFonts w:ascii="Book Antiqua" w:hAnsi="Book Antiqua" w:cs="Arial"/>
          <w:b/>
          <w:color w:val="000000"/>
        </w:rPr>
        <w:t xml:space="preserve"> Tribunal </w:t>
      </w:r>
    </w:p>
    <w:p w:rsidR="007B0824" w:rsidRPr="000360D3" w:rsidRDefault="00F97703" w:rsidP="00780F86">
      <w:pPr>
        <w:tabs>
          <w:tab w:val="right" w:pos="9720"/>
        </w:tabs>
        <w:ind w:right="-82"/>
        <w:rPr>
          <w:rFonts w:ascii="Book Antiqua" w:hAnsi="Book Antiqua" w:cs="Arial"/>
          <w:color w:val="000000"/>
        </w:rPr>
      </w:pPr>
      <w:r w:rsidRPr="000360D3">
        <w:rPr>
          <w:rFonts w:ascii="Book Antiqua" w:hAnsi="Book Antiqua" w:cs="Arial"/>
          <w:b/>
          <w:color w:val="000000"/>
        </w:rPr>
        <w:t xml:space="preserve">(Immigration and Asylum </w:t>
      </w:r>
      <w:proofErr w:type="gramStart"/>
      <w:r w:rsidRPr="000360D3">
        <w:rPr>
          <w:rFonts w:ascii="Book Antiqua" w:hAnsi="Book Antiqua" w:cs="Arial"/>
          <w:b/>
          <w:color w:val="000000"/>
        </w:rPr>
        <w:t>Chamber)</w:t>
      </w:r>
      <w:r w:rsidR="00992229">
        <w:rPr>
          <w:rFonts w:ascii="Book Antiqua" w:hAnsi="Book Antiqua" w:cs="Arial"/>
          <w:b/>
          <w:color w:val="000000"/>
        </w:rPr>
        <w:t xml:space="preserve">   </w:t>
      </w:r>
      <w:proofErr w:type="gramEnd"/>
      <w:r w:rsidR="00992229">
        <w:rPr>
          <w:rFonts w:ascii="Book Antiqua" w:hAnsi="Book Antiqua" w:cs="Arial"/>
          <w:b/>
          <w:color w:val="000000"/>
        </w:rPr>
        <w:t xml:space="preserve">                      </w:t>
      </w:r>
      <w:r w:rsidR="00B3524D" w:rsidRPr="00992229">
        <w:rPr>
          <w:rFonts w:ascii="Book Antiqua" w:hAnsi="Book Antiqua" w:cs="Arial"/>
          <w:b/>
          <w:color w:val="000000"/>
        </w:rPr>
        <w:t>Appeal Number</w:t>
      </w:r>
      <w:r w:rsidR="00D53769" w:rsidRPr="00992229">
        <w:rPr>
          <w:rFonts w:ascii="Book Antiqua" w:hAnsi="Book Antiqua" w:cs="Arial"/>
          <w:b/>
          <w:color w:val="000000"/>
        </w:rPr>
        <w:t>:</w:t>
      </w:r>
      <w:r w:rsidR="00B3524D" w:rsidRPr="00992229">
        <w:rPr>
          <w:rFonts w:ascii="Book Antiqua" w:hAnsi="Book Antiqua" w:cs="Arial"/>
          <w:b/>
          <w:color w:val="000000"/>
        </w:rPr>
        <w:t xml:space="preserve"> </w:t>
      </w:r>
      <w:r w:rsidR="00F17877" w:rsidRPr="00992229">
        <w:rPr>
          <w:rFonts w:ascii="Book Antiqua" w:hAnsi="Book Antiqua" w:cs="Arial"/>
          <w:b/>
          <w:caps/>
          <w:color w:val="000000"/>
        </w:rPr>
        <w:t>HU/08632/2017</w:t>
      </w:r>
    </w:p>
    <w:p w:rsidR="00C345E1" w:rsidRPr="000360D3" w:rsidRDefault="00C345E1" w:rsidP="00C345E1">
      <w:pPr>
        <w:jc w:val="center"/>
        <w:rPr>
          <w:rFonts w:ascii="Book Antiqua" w:hAnsi="Book Antiqua" w:cs="Arial"/>
          <w:color w:val="000000"/>
        </w:rPr>
      </w:pPr>
    </w:p>
    <w:p w:rsidR="00C345E1" w:rsidRPr="000360D3" w:rsidRDefault="00C345E1" w:rsidP="00C345E1">
      <w:pPr>
        <w:jc w:val="center"/>
        <w:rPr>
          <w:rFonts w:ascii="Book Antiqua" w:hAnsi="Book Antiqua" w:cs="Arial"/>
          <w:b/>
          <w:color w:val="000000"/>
          <w:u w:val="single"/>
        </w:rPr>
      </w:pPr>
      <w:r w:rsidRPr="000360D3">
        <w:rPr>
          <w:rFonts w:ascii="Book Antiqua" w:hAnsi="Book Antiqua" w:cs="Arial"/>
          <w:b/>
          <w:color w:val="000000"/>
          <w:u w:val="single"/>
        </w:rPr>
        <w:t>THE IMMIGRATION ACTS</w:t>
      </w:r>
    </w:p>
    <w:p w:rsidR="00C345E1" w:rsidRPr="000360D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4539"/>
      </w:tblGrid>
      <w:tr w:rsidR="00D22636" w:rsidRPr="000360D3" w:rsidTr="00412857">
        <w:tc>
          <w:tcPr>
            <w:tcW w:w="5211" w:type="dxa"/>
            <w:shd w:val="clear" w:color="auto" w:fill="auto"/>
          </w:tcPr>
          <w:p w:rsidR="00D22636" w:rsidRDefault="00F22430" w:rsidP="000D0CB5">
            <w:pPr>
              <w:jc w:val="both"/>
              <w:rPr>
                <w:rFonts w:ascii="Book Antiqua" w:hAnsi="Book Antiqua" w:cs="Arial"/>
                <w:b/>
              </w:rPr>
            </w:pPr>
            <w:r w:rsidRPr="000360D3">
              <w:rPr>
                <w:rFonts w:ascii="Book Antiqua" w:hAnsi="Book Antiqua" w:cs="Arial"/>
                <w:b/>
              </w:rPr>
              <w:t xml:space="preserve">Heard at </w:t>
            </w:r>
            <w:r w:rsidR="000060DE" w:rsidRPr="000360D3">
              <w:rPr>
                <w:rFonts w:ascii="Book Antiqua" w:hAnsi="Book Antiqua" w:cs="Arial"/>
                <w:b/>
              </w:rPr>
              <w:t xml:space="preserve">Field House </w:t>
            </w:r>
          </w:p>
          <w:p w:rsidR="00412857" w:rsidRPr="000360D3" w:rsidRDefault="00412857" w:rsidP="000D0CB5">
            <w:pPr>
              <w:jc w:val="both"/>
              <w:rPr>
                <w:rFonts w:ascii="Book Antiqua" w:hAnsi="Book Antiqua" w:cs="Arial"/>
                <w:b/>
              </w:rPr>
            </w:pPr>
            <w:r>
              <w:rPr>
                <w:rFonts w:ascii="Book Antiqua" w:hAnsi="Book Antiqua" w:cs="Arial"/>
                <w:b/>
              </w:rPr>
              <w:t>On 10 May 2018</w:t>
            </w:r>
          </w:p>
        </w:tc>
        <w:tc>
          <w:tcPr>
            <w:tcW w:w="4617" w:type="dxa"/>
            <w:shd w:val="clear" w:color="auto" w:fill="auto"/>
          </w:tcPr>
          <w:p w:rsidR="00D22636" w:rsidRDefault="00992229" w:rsidP="000D0CB5">
            <w:pPr>
              <w:jc w:val="both"/>
              <w:rPr>
                <w:rFonts w:ascii="Book Antiqua" w:hAnsi="Book Antiqua" w:cs="Arial"/>
                <w:b/>
                <w:color w:val="000000"/>
              </w:rPr>
            </w:pPr>
            <w:r>
              <w:rPr>
                <w:rFonts w:ascii="Book Antiqua" w:hAnsi="Book Antiqua" w:cs="Arial"/>
                <w:b/>
                <w:color w:val="000000"/>
              </w:rPr>
              <w:t xml:space="preserve">     </w:t>
            </w:r>
            <w:r w:rsidR="00412857">
              <w:rPr>
                <w:rFonts w:ascii="Book Antiqua" w:hAnsi="Book Antiqua" w:cs="Arial"/>
                <w:b/>
                <w:color w:val="000000"/>
              </w:rPr>
              <w:t>Decision &amp; Reasons Promulgated</w:t>
            </w:r>
          </w:p>
          <w:p w:rsidR="00412857" w:rsidRPr="000360D3" w:rsidRDefault="00992229" w:rsidP="000D0CB5">
            <w:pPr>
              <w:jc w:val="both"/>
              <w:rPr>
                <w:rFonts w:ascii="Book Antiqua" w:hAnsi="Book Antiqua" w:cs="Arial"/>
                <w:b/>
                <w:color w:val="000000"/>
              </w:rPr>
            </w:pPr>
            <w:r>
              <w:rPr>
                <w:rFonts w:ascii="Book Antiqua" w:hAnsi="Book Antiqua" w:cs="Arial"/>
                <w:b/>
                <w:color w:val="000000"/>
              </w:rPr>
              <w:t xml:space="preserve">     </w:t>
            </w:r>
            <w:r w:rsidR="00412857">
              <w:rPr>
                <w:rFonts w:ascii="Book Antiqua" w:hAnsi="Book Antiqua" w:cs="Arial"/>
                <w:b/>
                <w:color w:val="000000"/>
              </w:rPr>
              <w:t xml:space="preserve">On 22 May 2018 </w:t>
            </w:r>
          </w:p>
        </w:tc>
      </w:tr>
      <w:tr w:rsidR="000060DE" w:rsidRPr="000360D3" w:rsidTr="00412857">
        <w:tc>
          <w:tcPr>
            <w:tcW w:w="5211" w:type="dxa"/>
            <w:shd w:val="clear" w:color="auto" w:fill="auto"/>
          </w:tcPr>
          <w:p w:rsidR="000060DE" w:rsidRPr="000360D3" w:rsidRDefault="000060DE" w:rsidP="000D0CB5">
            <w:pPr>
              <w:jc w:val="both"/>
              <w:rPr>
                <w:rFonts w:ascii="Book Antiqua" w:hAnsi="Book Antiqua" w:cs="Arial"/>
                <w:b/>
              </w:rPr>
            </w:pPr>
          </w:p>
        </w:tc>
        <w:tc>
          <w:tcPr>
            <w:tcW w:w="4617" w:type="dxa"/>
            <w:vMerge w:val="restart"/>
            <w:shd w:val="clear" w:color="auto" w:fill="auto"/>
          </w:tcPr>
          <w:p w:rsidR="000060DE" w:rsidRPr="000360D3" w:rsidRDefault="000060DE" w:rsidP="000D0CB5">
            <w:pPr>
              <w:spacing w:before="240"/>
              <w:jc w:val="both"/>
              <w:rPr>
                <w:rFonts w:ascii="Book Antiqua" w:hAnsi="Book Antiqua" w:cs="Arial"/>
                <w:b/>
              </w:rPr>
            </w:pPr>
          </w:p>
        </w:tc>
      </w:tr>
      <w:tr w:rsidR="000060DE" w:rsidRPr="000360D3" w:rsidTr="00412857">
        <w:trPr>
          <w:trHeight w:val="239"/>
        </w:trPr>
        <w:tc>
          <w:tcPr>
            <w:tcW w:w="5211" w:type="dxa"/>
            <w:shd w:val="clear" w:color="auto" w:fill="auto"/>
          </w:tcPr>
          <w:p w:rsidR="000060DE" w:rsidRPr="000360D3" w:rsidRDefault="000060DE" w:rsidP="000D0CB5">
            <w:pPr>
              <w:jc w:val="both"/>
              <w:rPr>
                <w:rFonts w:ascii="Book Antiqua" w:hAnsi="Book Antiqua" w:cs="Arial"/>
                <w:b/>
              </w:rPr>
            </w:pPr>
          </w:p>
        </w:tc>
        <w:tc>
          <w:tcPr>
            <w:tcW w:w="4617" w:type="dxa"/>
            <w:vMerge/>
            <w:shd w:val="clear" w:color="auto" w:fill="auto"/>
          </w:tcPr>
          <w:p w:rsidR="000060DE" w:rsidRPr="000360D3" w:rsidRDefault="000060DE" w:rsidP="000D0CB5">
            <w:pPr>
              <w:jc w:val="both"/>
              <w:rPr>
                <w:rFonts w:ascii="Book Antiqua" w:hAnsi="Book Antiqua" w:cs="Arial"/>
                <w:b/>
              </w:rPr>
            </w:pPr>
          </w:p>
        </w:tc>
      </w:tr>
    </w:tbl>
    <w:p w:rsidR="00A15234" w:rsidRPr="000360D3" w:rsidRDefault="00207617" w:rsidP="00A15234">
      <w:pPr>
        <w:jc w:val="center"/>
        <w:rPr>
          <w:rFonts w:ascii="Book Antiqua" w:hAnsi="Book Antiqua" w:cs="Arial"/>
          <w:b/>
        </w:rPr>
      </w:pPr>
      <w:r w:rsidRPr="000360D3">
        <w:rPr>
          <w:rFonts w:ascii="Book Antiqua" w:hAnsi="Book Antiqua" w:cs="Arial"/>
          <w:b/>
        </w:rPr>
        <w:t>Befo</w:t>
      </w:r>
      <w:r w:rsidR="00A15234" w:rsidRPr="000360D3">
        <w:rPr>
          <w:rFonts w:ascii="Book Antiqua" w:hAnsi="Book Antiqua" w:cs="Arial"/>
          <w:b/>
        </w:rPr>
        <w:t>re</w:t>
      </w:r>
    </w:p>
    <w:p w:rsidR="00A15234" w:rsidRPr="000360D3" w:rsidRDefault="00A15234" w:rsidP="00A15234">
      <w:pPr>
        <w:jc w:val="center"/>
        <w:rPr>
          <w:rFonts w:ascii="Book Antiqua" w:hAnsi="Book Antiqua" w:cs="Arial"/>
          <w:b/>
        </w:rPr>
      </w:pPr>
    </w:p>
    <w:p w:rsidR="001B186A" w:rsidRPr="000360D3" w:rsidRDefault="00AD7978" w:rsidP="00A15234">
      <w:pPr>
        <w:jc w:val="center"/>
        <w:rPr>
          <w:rFonts w:ascii="Book Antiqua" w:hAnsi="Book Antiqua" w:cs="Arial"/>
          <w:b/>
          <w:color w:val="000000"/>
          <w:sz w:val="26"/>
        </w:rPr>
      </w:pPr>
      <w:r w:rsidRPr="000360D3">
        <w:rPr>
          <w:rFonts w:ascii="Book Antiqua" w:hAnsi="Book Antiqua" w:cs="Arial"/>
          <w:b/>
          <w:color w:val="000000"/>
          <w:sz w:val="26"/>
        </w:rPr>
        <w:t xml:space="preserve">UPPER TRIBUNAL </w:t>
      </w:r>
      <w:r w:rsidR="001B2F75" w:rsidRPr="000360D3">
        <w:rPr>
          <w:rFonts w:ascii="Book Antiqua" w:hAnsi="Book Antiqua" w:cs="Arial"/>
          <w:b/>
          <w:color w:val="000000"/>
          <w:sz w:val="26"/>
        </w:rPr>
        <w:t xml:space="preserve">JUDGE </w:t>
      </w:r>
      <w:r w:rsidR="00F22430" w:rsidRPr="000360D3">
        <w:rPr>
          <w:rFonts w:ascii="Book Antiqua" w:hAnsi="Book Antiqua" w:cs="Arial"/>
          <w:b/>
          <w:color w:val="000000"/>
          <w:sz w:val="26"/>
        </w:rPr>
        <w:t>GLEESON</w:t>
      </w:r>
    </w:p>
    <w:p w:rsidR="001B186A" w:rsidRPr="000360D3" w:rsidRDefault="001B186A" w:rsidP="00A15234">
      <w:pPr>
        <w:jc w:val="center"/>
        <w:rPr>
          <w:rFonts w:ascii="Book Antiqua" w:hAnsi="Book Antiqua" w:cs="Arial"/>
          <w:b/>
          <w:color w:val="000000"/>
        </w:rPr>
      </w:pPr>
    </w:p>
    <w:p w:rsidR="00A845DC" w:rsidRPr="000360D3" w:rsidRDefault="00A845DC" w:rsidP="00A15234">
      <w:pPr>
        <w:jc w:val="center"/>
        <w:rPr>
          <w:rFonts w:ascii="Book Antiqua" w:hAnsi="Book Antiqua" w:cs="Arial"/>
          <w:b/>
        </w:rPr>
      </w:pPr>
      <w:r w:rsidRPr="000360D3">
        <w:rPr>
          <w:rFonts w:ascii="Book Antiqua" w:hAnsi="Book Antiqua" w:cs="Arial"/>
          <w:b/>
        </w:rPr>
        <w:t>Between</w:t>
      </w:r>
    </w:p>
    <w:p w:rsidR="00A845DC" w:rsidRPr="000360D3" w:rsidRDefault="00A845DC" w:rsidP="00A15234">
      <w:pPr>
        <w:jc w:val="center"/>
        <w:rPr>
          <w:rFonts w:ascii="Book Antiqua" w:hAnsi="Book Antiqua" w:cs="Arial"/>
          <w:b/>
        </w:rPr>
      </w:pPr>
    </w:p>
    <w:p w:rsidR="00F17877" w:rsidRPr="000360D3" w:rsidRDefault="00F17877" w:rsidP="00F17877">
      <w:pPr>
        <w:jc w:val="center"/>
        <w:rPr>
          <w:rFonts w:ascii="Book Antiqua" w:hAnsi="Book Antiqua" w:cs="Arial"/>
          <w:b/>
          <w:sz w:val="26"/>
        </w:rPr>
      </w:pPr>
      <w:r w:rsidRPr="000360D3">
        <w:rPr>
          <w:rFonts w:ascii="Book Antiqua" w:hAnsi="Book Antiqua" w:cs="Arial"/>
          <w:b/>
          <w:sz w:val="26"/>
        </w:rPr>
        <w:t xml:space="preserve">THE SECRETARY OF STATE FOR THE HOME DEPARTMENT  </w:t>
      </w:r>
    </w:p>
    <w:p w:rsidR="00704B61" w:rsidRPr="000360D3" w:rsidRDefault="00704B61" w:rsidP="00704B61">
      <w:pPr>
        <w:jc w:val="right"/>
        <w:rPr>
          <w:rFonts w:ascii="Book Antiqua" w:hAnsi="Book Antiqua" w:cs="Arial"/>
          <w:u w:val="single"/>
        </w:rPr>
      </w:pPr>
      <w:r w:rsidRPr="000360D3">
        <w:rPr>
          <w:rFonts w:ascii="Book Antiqua" w:hAnsi="Book Antiqua" w:cs="Arial"/>
          <w:u w:val="single"/>
        </w:rPr>
        <w:t>Appellant</w:t>
      </w:r>
    </w:p>
    <w:p w:rsidR="00992229" w:rsidRDefault="00992229" w:rsidP="00704B61">
      <w:pPr>
        <w:jc w:val="center"/>
        <w:rPr>
          <w:rFonts w:ascii="Book Antiqua" w:hAnsi="Book Antiqua" w:cs="Arial"/>
          <w:b/>
        </w:rPr>
      </w:pPr>
    </w:p>
    <w:p w:rsidR="00704B61" w:rsidRPr="000360D3" w:rsidRDefault="00DD5071" w:rsidP="00704B61">
      <w:pPr>
        <w:jc w:val="center"/>
        <w:rPr>
          <w:rFonts w:ascii="Book Antiqua" w:hAnsi="Book Antiqua" w:cs="Arial"/>
          <w:b/>
        </w:rPr>
      </w:pPr>
      <w:r w:rsidRPr="000360D3">
        <w:rPr>
          <w:rFonts w:ascii="Book Antiqua" w:hAnsi="Book Antiqua" w:cs="Arial"/>
          <w:b/>
        </w:rPr>
        <w:t>and</w:t>
      </w:r>
    </w:p>
    <w:p w:rsidR="00DD5071" w:rsidRPr="000360D3" w:rsidRDefault="00DD5071" w:rsidP="00704B61">
      <w:pPr>
        <w:jc w:val="center"/>
        <w:rPr>
          <w:rFonts w:ascii="Book Antiqua" w:hAnsi="Book Antiqua" w:cs="Arial"/>
          <w:b/>
        </w:rPr>
      </w:pPr>
    </w:p>
    <w:p w:rsidR="00F17877" w:rsidRPr="000360D3" w:rsidRDefault="00F17877" w:rsidP="00F17877">
      <w:pPr>
        <w:jc w:val="center"/>
        <w:rPr>
          <w:rFonts w:ascii="Book Antiqua" w:hAnsi="Book Antiqua" w:cs="Arial"/>
          <w:b/>
        </w:rPr>
      </w:pPr>
      <w:r w:rsidRPr="000360D3">
        <w:rPr>
          <w:rFonts w:ascii="Book Antiqua" w:hAnsi="Book Antiqua" w:cs="Arial"/>
          <w:b/>
        </w:rPr>
        <w:t>FOYAZUR RAHMAN</w:t>
      </w:r>
    </w:p>
    <w:p w:rsidR="00DD5071" w:rsidRPr="00992229" w:rsidRDefault="00F17877" w:rsidP="00F17877">
      <w:pPr>
        <w:jc w:val="center"/>
        <w:rPr>
          <w:rFonts w:ascii="Book Antiqua" w:hAnsi="Book Antiqua" w:cs="Arial"/>
        </w:rPr>
      </w:pPr>
      <w:r w:rsidRPr="00992229">
        <w:rPr>
          <w:rFonts w:ascii="Book Antiqua" w:hAnsi="Book Antiqua" w:cs="Arial"/>
        </w:rPr>
        <w:t>[NO ANONYMITY ORDER]</w:t>
      </w:r>
    </w:p>
    <w:p w:rsidR="00DD5071" w:rsidRPr="000360D3" w:rsidRDefault="00DD5071" w:rsidP="00DD5071">
      <w:pPr>
        <w:jc w:val="right"/>
        <w:rPr>
          <w:rFonts w:ascii="Book Antiqua" w:hAnsi="Book Antiqua" w:cs="Arial"/>
          <w:u w:val="single"/>
        </w:rPr>
      </w:pPr>
      <w:r w:rsidRPr="000360D3">
        <w:rPr>
          <w:rFonts w:ascii="Book Antiqua" w:hAnsi="Book Antiqua" w:cs="Arial"/>
          <w:u w:val="single"/>
        </w:rPr>
        <w:t>Respondent</w:t>
      </w:r>
    </w:p>
    <w:p w:rsidR="00DD5071" w:rsidRPr="000360D3" w:rsidRDefault="00DD5071" w:rsidP="00DD5071">
      <w:pPr>
        <w:rPr>
          <w:rFonts w:ascii="Book Antiqua" w:hAnsi="Book Antiqua" w:cs="Arial"/>
          <w:u w:val="single"/>
        </w:rPr>
      </w:pPr>
    </w:p>
    <w:p w:rsidR="00496861" w:rsidRPr="00992229" w:rsidRDefault="00496861" w:rsidP="00DD5071">
      <w:pPr>
        <w:rPr>
          <w:rFonts w:ascii="Book Antiqua" w:hAnsi="Book Antiqua" w:cs="Arial"/>
          <w:b/>
          <w:u w:val="single"/>
        </w:rPr>
      </w:pPr>
      <w:r w:rsidRPr="00992229">
        <w:rPr>
          <w:rFonts w:ascii="Book Antiqua" w:hAnsi="Book Antiqua" w:cs="Arial"/>
          <w:b/>
          <w:u w:val="single"/>
        </w:rPr>
        <w:t>Representation:</w:t>
      </w:r>
    </w:p>
    <w:p w:rsidR="00496861" w:rsidRPr="000360D3" w:rsidRDefault="00496861" w:rsidP="00DD5071">
      <w:pPr>
        <w:rPr>
          <w:rFonts w:ascii="Book Antiqua" w:hAnsi="Book Antiqua" w:cs="Arial"/>
          <w:u w:val="single"/>
        </w:rPr>
      </w:pPr>
    </w:p>
    <w:p w:rsidR="00496861" w:rsidRPr="000360D3" w:rsidRDefault="00496861" w:rsidP="00992229">
      <w:pPr>
        <w:rPr>
          <w:rFonts w:ascii="Book Antiqua" w:hAnsi="Book Antiqua" w:cs="Arial"/>
        </w:rPr>
      </w:pPr>
      <w:r w:rsidRPr="000360D3">
        <w:rPr>
          <w:rFonts w:ascii="Book Antiqua" w:hAnsi="Book Antiqua" w:cs="Arial"/>
        </w:rPr>
        <w:t>For the appellant:</w:t>
      </w:r>
      <w:r w:rsidRPr="000360D3">
        <w:rPr>
          <w:rFonts w:ascii="Book Antiqua" w:hAnsi="Book Antiqua" w:cs="Arial"/>
        </w:rPr>
        <w:tab/>
      </w:r>
      <w:r w:rsidR="00F17877" w:rsidRPr="000360D3">
        <w:rPr>
          <w:rFonts w:ascii="Book Antiqua" w:hAnsi="Book Antiqua" w:cs="Arial"/>
        </w:rPr>
        <w:t xml:space="preserve">Mr Esen Tufan, a Senior Home Office Presenting Officer </w:t>
      </w:r>
    </w:p>
    <w:p w:rsidR="00496861" w:rsidRPr="000360D3" w:rsidRDefault="00496861" w:rsidP="00992229">
      <w:pPr>
        <w:rPr>
          <w:rFonts w:ascii="Book Antiqua" w:hAnsi="Book Antiqua" w:cs="Arial"/>
        </w:rPr>
      </w:pPr>
      <w:r w:rsidRPr="000360D3">
        <w:rPr>
          <w:rFonts w:ascii="Book Antiqua" w:hAnsi="Book Antiqua" w:cs="Arial"/>
        </w:rPr>
        <w:t>For the respondent:</w:t>
      </w:r>
      <w:r w:rsidRPr="000360D3">
        <w:rPr>
          <w:rFonts w:ascii="Book Antiqua" w:hAnsi="Book Antiqua" w:cs="Arial"/>
        </w:rPr>
        <w:tab/>
      </w:r>
      <w:r w:rsidR="00F17877" w:rsidRPr="000360D3">
        <w:rPr>
          <w:rFonts w:ascii="Book Antiqua" w:hAnsi="Book Antiqua" w:cs="Arial"/>
        </w:rPr>
        <w:t xml:space="preserve">Ms Frances Shaw, instructed by Kuddus Solicitors </w:t>
      </w:r>
    </w:p>
    <w:p w:rsidR="000360D3" w:rsidRDefault="000360D3" w:rsidP="000E01B8">
      <w:pPr>
        <w:tabs>
          <w:tab w:val="left" w:pos="2520"/>
        </w:tabs>
        <w:spacing w:before="240"/>
        <w:jc w:val="center"/>
        <w:rPr>
          <w:rFonts w:ascii="Book Antiqua" w:hAnsi="Book Antiqua" w:cs="Arial"/>
          <w:b/>
          <w:sz w:val="28"/>
          <w:u w:val="single"/>
        </w:rPr>
      </w:pPr>
    </w:p>
    <w:p w:rsidR="00DE7DB7" w:rsidRPr="0061127B" w:rsidRDefault="0060752B" w:rsidP="000E01B8">
      <w:pPr>
        <w:tabs>
          <w:tab w:val="left" w:pos="2520"/>
        </w:tabs>
        <w:spacing w:before="240"/>
        <w:jc w:val="center"/>
        <w:rPr>
          <w:rFonts w:ascii="Book Antiqua" w:hAnsi="Book Antiqua" w:cs="Arial"/>
        </w:rPr>
      </w:pPr>
      <w:r w:rsidRPr="0061127B">
        <w:rPr>
          <w:rFonts w:ascii="Book Antiqua" w:hAnsi="Book Antiqua" w:cs="Arial"/>
          <w:b/>
          <w:u w:val="single"/>
        </w:rPr>
        <w:t xml:space="preserve">DECISION AND </w:t>
      </w:r>
      <w:r w:rsidR="000E01B8" w:rsidRPr="0061127B">
        <w:rPr>
          <w:rFonts w:ascii="Book Antiqua" w:hAnsi="Book Antiqua" w:cs="Arial"/>
          <w:b/>
          <w:u w:val="single"/>
        </w:rPr>
        <w:t>REASONS</w:t>
      </w:r>
    </w:p>
    <w:p w:rsidR="00F17877" w:rsidRPr="000360D3"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0360D3">
        <w:rPr>
          <w:rFonts w:ascii="Book Antiqua" w:hAnsi="Book Antiqua" w:cs="Arial"/>
        </w:rPr>
        <w:t xml:space="preserve">The </w:t>
      </w:r>
      <w:r w:rsidR="000360D3">
        <w:rPr>
          <w:rFonts w:ascii="Book Antiqua" w:hAnsi="Book Antiqua" w:cs="Arial"/>
        </w:rPr>
        <w:t>Secretary of State</w:t>
      </w:r>
      <w:r w:rsidRPr="000360D3">
        <w:rPr>
          <w:rFonts w:ascii="Book Antiqua" w:hAnsi="Book Antiqua" w:cs="Arial"/>
        </w:rPr>
        <w:t xml:space="preserve"> appeals with permission against the decision of the First-tier Tribunal </w:t>
      </w:r>
      <w:r w:rsidR="000360D3">
        <w:rPr>
          <w:rFonts w:ascii="Book Antiqua" w:hAnsi="Book Antiqua" w:cs="Arial"/>
        </w:rPr>
        <w:t>allowing the claimant’s</w:t>
      </w:r>
      <w:r w:rsidR="00F17877" w:rsidRPr="000360D3">
        <w:rPr>
          <w:rFonts w:ascii="Book Antiqua" w:hAnsi="Book Antiqua" w:cs="Arial"/>
        </w:rPr>
        <w:t xml:space="preserve"> appeal against </w:t>
      </w:r>
      <w:r w:rsidR="000360D3">
        <w:rPr>
          <w:rFonts w:ascii="Book Antiqua" w:hAnsi="Book Antiqua" w:cs="Arial"/>
        </w:rPr>
        <w:t>his</w:t>
      </w:r>
      <w:r w:rsidR="00F17877" w:rsidRPr="000360D3">
        <w:rPr>
          <w:rFonts w:ascii="Book Antiqua" w:hAnsi="Book Antiqua" w:cs="Arial"/>
        </w:rPr>
        <w:t xml:space="preserve"> decision to make a deportation order against him as a foreign criminal pursuant to section 32(5) of the UK Borders Act 2007</w:t>
      </w:r>
      <w:r w:rsidRPr="000360D3">
        <w:rPr>
          <w:rFonts w:ascii="Book Antiqua" w:hAnsi="Book Antiqua" w:cs="Arial"/>
        </w:rPr>
        <w:t xml:space="preserve">.  </w:t>
      </w:r>
    </w:p>
    <w:p w:rsidR="000360D3" w:rsidRPr="000360D3" w:rsidRDefault="000360D3" w:rsidP="000360D3">
      <w:pPr>
        <w:tabs>
          <w:tab w:val="left" w:pos="567"/>
        </w:tabs>
        <w:spacing w:before="240"/>
        <w:jc w:val="both"/>
        <w:rPr>
          <w:rFonts w:ascii="Book Antiqua" w:hAnsi="Book Antiqua" w:cs="Arial"/>
        </w:rPr>
      </w:pPr>
      <w:r w:rsidRPr="000360D3">
        <w:rPr>
          <w:rFonts w:ascii="Book Antiqua" w:hAnsi="Book Antiqua" w:cs="Arial"/>
          <w:b/>
        </w:rPr>
        <w:t>Background</w:t>
      </w:r>
      <w:r w:rsidRPr="000360D3">
        <w:rPr>
          <w:rFonts w:ascii="Book Antiqua" w:hAnsi="Book Antiqua" w:cs="Arial"/>
        </w:rPr>
        <w:t xml:space="preserve"> </w:t>
      </w:r>
    </w:p>
    <w:p w:rsidR="00306236" w:rsidRPr="000360D3"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0360D3">
        <w:rPr>
          <w:rFonts w:ascii="Book Antiqua" w:hAnsi="Book Antiqua" w:cs="Arial"/>
        </w:rPr>
        <w:t xml:space="preserve">The </w:t>
      </w:r>
      <w:r w:rsidR="000360D3" w:rsidRPr="000360D3">
        <w:rPr>
          <w:rFonts w:ascii="Book Antiqua" w:hAnsi="Book Antiqua" w:cs="Arial"/>
        </w:rPr>
        <w:t>claimant</w:t>
      </w:r>
      <w:r w:rsidRPr="000360D3">
        <w:rPr>
          <w:rFonts w:ascii="Book Antiqua" w:hAnsi="Book Antiqua" w:cs="Arial"/>
        </w:rPr>
        <w:t xml:space="preserve"> is a citizen of </w:t>
      </w:r>
      <w:r w:rsidR="00F17877" w:rsidRPr="000360D3">
        <w:rPr>
          <w:rFonts w:ascii="Book Antiqua" w:hAnsi="Book Antiqua" w:cs="Arial"/>
        </w:rPr>
        <w:t>Bangladesh</w:t>
      </w:r>
      <w:r w:rsidRPr="000360D3">
        <w:rPr>
          <w:rFonts w:ascii="Book Antiqua" w:hAnsi="Book Antiqua" w:cs="Arial"/>
        </w:rPr>
        <w:t xml:space="preserve">. </w:t>
      </w:r>
      <w:r w:rsidR="007519F2" w:rsidRPr="000360D3">
        <w:rPr>
          <w:rFonts w:ascii="Book Antiqua" w:hAnsi="Book Antiqua" w:cs="Arial"/>
        </w:rPr>
        <w:t xml:space="preserve"> He is now 33 years old and has a drug-related criminal history in the United Kingdom dating back to his early twenties. </w:t>
      </w:r>
    </w:p>
    <w:p w:rsidR="00E147B4" w:rsidRPr="000360D3" w:rsidRDefault="00F17877"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w:t>
      </w:r>
      <w:r w:rsidR="000360D3" w:rsidRPr="000360D3">
        <w:rPr>
          <w:rFonts w:ascii="Book Antiqua" w:hAnsi="Book Antiqua" w:cs="Arial"/>
        </w:rPr>
        <w:t>claimant</w:t>
      </w:r>
      <w:r w:rsidRPr="000360D3">
        <w:rPr>
          <w:rFonts w:ascii="Book Antiqua" w:hAnsi="Book Antiqua" w:cs="Arial"/>
        </w:rPr>
        <w:t xml:space="preserve"> came to the United Kingdom as a baby on 4 August 1986 with a settlement visa, accompanied by his mother and sister, and all of them were granted indefinite leave </w:t>
      </w:r>
      <w:r w:rsidRPr="000360D3">
        <w:rPr>
          <w:rFonts w:ascii="Book Antiqua" w:hAnsi="Book Antiqua" w:cs="Arial"/>
        </w:rPr>
        <w:lastRenderedPageBreak/>
        <w:t xml:space="preserve">to enter on 15 August 1986.   On 2 August 1999, then age 14, the </w:t>
      </w:r>
      <w:r w:rsidR="000360D3" w:rsidRPr="000360D3">
        <w:rPr>
          <w:rFonts w:ascii="Book Antiqua" w:hAnsi="Book Antiqua" w:cs="Arial"/>
        </w:rPr>
        <w:t>claimant</w:t>
      </w:r>
      <w:r w:rsidRPr="000360D3">
        <w:rPr>
          <w:rFonts w:ascii="Book Antiqua" w:hAnsi="Book Antiqua" w:cs="Arial"/>
        </w:rPr>
        <w:t xml:space="preserve"> received a ‘No Time Limit’ (NTL) endorsement on his passport.   He has never applied for or received British citizenship. </w:t>
      </w:r>
    </w:p>
    <w:p w:rsidR="00F17877" w:rsidRPr="000360D3" w:rsidRDefault="0001792C"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He married a British citizen wife on 25 December 2010 and they have a son, also a British citizen, born on 28 August 2013. </w:t>
      </w:r>
      <w:r w:rsidR="00F17877" w:rsidRPr="000360D3">
        <w:rPr>
          <w:rFonts w:ascii="Book Antiqua" w:hAnsi="Book Antiqua" w:cs="Arial"/>
        </w:rPr>
        <w:t xml:space="preserve">On 17 January 2014, </w:t>
      </w:r>
      <w:r w:rsidRPr="000360D3">
        <w:rPr>
          <w:rFonts w:ascii="Book Antiqua" w:hAnsi="Book Antiqua" w:cs="Arial"/>
        </w:rPr>
        <w:t xml:space="preserve">when his son was 3 months old, </w:t>
      </w:r>
      <w:r w:rsidR="00F17877" w:rsidRPr="000360D3">
        <w:rPr>
          <w:rFonts w:ascii="Book Antiqua" w:hAnsi="Book Antiqua" w:cs="Arial"/>
        </w:rPr>
        <w:t xml:space="preserve">the </w:t>
      </w:r>
      <w:r w:rsidR="000360D3" w:rsidRPr="000360D3">
        <w:rPr>
          <w:rFonts w:ascii="Book Antiqua" w:hAnsi="Book Antiqua" w:cs="Arial"/>
        </w:rPr>
        <w:t>claimant</w:t>
      </w:r>
      <w:r w:rsidR="00F17877" w:rsidRPr="000360D3">
        <w:rPr>
          <w:rFonts w:ascii="Book Antiqua" w:hAnsi="Book Antiqua" w:cs="Arial"/>
        </w:rPr>
        <w:t xml:space="preserve"> was convicted of one count of possession of a Class A controlled drug (heroin) and another count of possession with intent to supply.  He was sentenced to 7 years and 5 months imprisonment on the first charge, and 5 years on the second, to run concurrently.  It is not disputed that this makes him a foreign criminal</w:t>
      </w:r>
      <w:r w:rsidR="000360D3">
        <w:rPr>
          <w:rFonts w:ascii="Book Antiqua" w:hAnsi="Book Antiqua" w:cs="Arial"/>
        </w:rPr>
        <w:t xml:space="preserve"> within the meaning of the statute</w:t>
      </w:r>
      <w:r w:rsidR="00F17877" w:rsidRPr="000360D3">
        <w:rPr>
          <w:rFonts w:ascii="Book Antiqua" w:hAnsi="Book Antiqua" w:cs="Arial"/>
        </w:rPr>
        <w:t>.</w:t>
      </w:r>
    </w:p>
    <w:p w:rsidR="00F17877" w:rsidRPr="000360D3" w:rsidRDefault="00F17877" w:rsidP="004F5FC1">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w:t>
      </w:r>
      <w:r w:rsidR="000360D3" w:rsidRPr="000360D3">
        <w:rPr>
          <w:rFonts w:ascii="Book Antiqua" w:hAnsi="Book Antiqua" w:cs="Arial"/>
        </w:rPr>
        <w:t>claimant</w:t>
      </w:r>
      <w:r w:rsidRPr="000360D3">
        <w:rPr>
          <w:rFonts w:ascii="Book Antiqua" w:hAnsi="Book Antiqua" w:cs="Arial"/>
        </w:rPr>
        <w:t xml:space="preserve"> seeks to bring himself within Exception 1 at section 33 of the 2007 Act, on the basis that removal would breach his Convention rights, in this case under the ECHR.  </w:t>
      </w:r>
      <w:r w:rsidR="0001792C" w:rsidRPr="000360D3">
        <w:rPr>
          <w:rFonts w:ascii="Book Antiqua" w:hAnsi="Book Antiqua" w:cs="Arial"/>
        </w:rPr>
        <w:t xml:space="preserve"> </w:t>
      </w:r>
      <w:r w:rsidRPr="000360D3">
        <w:rPr>
          <w:rFonts w:ascii="Book Antiqua" w:hAnsi="Book Antiqua" w:cs="Arial"/>
        </w:rPr>
        <w:t xml:space="preserve">The </w:t>
      </w:r>
      <w:r w:rsidR="000360D3" w:rsidRPr="000360D3">
        <w:rPr>
          <w:rFonts w:ascii="Book Antiqua" w:hAnsi="Book Antiqua" w:cs="Arial"/>
        </w:rPr>
        <w:t>claimant</w:t>
      </w:r>
      <w:r w:rsidRPr="000360D3">
        <w:rPr>
          <w:rFonts w:ascii="Book Antiqua" w:hAnsi="Book Antiqua" w:cs="Arial"/>
        </w:rPr>
        <w:t xml:space="preserve"> relies on his relationship with his son, who was 3 months old when the </w:t>
      </w:r>
      <w:r w:rsidR="000360D3" w:rsidRPr="000360D3">
        <w:rPr>
          <w:rFonts w:ascii="Book Antiqua" w:hAnsi="Book Antiqua" w:cs="Arial"/>
        </w:rPr>
        <w:t>claimant</w:t>
      </w:r>
      <w:r w:rsidRPr="000360D3">
        <w:rPr>
          <w:rFonts w:ascii="Book Antiqua" w:hAnsi="Book Antiqua" w:cs="Arial"/>
        </w:rPr>
        <w:t xml:space="preserve"> went to prison.  At the date of decision, the </w:t>
      </w:r>
      <w:r w:rsidR="000360D3" w:rsidRPr="000360D3">
        <w:rPr>
          <w:rFonts w:ascii="Book Antiqua" w:hAnsi="Book Antiqua" w:cs="Arial"/>
        </w:rPr>
        <w:t>claimant</w:t>
      </w:r>
      <w:r w:rsidRPr="000360D3">
        <w:rPr>
          <w:rFonts w:ascii="Book Antiqua" w:hAnsi="Book Antiqua" w:cs="Arial"/>
        </w:rPr>
        <w:t xml:space="preserve"> was still in prison and had been so for 4 years.  His son had visited him in prison regularly and </w:t>
      </w:r>
      <w:r w:rsidR="007519F2" w:rsidRPr="000360D3">
        <w:rPr>
          <w:rFonts w:ascii="Book Antiqua" w:hAnsi="Book Antiqua" w:cs="Arial"/>
        </w:rPr>
        <w:t xml:space="preserve">the </w:t>
      </w:r>
      <w:r w:rsidR="000360D3" w:rsidRPr="000360D3">
        <w:rPr>
          <w:rFonts w:ascii="Book Antiqua" w:hAnsi="Book Antiqua" w:cs="Arial"/>
        </w:rPr>
        <w:t>claimant</w:t>
      </w:r>
      <w:r w:rsidR="007519F2" w:rsidRPr="000360D3">
        <w:rPr>
          <w:rFonts w:ascii="Book Antiqua" w:hAnsi="Book Antiqua" w:cs="Arial"/>
        </w:rPr>
        <w:t>’s case is that his wife was struggling to raise the child alone, although both of their families had stepped in to help her.  She had been diagnosed with depression, anxiety and panic attack disorder.</w:t>
      </w:r>
    </w:p>
    <w:p w:rsidR="007519F2" w:rsidRPr="000360D3" w:rsidRDefault="007519F2"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w:t>
      </w:r>
      <w:r w:rsidR="000360D3" w:rsidRPr="000360D3">
        <w:rPr>
          <w:rFonts w:ascii="Book Antiqua" w:hAnsi="Book Antiqua" w:cs="Arial"/>
        </w:rPr>
        <w:t>claimant</w:t>
      </w:r>
      <w:r w:rsidRPr="000360D3">
        <w:rPr>
          <w:rFonts w:ascii="Book Antiqua" w:hAnsi="Book Antiqua" w:cs="Arial"/>
        </w:rPr>
        <w:t xml:space="preserve"> says that English language education in Bangladesh is fee paying, which he and his wife would be unable to afford, and that other schools are taught in Bengali, a language which the </w:t>
      </w:r>
      <w:r w:rsidR="000360D3" w:rsidRPr="000360D3">
        <w:rPr>
          <w:rFonts w:ascii="Book Antiqua" w:hAnsi="Book Antiqua" w:cs="Arial"/>
        </w:rPr>
        <w:t>claimant</w:t>
      </w:r>
      <w:r w:rsidRPr="000360D3">
        <w:rPr>
          <w:rFonts w:ascii="Book Antiqua" w:hAnsi="Book Antiqua" w:cs="Arial"/>
        </w:rPr>
        <w:t xml:space="preserve"> himself does not speak (he speaks a Sylheti slang dialect of Bengali).  He fears that in Bangladesh, his son might fall in with the wrong crowd, as the </w:t>
      </w:r>
      <w:r w:rsidR="000360D3" w:rsidRPr="000360D3">
        <w:rPr>
          <w:rFonts w:ascii="Book Antiqua" w:hAnsi="Book Antiqua" w:cs="Arial"/>
        </w:rPr>
        <w:t>claimant</w:t>
      </w:r>
      <w:r w:rsidRPr="000360D3">
        <w:rPr>
          <w:rFonts w:ascii="Book Antiqua" w:hAnsi="Book Antiqua" w:cs="Arial"/>
        </w:rPr>
        <w:t xml:space="preserve"> himself did, and get into trouble.  The </w:t>
      </w:r>
      <w:r w:rsidR="000360D3" w:rsidRPr="000360D3">
        <w:rPr>
          <w:rFonts w:ascii="Book Antiqua" w:hAnsi="Book Antiqua" w:cs="Arial"/>
        </w:rPr>
        <w:t>claimant</w:t>
      </w:r>
      <w:r w:rsidRPr="000360D3">
        <w:rPr>
          <w:rFonts w:ascii="Book Antiqua" w:hAnsi="Book Antiqua" w:cs="Arial"/>
        </w:rPr>
        <w:t xml:space="preserve"> expressed regret for his past actions and said that he had changed and matured, now wishing to make amends to his wife, his child, his family and society.  He had completed courses which had helped him kick his drug addiction.  </w:t>
      </w:r>
    </w:p>
    <w:p w:rsidR="00CF1FCE" w:rsidRPr="000360D3" w:rsidRDefault="00CF1FCE"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w:t>
      </w:r>
      <w:r w:rsidR="000360D3" w:rsidRPr="000360D3">
        <w:rPr>
          <w:rFonts w:ascii="Book Antiqua" w:hAnsi="Book Antiqua" w:cs="Arial"/>
        </w:rPr>
        <w:t>claimant</w:t>
      </w:r>
      <w:r w:rsidRPr="000360D3">
        <w:rPr>
          <w:rFonts w:ascii="Book Antiqua" w:hAnsi="Book Antiqua" w:cs="Arial"/>
        </w:rPr>
        <w:t xml:space="preserve"> was in court for the hearing.  He was released from prison on 9 March 2018 and therefore had spent 2 months living as a family with his wife and his 4-year-old son, whom previously he had known only through prison visits.  There were no new witness statements or evidence. </w:t>
      </w:r>
    </w:p>
    <w:p w:rsidR="00D51814" w:rsidRPr="000360D3" w:rsidRDefault="00D51814" w:rsidP="00D51814">
      <w:pPr>
        <w:tabs>
          <w:tab w:val="left" w:pos="567"/>
        </w:tabs>
        <w:spacing w:before="240"/>
        <w:jc w:val="both"/>
        <w:rPr>
          <w:rFonts w:ascii="Book Antiqua" w:hAnsi="Book Antiqua" w:cs="Arial"/>
          <w:b/>
        </w:rPr>
      </w:pPr>
      <w:bookmarkStart w:id="0" w:name="_GoBack"/>
      <w:bookmarkEnd w:id="0"/>
      <w:r w:rsidRPr="000360D3">
        <w:rPr>
          <w:rFonts w:ascii="Book Antiqua" w:hAnsi="Book Antiqua" w:cs="Arial"/>
          <w:b/>
        </w:rPr>
        <w:t xml:space="preserve">First-tier Tribunal decision </w:t>
      </w:r>
    </w:p>
    <w:p w:rsidR="007519F2" w:rsidRPr="000360D3" w:rsidRDefault="007519F2" w:rsidP="004F5FC1">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First-tier Tribunal found that it was in the best interests of the </w:t>
      </w:r>
      <w:r w:rsidR="000360D3" w:rsidRPr="000360D3">
        <w:rPr>
          <w:rFonts w:ascii="Book Antiqua" w:hAnsi="Book Antiqua" w:cs="Arial"/>
        </w:rPr>
        <w:t>claimant</w:t>
      </w:r>
      <w:r w:rsidRPr="000360D3">
        <w:rPr>
          <w:rFonts w:ascii="Book Antiqua" w:hAnsi="Book Antiqua" w:cs="Arial"/>
        </w:rPr>
        <w:t xml:space="preserve">’s child to remain with both his parents, despite the </w:t>
      </w:r>
      <w:r w:rsidR="000360D3" w:rsidRPr="000360D3">
        <w:rPr>
          <w:rFonts w:ascii="Book Antiqua" w:hAnsi="Book Antiqua" w:cs="Arial"/>
        </w:rPr>
        <w:t>separation</w:t>
      </w:r>
      <w:r w:rsidRPr="000360D3">
        <w:rPr>
          <w:rFonts w:ascii="Book Antiqua" w:hAnsi="Book Antiqua" w:cs="Arial"/>
        </w:rPr>
        <w:t xml:space="preserve">, and that there was also a very close emotional connection between the </w:t>
      </w:r>
      <w:r w:rsidR="000360D3" w:rsidRPr="000360D3">
        <w:rPr>
          <w:rFonts w:ascii="Book Antiqua" w:hAnsi="Book Antiqua" w:cs="Arial"/>
        </w:rPr>
        <w:t>claimant</w:t>
      </w:r>
      <w:r w:rsidRPr="000360D3">
        <w:rPr>
          <w:rFonts w:ascii="Book Antiqua" w:hAnsi="Book Antiqua" w:cs="Arial"/>
        </w:rPr>
        <w:t xml:space="preserve"> and his family in the United Kingdom. </w:t>
      </w:r>
      <w:r w:rsidR="000360D3" w:rsidRPr="000360D3">
        <w:rPr>
          <w:rFonts w:ascii="Book Antiqua" w:hAnsi="Book Antiqua" w:cs="Arial"/>
        </w:rPr>
        <w:t xml:space="preserve"> The Judge </w:t>
      </w:r>
      <w:r w:rsidRPr="000360D3">
        <w:rPr>
          <w:rFonts w:ascii="Book Antiqua" w:hAnsi="Book Antiqua" w:cs="Arial"/>
        </w:rPr>
        <w:t xml:space="preserve">did not consider that the </w:t>
      </w:r>
      <w:r w:rsidR="000360D3" w:rsidRPr="000360D3">
        <w:rPr>
          <w:rFonts w:ascii="Book Antiqua" w:hAnsi="Book Antiqua" w:cs="Arial"/>
        </w:rPr>
        <w:t>claimant</w:t>
      </w:r>
      <w:r w:rsidRPr="000360D3">
        <w:rPr>
          <w:rFonts w:ascii="Book Antiqua" w:hAnsi="Book Antiqua" w:cs="Arial"/>
        </w:rPr>
        <w:t xml:space="preserve"> was of previous good character: he had </w:t>
      </w:r>
      <w:proofErr w:type="gramStart"/>
      <w:r w:rsidRPr="000360D3">
        <w:rPr>
          <w:rFonts w:ascii="Book Antiqua" w:hAnsi="Book Antiqua" w:cs="Arial"/>
        </w:rPr>
        <w:t xml:space="preserve">a </w:t>
      </w:r>
      <w:r w:rsidR="000360D3" w:rsidRPr="000360D3">
        <w:rPr>
          <w:rFonts w:ascii="Book Antiqua" w:hAnsi="Book Antiqua" w:cs="Arial"/>
        </w:rPr>
        <w:t>large</w:t>
      </w:r>
      <w:r w:rsidRPr="000360D3">
        <w:rPr>
          <w:rFonts w:ascii="Book Antiqua" w:hAnsi="Book Antiqua" w:cs="Arial"/>
        </w:rPr>
        <w:t xml:space="preserve"> number of</w:t>
      </w:r>
      <w:proofErr w:type="gramEnd"/>
      <w:r w:rsidRPr="000360D3">
        <w:rPr>
          <w:rFonts w:ascii="Book Antiqua" w:hAnsi="Book Antiqua" w:cs="Arial"/>
        </w:rPr>
        <w:t xml:space="preserve"> convictions preceding the index offence, mostly for </w:t>
      </w:r>
      <w:r w:rsidR="000360D3" w:rsidRPr="000360D3">
        <w:rPr>
          <w:rFonts w:ascii="Book Antiqua" w:hAnsi="Book Antiqua" w:cs="Arial"/>
        </w:rPr>
        <w:t>possession</w:t>
      </w:r>
      <w:r w:rsidRPr="000360D3">
        <w:rPr>
          <w:rFonts w:ascii="Book Antiqua" w:hAnsi="Book Antiqua" w:cs="Arial"/>
        </w:rPr>
        <w:t xml:space="preserve"> of class A and Class B drugs, including a previous imprisonment for 5 months in August 2007 for a number of offences. He had been a user of cannabis since his early twenties (so from about 2004 onwards) and from his mid-twenties, he had graduated to cocaine.  He owed about £15000 to a drug dealer, but he was given credit by the sentencing Judge for pleading guilty at the earliest possible opportunity, and for being an accomplice, not a leader, in the conspiracy.  However, the Judge did consider that ‘nevertheless he was </w:t>
      </w:r>
      <w:r w:rsidRPr="000360D3">
        <w:rPr>
          <w:rFonts w:ascii="Book Antiqua" w:hAnsi="Book Antiqua" w:cs="Arial"/>
        </w:rPr>
        <w:lastRenderedPageBreak/>
        <w:t xml:space="preserve">involved in an </w:t>
      </w:r>
      <w:r w:rsidR="000360D3" w:rsidRPr="000360D3">
        <w:rPr>
          <w:rFonts w:ascii="Book Antiqua" w:hAnsi="Book Antiqua" w:cs="Arial"/>
        </w:rPr>
        <w:t>operational</w:t>
      </w:r>
      <w:r w:rsidRPr="000360D3">
        <w:rPr>
          <w:rFonts w:ascii="Book Antiqua" w:hAnsi="Book Antiqua" w:cs="Arial"/>
        </w:rPr>
        <w:t xml:space="preserve"> management function within the chain at a very high level given the amount of trust that was placed in the </w:t>
      </w:r>
      <w:r w:rsidR="000360D3" w:rsidRPr="000360D3">
        <w:rPr>
          <w:rFonts w:ascii="Book Antiqua" w:hAnsi="Book Antiqua" w:cs="Arial"/>
        </w:rPr>
        <w:t>claimant</w:t>
      </w:r>
      <w:r w:rsidRPr="000360D3">
        <w:rPr>
          <w:rFonts w:ascii="Book Antiqua" w:hAnsi="Book Antiqua" w:cs="Arial"/>
        </w:rPr>
        <w:t xml:space="preserve"> and his accomplice.</w:t>
      </w:r>
    </w:p>
    <w:p w:rsidR="007519F2" w:rsidRPr="000360D3" w:rsidRDefault="007519F2"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Judge accepted that the </w:t>
      </w:r>
      <w:r w:rsidR="000360D3" w:rsidRPr="000360D3">
        <w:rPr>
          <w:rFonts w:ascii="Book Antiqua" w:hAnsi="Book Antiqua" w:cs="Arial"/>
        </w:rPr>
        <w:t>claimant</w:t>
      </w:r>
      <w:r w:rsidRPr="000360D3">
        <w:rPr>
          <w:rFonts w:ascii="Book Antiqua" w:hAnsi="Book Antiqua" w:cs="Arial"/>
        </w:rPr>
        <w:t xml:space="preserve"> had shown remorse, that in prison when offered drugs, he had refused, and that in prison he continued to work on ‘stop supplying’ and ‘motivation and change’ sessions run by Lifeline Suffolk.  He had positive references from persons of good standing at HMP Highpoint, and no adjudications. </w:t>
      </w:r>
    </w:p>
    <w:p w:rsidR="007519F2" w:rsidRPr="000360D3" w:rsidRDefault="007519F2"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Judge allowed the appeal, considering that there were ‘very compelling circumstances’ over and above those described in Exceptions 1 and 2 </w:t>
      </w:r>
      <w:r w:rsidR="000360D3">
        <w:rPr>
          <w:rFonts w:ascii="Book Antiqua" w:hAnsi="Book Antiqua" w:cs="Arial"/>
        </w:rPr>
        <w:t xml:space="preserve">to section 117C of the 2002 Act, </w:t>
      </w:r>
      <w:r w:rsidRPr="000360D3">
        <w:rPr>
          <w:rFonts w:ascii="Book Antiqua" w:hAnsi="Book Antiqua" w:cs="Arial"/>
        </w:rPr>
        <w:t xml:space="preserve">for which the </w:t>
      </w:r>
      <w:r w:rsidR="000360D3" w:rsidRPr="000360D3">
        <w:rPr>
          <w:rFonts w:ascii="Book Antiqua" w:hAnsi="Book Antiqua" w:cs="Arial"/>
        </w:rPr>
        <w:t>claimant</w:t>
      </w:r>
      <w:r w:rsidRPr="000360D3">
        <w:rPr>
          <w:rFonts w:ascii="Book Antiqua" w:hAnsi="Book Antiqua" w:cs="Arial"/>
        </w:rPr>
        <w:t>’s deportation was neither conducive to the public good, nor in the public interest.</w:t>
      </w:r>
    </w:p>
    <w:p w:rsidR="007519F2" w:rsidRPr="000360D3" w:rsidRDefault="007519F2"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w:t>
      </w:r>
      <w:r w:rsidR="000360D3" w:rsidRPr="000360D3">
        <w:rPr>
          <w:rFonts w:ascii="Book Antiqua" w:hAnsi="Book Antiqua" w:cs="Arial"/>
        </w:rPr>
        <w:t>Secretary of State</w:t>
      </w:r>
      <w:r w:rsidRPr="000360D3">
        <w:rPr>
          <w:rFonts w:ascii="Book Antiqua" w:hAnsi="Book Antiqua" w:cs="Arial"/>
        </w:rPr>
        <w:t xml:space="preserve"> appealed to the Upper Tribunal</w:t>
      </w:r>
      <w:r w:rsidR="0001792C" w:rsidRPr="000360D3">
        <w:rPr>
          <w:rFonts w:ascii="Book Antiqua" w:hAnsi="Book Antiqua" w:cs="Arial"/>
        </w:rPr>
        <w:t xml:space="preserve">, arguing that the circumstances relied upon fell well short of ‘unduly harsh’ let alone ’very compelling circumstances’ and relied upon </w:t>
      </w:r>
      <w:r w:rsidR="000360D3">
        <w:rPr>
          <w:rFonts w:ascii="Book Antiqua" w:hAnsi="Book Antiqua" w:cs="Arial"/>
          <w:i/>
        </w:rPr>
        <w:t xml:space="preserve">Hesham </w:t>
      </w:r>
      <w:r w:rsidR="0001792C" w:rsidRPr="000360D3">
        <w:rPr>
          <w:rFonts w:ascii="Book Antiqua" w:hAnsi="Book Antiqua" w:cs="Arial"/>
          <w:i/>
        </w:rPr>
        <w:t xml:space="preserve">Ali v Secretary of State for the Home Department </w:t>
      </w:r>
      <w:r w:rsidR="0001792C" w:rsidRPr="000360D3">
        <w:rPr>
          <w:rFonts w:ascii="Book Antiqua" w:hAnsi="Book Antiqua" w:cs="Arial"/>
        </w:rPr>
        <w:t xml:space="preserve">[2016] UKSC 60, </w:t>
      </w:r>
      <w:r w:rsidR="0001792C" w:rsidRPr="000360D3">
        <w:rPr>
          <w:rFonts w:ascii="Book Antiqua" w:hAnsi="Book Antiqua" w:cs="Arial"/>
          <w:i/>
        </w:rPr>
        <w:t xml:space="preserve">Treebhawon and others </w:t>
      </w:r>
      <w:r w:rsidR="000360D3">
        <w:rPr>
          <w:rFonts w:ascii="Book Antiqua" w:hAnsi="Book Antiqua" w:cs="Arial"/>
        </w:rPr>
        <w:t>(</w:t>
      </w:r>
      <w:r w:rsidR="0001792C" w:rsidRPr="000360D3">
        <w:rPr>
          <w:rFonts w:ascii="Book Antiqua" w:hAnsi="Book Antiqua" w:cs="Arial"/>
        </w:rPr>
        <w:t>section 117</w:t>
      </w:r>
      <w:proofErr w:type="gramStart"/>
      <w:r w:rsidR="0001792C" w:rsidRPr="000360D3">
        <w:rPr>
          <w:rFonts w:ascii="Book Antiqua" w:hAnsi="Book Antiqua" w:cs="Arial"/>
        </w:rPr>
        <w:t>B(</w:t>
      </w:r>
      <w:proofErr w:type="gramEnd"/>
      <w:r w:rsidR="0001792C" w:rsidRPr="000360D3">
        <w:rPr>
          <w:rFonts w:ascii="Book Antiqua" w:hAnsi="Book Antiqua" w:cs="Arial"/>
        </w:rPr>
        <w:t>6)</w:t>
      </w:r>
      <w:r w:rsidR="000360D3">
        <w:rPr>
          <w:rFonts w:ascii="Book Antiqua" w:hAnsi="Book Antiqua" w:cs="Arial"/>
        </w:rPr>
        <w:t>)</w:t>
      </w:r>
      <w:r w:rsidR="0001792C" w:rsidRPr="000360D3">
        <w:rPr>
          <w:rFonts w:ascii="Book Antiqua" w:hAnsi="Book Antiqua" w:cs="Arial"/>
        </w:rPr>
        <w:t xml:space="preserve"> [2015] UKUT 674 (IAC); </w:t>
      </w:r>
      <w:r w:rsidR="0001792C" w:rsidRPr="000360D3">
        <w:rPr>
          <w:rFonts w:ascii="Book Antiqua" w:hAnsi="Book Antiqua" w:cs="Arial"/>
          <w:i/>
        </w:rPr>
        <w:t xml:space="preserve">LC (China) v Secretary of State for the Home Department </w:t>
      </w:r>
      <w:r w:rsidR="0001792C" w:rsidRPr="000360D3">
        <w:rPr>
          <w:rFonts w:ascii="Book Antiqua" w:hAnsi="Book Antiqua" w:cs="Arial"/>
        </w:rPr>
        <w:t xml:space="preserve">[2014] EWCA Civ 1310 and </w:t>
      </w:r>
      <w:r w:rsidR="0001792C" w:rsidRPr="000360D3">
        <w:rPr>
          <w:rFonts w:ascii="Book Antiqua" w:hAnsi="Book Antiqua" w:cs="Arial"/>
          <w:i/>
        </w:rPr>
        <w:t xml:space="preserve">CT (Vietnam) v Secretary of State for the Home Department </w:t>
      </w:r>
      <w:r w:rsidR="0001792C" w:rsidRPr="000360D3">
        <w:rPr>
          <w:rFonts w:ascii="Book Antiqua" w:hAnsi="Book Antiqua" w:cs="Arial"/>
        </w:rPr>
        <w:t xml:space="preserve">[2014] EWCA Civ 488.   </w:t>
      </w:r>
      <w:r w:rsidR="000360D3">
        <w:rPr>
          <w:rFonts w:ascii="Book Antiqua" w:hAnsi="Book Antiqua" w:cs="Arial"/>
        </w:rPr>
        <w:t>He</w:t>
      </w:r>
      <w:r w:rsidR="0001792C" w:rsidRPr="000360D3">
        <w:rPr>
          <w:rFonts w:ascii="Book Antiqua" w:hAnsi="Book Antiqua" w:cs="Arial"/>
        </w:rPr>
        <w:t xml:space="preserve"> contended that insufficient reasons had been given for finding that the best interests of the </w:t>
      </w:r>
      <w:r w:rsidR="000360D3" w:rsidRPr="000360D3">
        <w:rPr>
          <w:rFonts w:ascii="Book Antiqua" w:hAnsi="Book Antiqua" w:cs="Arial"/>
        </w:rPr>
        <w:t>claimant</w:t>
      </w:r>
      <w:r w:rsidR="0001792C" w:rsidRPr="000360D3">
        <w:rPr>
          <w:rFonts w:ascii="Book Antiqua" w:hAnsi="Book Antiqua" w:cs="Arial"/>
        </w:rPr>
        <w:t>’s child outweighed the public interest in removal</w:t>
      </w:r>
      <w:r w:rsidRPr="000360D3">
        <w:rPr>
          <w:rFonts w:ascii="Book Antiqua" w:hAnsi="Book Antiqua" w:cs="Arial"/>
        </w:rPr>
        <w:t xml:space="preserve">. </w:t>
      </w:r>
    </w:p>
    <w:p w:rsidR="00D51814" w:rsidRPr="000360D3" w:rsidRDefault="00D51814" w:rsidP="00D51814">
      <w:pPr>
        <w:tabs>
          <w:tab w:val="left" w:pos="567"/>
        </w:tabs>
        <w:spacing w:before="240"/>
        <w:jc w:val="both"/>
        <w:rPr>
          <w:rFonts w:ascii="Book Antiqua" w:hAnsi="Book Antiqua" w:cs="Arial"/>
          <w:b/>
        </w:rPr>
      </w:pPr>
      <w:r w:rsidRPr="000360D3">
        <w:rPr>
          <w:rFonts w:ascii="Book Antiqua" w:hAnsi="Book Antiqua" w:cs="Arial"/>
          <w:b/>
        </w:rPr>
        <w:t xml:space="preserve">Permission to appeal </w:t>
      </w:r>
    </w:p>
    <w:p w:rsidR="00D51814" w:rsidRPr="000360D3" w:rsidRDefault="0001792C"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Permission to appeal was granted on the basis </w:t>
      </w:r>
      <w:r w:rsidR="000360D3" w:rsidRPr="000360D3">
        <w:rPr>
          <w:rFonts w:ascii="Book Antiqua" w:hAnsi="Book Antiqua" w:cs="Arial"/>
        </w:rPr>
        <w:t>that despite</w:t>
      </w:r>
      <w:r w:rsidRPr="000360D3">
        <w:rPr>
          <w:rFonts w:ascii="Book Antiqua" w:hAnsi="Book Antiqua" w:cs="Arial"/>
        </w:rPr>
        <w:t xml:space="preserve"> the First-tier Tribunal Judge’s detailed and comprehensive decision, she had not clearly identified how, cumulatively, those factors and the child’s best interests outweighed the public interest.</w:t>
      </w:r>
    </w:p>
    <w:p w:rsidR="00D51814" w:rsidRPr="000360D3" w:rsidRDefault="00D51814" w:rsidP="00D51814">
      <w:pPr>
        <w:tabs>
          <w:tab w:val="left" w:pos="567"/>
        </w:tabs>
        <w:spacing w:before="240"/>
        <w:jc w:val="both"/>
        <w:rPr>
          <w:rFonts w:ascii="Book Antiqua" w:hAnsi="Book Antiqua" w:cs="Arial"/>
          <w:b/>
        </w:rPr>
      </w:pPr>
      <w:r w:rsidRPr="000360D3">
        <w:rPr>
          <w:rFonts w:ascii="Book Antiqua" w:hAnsi="Book Antiqua" w:cs="Arial"/>
          <w:b/>
        </w:rPr>
        <w:t>Rule 24 Reply</w:t>
      </w:r>
    </w:p>
    <w:p w:rsidR="00D51814" w:rsidRPr="000360D3" w:rsidRDefault="0001792C"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There was no Rule 24 Reply.  </w:t>
      </w:r>
    </w:p>
    <w:p w:rsidR="00D51814" w:rsidRPr="000360D3"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That is the basis on which this appeal came before the Upper Tribunal.</w:t>
      </w:r>
    </w:p>
    <w:p w:rsidR="00D51814" w:rsidRPr="000360D3" w:rsidRDefault="00D51814" w:rsidP="00D51814">
      <w:pPr>
        <w:tabs>
          <w:tab w:val="left" w:pos="567"/>
        </w:tabs>
        <w:spacing w:before="240"/>
        <w:jc w:val="both"/>
        <w:rPr>
          <w:rFonts w:ascii="Book Antiqua" w:hAnsi="Book Antiqua" w:cs="Arial"/>
          <w:b/>
        </w:rPr>
      </w:pPr>
      <w:r w:rsidRPr="000360D3">
        <w:rPr>
          <w:rFonts w:ascii="Book Antiqua" w:hAnsi="Book Antiqua" w:cs="Arial"/>
          <w:b/>
        </w:rPr>
        <w:t>Upper Tribunal hearing</w:t>
      </w:r>
    </w:p>
    <w:p w:rsidR="0001792C" w:rsidRPr="000360D3" w:rsidRDefault="0001792C" w:rsidP="0001792C">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w:t>
      </w:r>
      <w:r w:rsidR="000360D3" w:rsidRPr="000360D3">
        <w:rPr>
          <w:rFonts w:ascii="Book Antiqua" w:hAnsi="Book Antiqua" w:cs="Arial"/>
        </w:rPr>
        <w:t>claimant</w:t>
      </w:r>
      <w:r w:rsidRPr="000360D3">
        <w:rPr>
          <w:rFonts w:ascii="Book Antiqua" w:hAnsi="Book Antiqua" w:cs="Arial"/>
        </w:rPr>
        <w:t xml:space="preserve">’s Counsel, Ms Shaw, relied on her previous and a revised </w:t>
      </w:r>
      <w:r w:rsidR="000360D3" w:rsidRPr="000360D3">
        <w:rPr>
          <w:rFonts w:ascii="Book Antiqua" w:hAnsi="Book Antiqua" w:cs="Arial"/>
        </w:rPr>
        <w:t>skeleton argument</w:t>
      </w:r>
      <w:r w:rsidRPr="000360D3">
        <w:rPr>
          <w:rFonts w:ascii="Book Antiqua" w:hAnsi="Book Antiqua" w:cs="Arial"/>
        </w:rPr>
        <w:t xml:space="preserve">, and on the decision of the Supreme Court in </w:t>
      </w:r>
      <w:r w:rsidRPr="000360D3">
        <w:rPr>
          <w:rFonts w:ascii="Book Antiqua" w:hAnsi="Book Antiqua" w:cs="Arial"/>
          <w:i/>
        </w:rPr>
        <w:t xml:space="preserve">Hesham Ali.   </w:t>
      </w:r>
      <w:r w:rsidRPr="000360D3">
        <w:rPr>
          <w:rFonts w:ascii="Book Antiqua" w:hAnsi="Book Antiqua" w:cs="Arial"/>
        </w:rPr>
        <w:t xml:space="preserve">She contended that the First-tier Tribunal had been entitled to </w:t>
      </w:r>
      <w:r w:rsidR="000360D3" w:rsidRPr="000360D3">
        <w:rPr>
          <w:rFonts w:ascii="Book Antiqua" w:hAnsi="Book Antiqua" w:cs="Arial"/>
        </w:rPr>
        <w:t>carry</w:t>
      </w:r>
      <w:r w:rsidRPr="000360D3">
        <w:rPr>
          <w:rFonts w:ascii="Book Antiqua" w:hAnsi="Book Antiqua" w:cs="Arial"/>
        </w:rPr>
        <w:t xml:space="preserve"> out the analysis it had and that applying </w:t>
      </w:r>
      <w:r w:rsidR="000360D3">
        <w:rPr>
          <w:rFonts w:ascii="Book Antiqua" w:hAnsi="Book Antiqua" w:cs="Arial"/>
          <w:i/>
        </w:rPr>
        <w:t>T</w:t>
      </w:r>
      <w:r w:rsidR="000360D3" w:rsidRPr="000360D3">
        <w:rPr>
          <w:rFonts w:ascii="Book Antiqua" w:hAnsi="Book Antiqua" w:cs="Arial"/>
          <w:i/>
        </w:rPr>
        <w:t xml:space="preserve">he Secretary of State for the Home Department v JZ (Zambia) </w:t>
      </w:r>
      <w:r w:rsidR="000360D3" w:rsidRPr="000360D3">
        <w:rPr>
          <w:rFonts w:ascii="Book Antiqua" w:hAnsi="Book Antiqua" w:cs="Arial"/>
        </w:rPr>
        <w:t>[2016] EWCA Civ</w:t>
      </w:r>
      <w:r w:rsidR="000360D3" w:rsidRPr="000360D3">
        <w:rPr>
          <w:rFonts w:ascii="Book Antiqua" w:hAnsi="Book Antiqua" w:cs="Arial"/>
          <w:i/>
        </w:rPr>
        <w:t xml:space="preserve"> </w:t>
      </w:r>
      <w:r w:rsidR="000360D3" w:rsidRPr="000360D3">
        <w:rPr>
          <w:rFonts w:ascii="Book Antiqua" w:hAnsi="Book Antiqua" w:cs="Arial"/>
        </w:rPr>
        <w:t>116</w:t>
      </w:r>
      <w:r w:rsidR="000360D3" w:rsidRPr="000360D3">
        <w:rPr>
          <w:rFonts w:ascii="Book Antiqua" w:hAnsi="Book Antiqua" w:cs="Arial"/>
          <w:i/>
        </w:rPr>
        <w:t xml:space="preserve"> </w:t>
      </w:r>
      <w:r w:rsidRPr="000360D3">
        <w:rPr>
          <w:rFonts w:ascii="Book Antiqua" w:hAnsi="Book Antiqua" w:cs="Arial"/>
        </w:rPr>
        <w:t xml:space="preserve">and </w:t>
      </w:r>
      <w:r w:rsidR="000360D3" w:rsidRPr="000360D3">
        <w:rPr>
          <w:rFonts w:ascii="Book Antiqua" w:hAnsi="Book Antiqua" w:cs="Arial"/>
          <w:i/>
        </w:rPr>
        <w:t xml:space="preserve">The Secretary of State for the Home Department v ZP (India) </w:t>
      </w:r>
      <w:r w:rsidR="000360D3" w:rsidRPr="000360D3">
        <w:rPr>
          <w:rFonts w:ascii="Book Antiqua" w:hAnsi="Book Antiqua" w:cs="Arial"/>
        </w:rPr>
        <w:t xml:space="preserve">[2015] EWCA </w:t>
      </w:r>
      <w:r w:rsidRPr="000360D3">
        <w:rPr>
          <w:rFonts w:ascii="Book Antiqua" w:hAnsi="Book Antiqua" w:cs="Arial"/>
        </w:rPr>
        <w:t xml:space="preserve">Civ 1197, it had been open to the First-tier Tribunal to reach the conclusion it had on the evidence before the Tribunal. </w:t>
      </w:r>
    </w:p>
    <w:p w:rsidR="0001792C" w:rsidRPr="000360D3" w:rsidRDefault="0001792C" w:rsidP="0001792C">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In her oral submissions, Ms </w:t>
      </w:r>
      <w:r w:rsidR="000360D3" w:rsidRPr="000360D3">
        <w:rPr>
          <w:rFonts w:ascii="Book Antiqua" w:hAnsi="Book Antiqua" w:cs="Arial"/>
        </w:rPr>
        <w:t>Shaw</w:t>
      </w:r>
      <w:r w:rsidRPr="000360D3">
        <w:rPr>
          <w:rFonts w:ascii="Book Antiqua" w:hAnsi="Book Antiqua" w:cs="Arial"/>
        </w:rPr>
        <w:t xml:space="preserve"> argued that the balancing exercise had been properly carried out, particularly in the light of the mental health difficulties </w:t>
      </w:r>
      <w:r w:rsidR="000360D3" w:rsidRPr="000360D3">
        <w:rPr>
          <w:rFonts w:ascii="Book Antiqua" w:hAnsi="Book Antiqua" w:cs="Arial"/>
        </w:rPr>
        <w:t>experienced</w:t>
      </w:r>
      <w:r w:rsidRPr="000360D3">
        <w:rPr>
          <w:rFonts w:ascii="Book Antiqua" w:hAnsi="Book Antiqua" w:cs="Arial"/>
        </w:rPr>
        <w:t xml:space="preserve"> by the </w:t>
      </w:r>
      <w:r w:rsidR="000360D3" w:rsidRPr="000360D3">
        <w:rPr>
          <w:rFonts w:ascii="Book Antiqua" w:hAnsi="Book Antiqua" w:cs="Arial"/>
        </w:rPr>
        <w:t>claimant</w:t>
      </w:r>
      <w:r w:rsidRPr="000360D3">
        <w:rPr>
          <w:rFonts w:ascii="Book Antiqua" w:hAnsi="Book Antiqua" w:cs="Arial"/>
        </w:rPr>
        <w:t xml:space="preserve">’s </w:t>
      </w:r>
      <w:r w:rsidR="000360D3" w:rsidRPr="000360D3">
        <w:rPr>
          <w:rFonts w:ascii="Book Antiqua" w:hAnsi="Book Antiqua" w:cs="Arial"/>
        </w:rPr>
        <w:t>wife</w:t>
      </w:r>
      <w:r w:rsidRPr="000360D3">
        <w:rPr>
          <w:rFonts w:ascii="Book Antiqua" w:hAnsi="Book Antiqua" w:cs="Arial"/>
        </w:rPr>
        <w:t xml:space="preserve">.  The </w:t>
      </w:r>
      <w:r w:rsidR="000360D3" w:rsidRPr="000360D3">
        <w:rPr>
          <w:rFonts w:ascii="Book Antiqua" w:hAnsi="Book Antiqua" w:cs="Arial"/>
        </w:rPr>
        <w:t>claimant</w:t>
      </w:r>
      <w:r w:rsidRPr="000360D3">
        <w:rPr>
          <w:rFonts w:ascii="Book Antiqua" w:hAnsi="Book Antiqua" w:cs="Arial"/>
        </w:rPr>
        <w:t xml:space="preserve"> was an eldest son and was also </w:t>
      </w:r>
      <w:r w:rsidR="000360D3" w:rsidRPr="000360D3">
        <w:rPr>
          <w:rFonts w:ascii="Book Antiqua" w:hAnsi="Book Antiqua" w:cs="Arial"/>
        </w:rPr>
        <w:t>responsible</w:t>
      </w:r>
      <w:r w:rsidRPr="000360D3">
        <w:rPr>
          <w:rFonts w:ascii="Book Antiqua" w:hAnsi="Book Antiqua" w:cs="Arial"/>
        </w:rPr>
        <w:t xml:space="preserve"> for his widowed mother.  His family life had been established when he was lawfully in the United Kingdom and the child was now 4 years old and had begun school. </w:t>
      </w:r>
    </w:p>
    <w:p w:rsidR="00D51814" w:rsidRPr="000360D3" w:rsidRDefault="00CF1FCE"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lastRenderedPageBreak/>
        <w:t xml:space="preserve">For the </w:t>
      </w:r>
      <w:r w:rsidR="000360D3" w:rsidRPr="000360D3">
        <w:rPr>
          <w:rFonts w:ascii="Book Antiqua" w:hAnsi="Book Antiqua" w:cs="Arial"/>
        </w:rPr>
        <w:t>Secretary of State</w:t>
      </w:r>
      <w:r w:rsidRPr="000360D3">
        <w:rPr>
          <w:rFonts w:ascii="Book Antiqua" w:hAnsi="Book Antiqua" w:cs="Arial"/>
        </w:rPr>
        <w:t xml:space="preserve">, Mr Tufan argued that </w:t>
      </w:r>
      <w:r w:rsidRPr="000360D3">
        <w:rPr>
          <w:rFonts w:ascii="Book Antiqua" w:hAnsi="Book Antiqua" w:cs="Arial"/>
          <w:i/>
        </w:rPr>
        <w:t xml:space="preserve">Hesham Ali </w:t>
      </w:r>
      <w:r w:rsidRPr="000360D3">
        <w:rPr>
          <w:rFonts w:ascii="Book Antiqua" w:hAnsi="Book Antiqua" w:cs="Arial"/>
        </w:rPr>
        <w:t xml:space="preserve">was not a decision on the post-2014 situation and in particular, preceded the tighter regime in part VA of the Nationality, Immigration and Asylum Act 2002 (as amended) and section 117C thereof, which required an </w:t>
      </w:r>
      <w:r w:rsidR="000360D3" w:rsidRPr="000360D3">
        <w:rPr>
          <w:rFonts w:ascii="Book Antiqua" w:hAnsi="Book Antiqua" w:cs="Arial"/>
        </w:rPr>
        <w:t>claimant</w:t>
      </w:r>
      <w:r w:rsidRPr="000360D3">
        <w:rPr>
          <w:rFonts w:ascii="Book Antiqua" w:hAnsi="Book Antiqua" w:cs="Arial"/>
        </w:rPr>
        <w:t xml:space="preserve"> to show not just that he could meet the Exceptions therein (which Mr Tufan did not dispute were met) but that  there were very compelling </w:t>
      </w:r>
      <w:r w:rsidR="000360D3" w:rsidRPr="000360D3">
        <w:rPr>
          <w:rFonts w:ascii="Book Antiqua" w:hAnsi="Book Antiqua" w:cs="Arial"/>
        </w:rPr>
        <w:t>factors</w:t>
      </w:r>
      <w:r w:rsidRPr="000360D3">
        <w:rPr>
          <w:rFonts w:ascii="Book Antiqua" w:hAnsi="Book Antiqua" w:cs="Arial"/>
        </w:rPr>
        <w:t xml:space="preserve"> over and above those Exceptions, which </w:t>
      </w:r>
      <w:r w:rsidR="0031195B">
        <w:rPr>
          <w:rFonts w:ascii="Book Antiqua" w:hAnsi="Book Antiqua" w:cs="Arial"/>
        </w:rPr>
        <w:t>Mr Tufan argued</w:t>
      </w:r>
      <w:r w:rsidRPr="000360D3">
        <w:rPr>
          <w:rFonts w:ascii="Book Antiqua" w:hAnsi="Book Antiqua" w:cs="Arial"/>
        </w:rPr>
        <w:t xml:space="preserve"> was not the case</w:t>
      </w:r>
      <w:r w:rsidR="0031195B">
        <w:rPr>
          <w:rFonts w:ascii="Book Antiqua" w:hAnsi="Book Antiqua" w:cs="Arial"/>
        </w:rPr>
        <w:t xml:space="preserve"> here</w:t>
      </w:r>
      <w:r w:rsidRPr="000360D3">
        <w:rPr>
          <w:rFonts w:ascii="Book Antiqua" w:hAnsi="Book Antiqua" w:cs="Arial"/>
        </w:rPr>
        <w:t xml:space="preserve">.  </w:t>
      </w:r>
      <w:r w:rsidR="000360D3" w:rsidRPr="000360D3">
        <w:rPr>
          <w:rFonts w:ascii="Book Antiqua" w:hAnsi="Book Antiqua" w:cs="Arial"/>
          <w:i/>
        </w:rPr>
        <w:t xml:space="preserve">Treebhawon </w:t>
      </w:r>
      <w:r w:rsidR="000360D3" w:rsidRPr="000360D3">
        <w:rPr>
          <w:rFonts w:ascii="Book Antiqua" w:hAnsi="Book Antiqua" w:cs="Arial"/>
        </w:rPr>
        <w:t>was</w:t>
      </w:r>
      <w:r w:rsidRPr="000360D3">
        <w:rPr>
          <w:rFonts w:ascii="Book Antiqua" w:hAnsi="Book Antiqua" w:cs="Arial"/>
        </w:rPr>
        <w:t xml:space="preserve"> not a deportation case, and </w:t>
      </w:r>
      <w:r w:rsidR="0031195B" w:rsidRPr="0031195B">
        <w:rPr>
          <w:rFonts w:ascii="Book Antiqua" w:hAnsi="Book Antiqua" w:cs="Arial"/>
          <w:i/>
        </w:rPr>
        <w:t xml:space="preserve">OP (Jamaica) v Secretary of State for the Home Department </w:t>
      </w:r>
      <w:r w:rsidR="0031195B" w:rsidRPr="0031195B">
        <w:rPr>
          <w:rFonts w:ascii="Book Antiqua" w:hAnsi="Book Antiqua" w:cs="Arial"/>
        </w:rPr>
        <w:t>[2008] EWCA Civ 80</w:t>
      </w:r>
      <w:r w:rsidR="0031195B" w:rsidRPr="0031195B">
        <w:rPr>
          <w:rFonts w:ascii="Book Antiqua" w:hAnsi="Book Antiqua" w:cs="Arial"/>
          <w:i/>
        </w:rPr>
        <w:t xml:space="preserve"> </w:t>
      </w:r>
      <w:r w:rsidRPr="000360D3">
        <w:rPr>
          <w:rFonts w:ascii="Book Antiqua" w:hAnsi="Book Antiqua" w:cs="Arial"/>
        </w:rPr>
        <w:t xml:space="preserve">on which the </w:t>
      </w:r>
      <w:r w:rsidR="000360D3" w:rsidRPr="000360D3">
        <w:rPr>
          <w:rFonts w:ascii="Book Antiqua" w:hAnsi="Book Antiqua" w:cs="Arial"/>
        </w:rPr>
        <w:t>claimant</w:t>
      </w:r>
      <w:r w:rsidRPr="000360D3">
        <w:rPr>
          <w:rFonts w:ascii="Book Antiqua" w:hAnsi="Book Antiqua" w:cs="Arial"/>
        </w:rPr>
        <w:t xml:space="preserve"> also relied, was a case where the sentence did not exceed 4 years, and therefore the ‘very compelling circumstances’ test at section 117</w:t>
      </w:r>
      <w:proofErr w:type="gramStart"/>
      <w:r w:rsidRPr="000360D3">
        <w:rPr>
          <w:rFonts w:ascii="Book Antiqua" w:hAnsi="Book Antiqua" w:cs="Arial"/>
        </w:rPr>
        <w:t>C(</w:t>
      </w:r>
      <w:proofErr w:type="gramEnd"/>
      <w:r w:rsidRPr="000360D3">
        <w:rPr>
          <w:rFonts w:ascii="Book Antiqua" w:hAnsi="Book Antiqua" w:cs="Arial"/>
        </w:rPr>
        <w:t xml:space="preserve">6) was not triggered.  </w:t>
      </w:r>
    </w:p>
    <w:p w:rsidR="00CF1FCE" w:rsidRPr="000360D3" w:rsidRDefault="00CF1FCE" w:rsidP="00E147B4">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Ms Shaw relied on the decision in </w:t>
      </w:r>
      <w:r w:rsidRPr="000360D3">
        <w:rPr>
          <w:rFonts w:ascii="Book Antiqua" w:hAnsi="Book Antiqua" w:cs="Arial"/>
          <w:i/>
        </w:rPr>
        <w:t xml:space="preserve">Secretary of State for the Home Department v Thierno Barry </w:t>
      </w:r>
      <w:r w:rsidRPr="000360D3">
        <w:rPr>
          <w:rFonts w:ascii="Book Antiqua" w:hAnsi="Book Antiqua" w:cs="Arial"/>
        </w:rPr>
        <w:t xml:space="preserve">[2018] EWCA Civ 790 which she said was on similar facts, although again the sentence was less than 4 years. If the appeal were to be allowed, Ms Shaw asked that it be remitted for rehearing afresh, in order that evidence about the </w:t>
      </w:r>
      <w:r w:rsidR="000360D3" w:rsidRPr="000360D3">
        <w:rPr>
          <w:rFonts w:ascii="Book Antiqua" w:hAnsi="Book Antiqua" w:cs="Arial"/>
        </w:rPr>
        <w:t>claimant</w:t>
      </w:r>
      <w:r w:rsidRPr="000360D3">
        <w:rPr>
          <w:rFonts w:ascii="Book Antiqua" w:hAnsi="Book Antiqua" w:cs="Arial"/>
        </w:rPr>
        <w:t xml:space="preserve">’s schooling and the wife’s health could be adduced. </w:t>
      </w:r>
    </w:p>
    <w:p w:rsidR="00D51814" w:rsidRPr="000360D3" w:rsidRDefault="00D51814" w:rsidP="00D51814">
      <w:pPr>
        <w:tabs>
          <w:tab w:val="left" w:pos="567"/>
        </w:tabs>
        <w:spacing w:before="240"/>
        <w:jc w:val="both"/>
        <w:rPr>
          <w:rFonts w:ascii="Book Antiqua" w:hAnsi="Book Antiqua" w:cs="Arial"/>
          <w:b/>
        </w:rPr>
      </w:pPr>
      <w:r w:rsidRPr="000360D3">
        <w:rPr>
          <w:rFonts w:ascii="Book Antiqua" w:hAnsi="Book Antiqua" w:cs="Arial"/>
          <w:b/>
        </w:rPr>
        <w:t xml:space="preserve">Discussion </w:t>
      </w:r>
    </w:p>
    <w:p w:rsidR="00306236" w:rsidRPr="000360D3" w:rsidRDefault="00CF1FCE" w:rsidP="00CF1FCE">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The point about the decision in </w:t>
      </w:r>
      <w:r w:rsidRPr="000360D3">
        <w:rPr>
          <w:rFonts w:ascii="Book Antiqua" w:hAnsi="Book Antiqua" w:cs="Arial"/>
          <w:i/>
        </w:rPr>
        <w:t xml:space="preserve">Hesham Ali </w:t>
      </w:r>
      <w:r w:rsidRPr="000360D3">
        <w:rPr>
          <w:rFonts w:ascii="Book Antiqua" w:hAnsi="Book Antiqua" w:cs="Arial"/>
        </w:rPr>
        <w:t>is well taken: it precedes the statutory provisions which form the basis of the present deportation regime.  I turn, therefore, to section 117C, inserted in the 2002 Act by the Immigration Act 2014</w:t>
      </w:r>
      <w:r w:rsidR="0031195B">
        <w:rPr>
          <w:rFonts w:ascii="Book Antiqua" w:hAnsi="Book Antiqua" w:cs="Arial"/>
        </w:rPr>
        <w:t>, and which replicates in statutory form the provisions of paragraphs 398 and 399A of the Immigration Rules HC 395 (as amended)</w:t>
      </w:r>
      <w:r w:rsidRPr="000360D3">
        <w:rPr>
          <w:rFonts w:ascii="Book Antiqua" w:hAnsi="Book Antiqua" w:cs="Arial"/>
        </w:rPr>
        <w:t>:</w:t>
      </w:r>
    </w:p>
    <w:p w:rsidR="00CF1FCE" w:rsidRPr="000360D3" w:rsidRDefault="00CF1FCE" w:rsidP="00CF1FCE">
      <w:pPr>
        <w:tabs>
          <w:tab w:val="left" w:pos="567"/>
        </w:tabs>
        <w:spacing w:before="240"/>
        <w:ind w:left="1134"/>
        <w:jc w:val="both"/>
        <w:rPr>
          <w:rFonts w:ascii="Book Antiqua" w:hAnsi="Book Antiqua" w:cs="Arial"/>
          <w:b/>
          <w:sz w:val="22"/>
        </w:rPr>
      </w:pPr>
      <w:r w:rsidRPr="000360D3">
        <w:rPr>
          <w:rFonts w:ascii="Book Antiqua" w:hAnsi="Book Antiqua" w:cs="Arial"/>
          <w:b/>
        </w:rPr>
        <w:t>“</w:t>
      </w:r>
      <w:r w:rsidRPr="000360D3">
        <w:rPr>
          <w:rFonts w:ascii="Book Antiqua" w:hAnsi="Book Antiqua" w:cs="Arial"/>
          <w:b/>
          <w:sz w:val="22"/>
        </w:rPr>
        <w:t>117C</w:t>
      </w:r>
      <w:r w:rsidRPr="000360D3">
        <w:rPr>
          <w:rFonts w:ascii="Book Antiqua" w:hAnsi="Book Antiqua" w:cs="Arial"/>
          <w:b/>
          <w:sz w:val="22"/>
        </w:rPr>
        <w:tab/>
        <w:t>Article 8: additional considerations in cases involving foreign criminals</w:t>
      </w:r>
    </w:p>
    <w:p w:rsidR="00CF1FCE" w:rsidRPr="000360D3" w:rsidRDefault="00CF1FCE" w:rsidP="00CF1FCE">
      <w:pPr>
        <w:tabs>
          <w:tab w:val="left" w:pos="567"/>
        </w:tabs>
        <w:spacing w:before="240"/>
        <w:ind w:left="1134"/>
        <w:jc w:val="both"/>
        <w:rPr>
          <w:rFonts w:ascii="Book Antiqua" w:hAnsi="Book Antiqua" w:cs="Arial"/>
          <w:sz w:val="22"/>
        </w:rPr>
      </w:pPr>
      <w:r w:rsidRPr="000360D3">
        <w:rPr>
          <w:rFonts w:ascii="Book Antiqua" w:hAnsi="Book Antiqua" w:cs="Arial"/>
          <w:sz w:val="22"/>
        </w:rPr>
        <w:t>(1)</w:t>
      </w:r>
      <w:r w:rsidRPr="000360D3">
        <w:rPr>
          <w:rFonts w:ascii="Book Antiqua" w:hAnsi="Book Antiqua" w:cs="Arial"/>
          <w:sz w:val="22"/>
        </w:rPr>
        <w:tab/>
        <w:t>The deportation of foreign criminals is in the public interest.</w:t>
      </w:r>
    </w:p>
    <w:p w:rsidR="00CF1FCE" w:rsidRPr="000360D3" w:rsidRDefault="00CF1FCE" w:rsidP="00CF1FCE">
      <w:pPr>
        <w:tabs>
          <w:tab w:val="left" w:pos="567"/>
        </w:tabs>
        <w:ind w:left="1134"/>
        <w:jc w:val="both"/>
        <w:rPr>
          <w:rFonts w:ascii="Book Antiqua" w:hAnsi="Book Antiqua" w:cs="Arial"/>
          <w:sz w:val="22"/>
        </w:rPr>
      </w:pPr>
      <w:r w:rsidRPr="000360D3">
        <w:rPr>
          <w:rFonts w:ascii="Book Antiqua" w:hAnsi="Book Antiqua" w:cs="Arial"/>
          <w:sz w:val="22"/>
        </w:rPr>
        <w:t>(2)</w:t>
      </w:r>
      <w:r w:rsidRPr="000360D3">
        <w:rPr>
          <w:rFonts w:ascii="Book Antiqua" w:hAnsi="Book Antiqua" w:cs="Arial"/>
          <w:sz w:val="22"/>
        </w:rPr>
        <w:tab/>
        <w:t>The more serious the offence committed by a foreign criminal, the greater is the public interest in deportation of the criminal.</w:t>
      </w:r>
    </w:p>
    <w:p w:rsidR="00CF1FCE" w:rsidRPr="000360D3" w:rsidRDefault="00CF1FCE" w:rsidP="00CF1FCE">
      <w:pPr>
        <w:tabs>
          <w:tab w:val="left" w:pos="567"/>
        </w:tabs>
        <w:ind w:left="1134"/>
        <w:jc w:val="both"/>
        <w:rPr>
          <w:rFonts w:ascii="Book Antiqua" w:hAnsi="Book Antiqua" w:cs="Arial"/>
          <w:sz w:val="22"/>
        </w:rPr>
      </w:pPr>
      <w:r w:rsidRPr="000360D3">
        <w:rPr>
          <w:rFonts w:ascii="Book Antiqua" w:hAnsi="Book Antiqua" w:cs="Arial"/>
          <w:sz w:val="22"/>
        </w:rPr>
        <w:t>(3)</w:t>
      </w:r>
      <w:r w:rsidRPr="000360D3">
        <w:rPr>
          <w:rFonts w:ascii="Book Antiqua" w:hAnsi="Book Antiqua" w:cs="Arial"/>
          <w:sz w:val="22"/>
        </w:rPr>
        <w:tab/>
        <w:t>In the case of a foreign criminal (“C”) who has not been sentenced to a period of imprisonment of four years or more, the public interest requires C’s deportation unless Exception 1 or Exception 2 applies.</w:t>
      </w:r>
    </w:p>
    <w:p w:rsidR="00CF1FCE" w:rsidRPr="000360D3" w:rsidRDefault="00CF1FCE" w:rsidP="00CF1FCE">
      <w:pPr>
        <w:tabs>
          <w:tab w:val="left" w:pos="567"/>
        </w:tabs>
        <w:ind w:left="1134"/>
        <w:jc w:val="both"/>
        <w:rPr>
          <w:rFonts w:ascii="Book Antiqua" w:hAnsi="Book Antiqua" w:cs="Arial"/>
          <w:sz w:val="22"/>
        </w:rPr>
      </w:pPr>
      <w:r w:rsidRPr="000360D3">
        <w:rPr>
          <w:rFonts w:ascii="Book Antiqua" w:hAnsi="Book Antiqua" w:cs="Arial"/>
          <w:sz w:val="22"/>
        </w:rPr>
        <w:t>(4)</w:t>
      </w:r>
      <w:r w:rsidRPr="000360D3">
        <w:rPr>
          <w:rFonts w:ascii="Book Antiqua" w:hAnsi="Book Antiqua" w:cs="Arial"/>
          <w:sz w:val="22"/>
        </w:rPr>
        <w:tab/>
        <w:t>Exception 1 applies where—</w:t>
      </w:r>
    </w:p>
    <w:p w:rsidR="00CF1FCE" w:rsidRPr="000360D3" w:rsidRDefault="00CF1FCE" w:rsidP="00CF1FCE">
      <w:pPr>
        <w:tabs>
          <w:tab w:val="left" w:pos="567"/>
        </w:tabs>
        <w:ind w:left="1701"/>
        <w:jc w:val="both"/>
        <w:rPr>
          <w:rFonts w:ascii="Book Antiqua" w:hAnsi="Book Antiqua" w:cs="Arial"/>
          <w:sz w:val="22"/>
        </w:rPr>
      </w:pPr>
      <w:r w:rsidRPr="000360D3">
        <w:rPr>
          <w:rFonts w:ascii="Book Antiqua" w:hAnsi="Book Antiqua" w:cs="Arial"/>
          <w:sz w:val="22"/>
        </w:rPr>
        <w:t>(a)</w:t>
      </w:r>
      <w:r w:rsidRPr="000360D3">
        <w:rPr>
          <w:rFonts w:ascii="Book Antiqua" w:hAnsi="Book Antiqua" w:cs="Arial"/>
          <w:sz w:val="22"/>
        </w:rPr>
        <w:tab/>
        <w:t>C has been lawfully resident in the United Kingdom for most of C’s life,</w:t>
      </w:r>
    </w:p>
    <w:p w:rsidR="00CF1FCE" w:rsidRPr="000360D3" w:rsidRDefault="00CF1FCE" w:rsidP="00CF1FCE">
      <w:pPr>
        <w:tabs>
          <w:tab w:val="left" w:pos="567"/>
        </w:tabs>
        <w:ind w:left="1701"/>
        <w:jc w:val="both"/>
        <w:rPr>
          <w:rFonts w:ascii="Book Antiqua" w:hAnsi="Book Antiqua" w:cs="Arial"/>
          <w:sz w:val="22"/>
        </w:rPr>
      </w:pPr>
      <w:r w:rsidRPr="000360D3">
        <w:rPr>
          <w:rFonts w:ascii="Book Antiqua" w:hAnsi="Book Antiqua" w:cs="Arial"/>
          <w:sz w:val="22"/>
        </w:rPr>
        <w:t>(b)</w:t>
      </w:r>
      <w:r w:rsidRPr="000360D3">
        <w:rPr>
          <w:rFonts w:ascii="Book Antiqua" w:hAnsi="Book Antiqua" w:cs="Arial"/>
          <w:sz w:val="22"/>
        </w:rPr>
        <w:tab/>
        <w:t>C is socially and culturally integrated in the United Kingdom, and</w:t>
      </w:r>
    </w:p>
    <w:p w:rsidR="00CF1FCE" w:rsidRPr="000360D3" w:rsidRDefault="00CF1FCE" w:rsidP="00CF1FCE">
      <w:pPr>
        <w:tabs>
          <w:tab w:val="left" w:pos="567"/>
        </w:tabs>
        <w:ind w:left="1701"/>
        <w:jc w:val="both"/>
        <w:rPr>
          <w:rFonts w:ascii="Book Antiqua" w:hAnsi="Book Antiqua" w:cs="Arial"/>
          <w:sz w:val="22"/>
        </w:rPr>
      </w:pPr>
      <w:r w:rsidRPr="000360D3">
        <w:rPr>
          <w:rFonts w:ascii="Book Antiqua" w:hAnsi="Book Antiqua" w:cs="Arial"/>
          <w:sz w:val="22"/>
        </w:rPr>
        <w:t>(c)</w:t>
      </w:r>
      <w:r w:rsidRPr="000360D3">
        <w:rPr>
          <w:rFonts w:ascii="Book Antiqua" w:hAnsi="Book Antiqua" w:cs="Arial"/>
          <w:sz w:val="22"/>
        </w:rPr>
        <w:tab/>
        <w:t>there would be very significant obstacles to C’s integration into the country to which C is proposed to be deported.</w:t>
      </w:r>
    </w:p>
    <w:p w:rsidR="00CF1FCE" w:rsidRPr="000360D3" w:rsidRDefault="00CF1FCE" w:rsidP="00CF1FCE">
      <w:pPr>
        <w:tabs>
          <w:tab w:val="left" w:pos="567"/>
        </w:tabs>
        <w:ind w:left="1134"/>
        <w:jc w:val="both"/>
        <w:rPr>
          <w:rFonts w:ascii="Book Antiqua" w:hAnsi="Book Antiqua" w:cs="Arial"/>
          <w:sz w:val="22"/>
        </w:rPr>
      </w:pPr>
      <w:r w:rsidRPr="000360D3">
        <w:rPr>
          <w:rFonts w:ascii="Book Antiqua" w:hAnsi="Book Antiqua" w:cs="Arial"/>
          <w:sz w:val="22"/>
        </w:rPr>
        <w:t>(5)</w:t>
      </w:r>
      <w:r w:rsidRPr="000360D3">
        <w:rPr>
          <w:rFonts w:ascii="Book Antiqua" w:hAnsi="Book Antiqua" w:cs="Arial"/>
          <w:sz w:val="22"/>
        </w:rPr>
        <w:tab/>
        <w:t>Exception 2 applies where C has a genuine and subsisting relationship with a qualifying partner, or a genuine and subsisting parental relationship with a qualifying child, and the effect of C’s deportation on the partner or child would be unduly harsh.</w:t>
      </w:r>
    </w:p>
    <w:p w:rsidR="00CF1FCE" w:rsidRPr="000360D3" w:rsidRDefault="00CF1FCE" w:rsidP="00CF1FCE">
      <w:pPr>
        <w:tabs>
          <w:tab w:val="left" w:pos="567"/>
        </w:tabs>
        <w:ind w:left="1134"/>
        <w:jc w:val="both"/>
        <w:rPr>
          <w:rFonts w:ascii="Book Antiqua" w:hAnsi="Book Antiqua" w:cs="Arial"/>
        </w:rPr>
      </w:pPr>
      <w:r w:rsidRPr="000360D3">
        <w:rPr>
          <w:rFonts w:ascii="Book Antiqua" w:hAnsi="Book Antiqua" w:cs="Arial"/>
          <w:sz w:val="22"/>
        </w:rPr>
        <w:t>(6)</w:t>
      </w:r>
      <w:r w:rsidRPr="000360D3">
        <w:rPr>
          <w:rFonts w:ascii="Book Antiqua" w:hAnsi="Book Antiqua" w:cs="Arial"/>
          <w:sz w:val="22"/>
        </w:rPr>
        <w:tab/>
        <w:t>In the case of a foreign criminal who has been sentenced to a period of imprisonment of at least four years, the public interest requires deportation unless there are very compelling circumstances, over and above those described in Exceptions 1 and 2</w:t>
      </w:r>
      <w:r w:rsidRPr="000360D3">
        <w:rPr>
          <w:rFonts w:ascii="Book Antiqua" w:hAnsi="Book Antiqua" w:cs="Arial"/>
        </w:rPr>
        <w:t>.”</w:t>
      </w:r>
    </w:p>
    <w:p w:rsidR="00CF1FCE" w:rsidRPr="000360D3" w:rsidRDefault="00CF1FCE" w:rsidP="00CF1FCE">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Dealing </w:t>
      </w:r>
      <w:proofErr w:type="gramStart"/>
      <w:r w:rsidRPr="000360D3">
        <w:rPr>
          <w:rFonts w:ascii="Book Antiqua" w:hAnsi="Book Antiqua" w:cs="Arial"/>
        </w:rPr>
        <w:t>Class</w:t>
      </w:r>
      <w:proofErr w:type="gramEnd"/>
      <w:r w:rsidRPr="000360D3">
        <w:rPr>
          <w:rFonts w:ascii="Book Antiqua" w:hAnsi="Book Antiqua" w:cs="Arial"/>
        </w:rPr>
        <w:t xml:space="preserve"> A drugs is a very serious offence, and I bear in mind that deportation of foreign criminals is stated to be in the public interest.  The matters concerning the bond between the </w:t>
      </w:r>
      <w:r w:rsidR="000360D3" w:rsidRPr="000360D3">
        <w:rPr>
          <w:rFonts w:ascii="Book Antiqua" w:hAnsi="Book Antiqua" w:cs="Arial"/>
        </w:rPr>
        <w:t>claimant</w:t>
      </w:r>
      <w:r w:rsidRPr="000360D3">
        <w:rPr>
          <w:rFonts w:ascii="Book Antiqua" w:hAnsi="Book Antiqua" w:cs="Arial"/>
        </w:rPr>
        <w:t xml:space="preserve"> and his young son, and his wife’s mental health difficulties, </w:t>
      </w:r>
      <w:r w:rsidR="000360D3" w:rsidRPr="000360D3">
        <w:rPr>
          <w:rFonts w:ascii="Book Antiqua" w:hAnsi="Book Antiqua" w:cs="Arial"/>
        </w:rPr>
        <w:t>come within Exception 2.  Both Exceptions are met, as Mr Tufan has conceded.</w:t>
      </w:r>
    </w:p>
    <w:p w:rsidR="000360D3" w:rsidRPr="000360D3" w:rsidRDefault="0031195B" w:rsidP="000360D3">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lastRenderedPageBreak/>
        <w:t>I</w:t>
      </w:r>
      <w:r w:rsidR="000360D3" w:rsidRPr="000360D3">
        <w:rPr>
          <w:rFonts w:ascii="Book Antiqua" w:hAnsi="Book Antiqua" w:cs="Arial"/>
        </w:rPr>
        <w:t xml:space="preserve"> turn </w:t>
      </w:r>
      <w:r>
        <w:rPr>
          <w:rFonts w:ascii="Book Antiqua" w:hAnsi="Book Antiqua" w:cs="Arial"/>
        </w:rPr>
        <w:t xml:space="preserve">next </w:t>
      </w:r>
      <w:r w:rsidR="000360D3" w:rsidRPr="000360D3">
        <w:rPr>
          <w:rFonts w:ascii="Book Antiqua" w:hAnsi="Book Antiqua" w:cs="Arial"/>
        </w:rPr>
        <w:t>to subsection 117</w:t>
      </w:r>
      <w:proofErr w:type="gramStart"/>
      <w:r w:rsidR="000360D3" w:rsidRPr="000360D3">
        <w:rPr>
          <w:rFonts w:ascii="Book Antiqua" w:hAnsi="Book Antiqua" w:cs="Arial"/>
        </w:rPr>
        <w:t>C(</w:t>
      </w:r>
      <w:proofErr w:type="gramEnd"/>
      <w:r w:rsidR="000360D3" w:rsidRPr="000360D3">
        <w:rPr>
          <w:rFonts w:ascii="Book Antiqua" w:hAnsi="Book Antiqua" w:cs="Arial"/>
        </w:rPr>
        <w:t>6), which is at the heart of this appeal.  The First-tier Tribunal Judge did not address her mind adequately to that subsection, and nothing in her findings amounts, or is capable of amounting, to ‘very compelling circumstances over and above those described in Exceptions 1 and 2’.</w:t>
      </w:r>
    </w:p>
    <w:p w:rsidR="000360D3" w:rsidRPr="000360D3" w:rsidRDefault="000360D3" w:rsidP="000360D3">
      <w:pPr>
        <w:numPr>
          <w:ilvl w:val="0"/>
          <w:numId w:val="1"/>
        </w:numPr>
        <w:tabs>
          <w:tab w:val="clear" w:pos="720"/>
          <w:tab w:val="num" w:pos="360"/>
          <w:tab w:val="left" w:pos="567"/>
        </w:tabs>
        <w:spacing w:before="240"/>
        <w:ind w:left="360"/>
        <w:jc w:val="both"/>
        <w:rPr>
          <w:rFonts w:ascii="Book Antiqua" w:hAnsi="Book Antiqua" w:cs="Arial"/>
        </w:rPr>
      </w:pPr>
      <w:r w:rsidRPr="000360D3">
        <w:rPr>
          <w:rFonts w:ascii="Book Antiqua" w:hAnsi="Book Antiqua" w:cs="Arial"/>
        </w:rPr>
        <w:t xml:space="preserve">Accordingly, this decision will be set aside and remade by dismissing the claimant’s appeal. </w:t>
      </w:r>
    </w:p>
    <w:p w:rsidR="00CF1FCE" w:rsidRPr="000360D3" w:rsidRDefault="00CF1FCE" w:rsidP="00BF23BB">
      <w:pPr>
        <w:tabs>
          <w:tab w:val="left" w:pos="567"/>
        </w:tabs>
        <w:ind w:left="567" w:hanging="567"/>
        <w:jc w:val="both"/>
        <w:rPr>
          <w:rFonts w:ascii="Book Antiqua" w:hAnsi="Book Antiqua" w:cs="Arial"/>
          <w:b/>
        </w:rPr>
      </w:pPr>
    </w:p>
    <w:p w:rsidR="00306236" w:rsidRPr="000360D3" w:rsidRDefault="00306236" w:rsidP="00BF23BB">
      <w:pPr>
        <w:tabs>
          <w:tab w:val="left" w:pos="567"/>
        </w:tabs>
        <w:ind w:left="567" w:hanging="567"/>
        <w:jc w:val="both"/>
        <w:rPr>
          <w:rFonts w:ascii="Book Antiqua" w:hAnsi="Book Antiqua" w:cs="Arial"/>
        </w:rPr>
      </w:pPr>
      <w:r w:rsidRPr="000360D3">
        <w:rPr>
          <w:rFonts w:ascii="Book Antiqua" w:hAnsi="Book Antiqua" w:cs="Arial"/>
          <w:b/>
        </w:rPr>
        <w:t>DECISION</w:t>
      </w:r>
    </w:p>
    <w:p w:rsidR="001F2716" w:rsidRPr="000360D3" w:rsidRDefault="001F2716" w:rsidP="00780F86">
      <w:pPr>
        <w:ind w:left="540" w:hanging="540"/>
        <w:jc w:val="both"/>
        <w:rPr>
          <w:rFonts w:ascii="Book Antiqua" w:hAnsi="Book Antiqua" w:cs="Arial"/>
        </w:rPr>
      </w:pPr>
    </w:p>
    <w:p w:rsidR="00306236" w:rsidRPr="000360D3" w:rsidRDefault="00306236" w:rsidP="00306236">
      <w:pPr>
        <w:numPr>
          <w:ilvl w:val="0"/>
          <w:numId w:val="1"/>
        </w:numPr>
        <w:tabs>
          <w:tab w:val="clear" w:pos="720"/>
          <w:tab w:val="num" w:pos="360"/>
          <w:tab w:val="left" w:pos="567"/>
        </w:tabs>
        <w:ind w:left="360"/>
        <w:jc w:val="both"/>
        <w:rPr>
          <w:rFonts w:ascii="Book Antiqua" w:hAnsi="Book Antiqua" w:cs="Arial"/>
        </w:rPr>
      </w:pPr>
      <w:r w:rsidRPr="000360D3">
        <w:rPr>
          <w:rFonts w:ascii="Book Antiqua" w:hAnsi="Book Antiqua" w:cs="Arial"/>
        </w:rPr>
        <w:t>For the foregoing reasons, my decision is as follows:</w:t>
      </w:r>
    </w:p>
    <w:p w:rsidR="00306236" w:rsidRPr="000360D3" w:rsidRDefault="00306236" w:rsidP="00306236">
      <w:pPr>
        <w:tabs>
          <w:tab w:val="left" w:pos="567"/>
        </w:tabs>
        <w:ind w:left="360"/>
        <w:jc w:val="both"/>
        <w:rPr>
          <w:rFonts w:ascii="Book Antiqua" w:hAnsi="Book Antiqua" w:cs="Arial"/>
        </w:rPr>
      </w:pPr>
      <w:r w:rsidRPr="000360D3">
        <w:rPr>
          <w:rFonts w:ascii="Book Antiqua" w:hAnsi="Book Antiqua" w:cs="Arial"/>
        </w:rPr>
        <w:t xml:space="preserve">The making of the previous decision involved the making of an error on a point of law.   </w:t>
      </w:r>
    </w:p>
    <w:p w:rsidR="00306236" w:rsidRPr="000360D3" w:rsidRDefault="00306236" w:rsidP="00306236">
      <w:pPr>
        <w:tabs>
          <w:tab w:val="left" w:pos="567"/>
        </w:tabs>
        <w:ind w:left="360"/>
        <w:jc w:val="both"/>
        <w:rPr>
          <w:rFonts w:ascii="Book Antiqua" w:hAnsi="Book Antiqua" w:cs="Arial"/>
        </w:rPr>
      </w:pPr>
      <w:r w:rsidRPr="000360D3">
        <w:rPr>
          <w:rFonts w:ascii="Book Antiqua" w:hAnsi="Book Antiqua" w:cs="Arial"/>
        </w:rPr>
        <w:t xml:space="preserve">I set aside the previous decision.  </w:t>
      </w:r>
      <w:r w:rsidR="00D51814" w:rsidRPr="000360D3">
        <w:rPr>
          <w:rFonts w:ascii="Book Antiqua" w:hAnsi="Book Antiqua" w:cs="Arial"/>
        </w:rPr>
        <w:t xml:space="preserve">I remake the decision by </w:t>
      </w:r>
      <w:r w:rsidR="000360D3" w:rsidRPr="000360D3">
        <w:rPr>
          <w:rFonts w:ascii="Book Antiqua" w:hAnsi="Book Antiqua" w:cs="Arial"/>
        </w:rPr>
        <w:t>dismissing the appeal</w:t>
      </w:r>
      <w:r w:rsidR="00D51814" w:rsidRPr="000360D3">
        <w:rPr>
          <w:rFonts w:ascii="Book Antiqua" w:hAnsi="Book Antiqua" w:cs="Arial"/>
        </w:rPr>
        <w:t xml:space="preserve">.   </w:t>
      </w:r>
    </w:p>
    <w:p w:rsidR="00D51814" w:rsidRPr="000360D3" w:rsidRDefault="00D51814" w:rsidP="00306236">
      <w:pPr>
        <w:tabs>
          <w:tab w:val="left" w:pos="567"/>
        </w:tabs>
        <w:ind w:left="360"/>
        <w:jc w:val="both"/>
        <w:rPr>
          <w:rFonts w:ascii="Book Antiqua" w:hAnsi="Book Antiqua" w:cs="Arial"/>
        </w:rPr>
      </w:pPr>
    </w:p>
    <w:p w:rsidR="009F5220" w:rsidRPr="000360D3" w:rsidRDefault="009F5220" w:rsidP="00780F86">
      <w:pPr>
        <w:ind w:left="540" w:hanging="540"/>
        <w:jc w:val="both"/>
        <w:rPr>
          <w:rFonts w:ascii="Book Antiqua" w:hAnsi="Book Antiqua" w:cs="Arial"/>
        </w:rPr>
      </w:pPr>
    </w:p>
    <w:p w:rsidR="00B95326" w:rsidRPr="00F97703" w:rsidRDefault="00306236" w:rsidP="00090EA8">
      <w:pPr>
        <w:rPr>
          <w:rFonts w:ascii="Book Antiqua" w:hAnsi="Book Antiqua" w:cs="Arial"/>
          <w:color w:val="000000"/>
        </w:rPr>
      </w:pPr>
      <w:r w:rsidRPr="000360D3">
        <w:rPr>
          <w:rFonts w:ascii="Book Antiqua" w:hAnsi="Book Antiqua" w:cs="Arial"/>
        </w:rPr>
        <w:t>Date:</w:t>
      </w:r>
      <w:r w:rsidR="00AD7978" w:rsidRPr="000360D3">
        <w:rPr>
          <w:rFonts w:ascii="Book Antiqua" w:hAnsi="Book Antiqua" w:cs="Arial"/>
        </w:rPr>
        <w:tab/>
      </w:r>
      <w:r w:rsidRPr="000360D3">
        <w:rPr>
          <w:rFonts w:ascii="Book Antiqua" w:hAnsi="Book Antiqua" w:cs="Arial"/>
        </w:rPr>
        <w:tab/>
      </w:r>
      <w:r w:rsidR="000360D3" w:rsidRPr="000360D3">
        <w:rPr>
          <w:rFonts w:ascii="Book Antiqua" w:hAnsi="Book Antiqua" w:cs="Arial"/>
        </w:rPr>
        <w:t>16 May 2018</w:t>
      </w:r>
      <w:r w:rsidR="00185211" w:rsidRPr="000360D3">
        <w:rPr>
          <w:rFonts w:ascii="Book Antiqua" w:hAnsi="Book Antiqua" w:cs="Arial"/>
        </w:rPr>
        <w:tab/>
      </w:r>
      <w:r w:rsidR="00185211" w:rsidRPr="000360D3">
        <w:rPr>
          <w:rFonts w:ascii="Book Antiqua" w:hAnsi="Book Antiqua" w:cs="Arial"/>
        </w:rPr>
        <w:tab/>
      </w:r>
      <w:r w:rsidRPr="000360D3">
        <w:rPr>
          <w:rFonts w:ascii="Book Antiqua" w:hAnsi="Book Antiqua" w:cs="Arial"/>
        </w:rPr>
        <w:tab/>
      </w:r>
      <w:r w:rsidRPr="000360D3">
        <w:rPr>
          <w:rFonts w:ascii="Book Antiqua" w:hAnsi="Book Antiqua" w:cs="Arial"/>
        </w:rPr>
        <w:tab/>
      </w:r>
      <w:r w:rsidR="00780F86" w:rsidRPr="000360D3">
        <w:rPr>
          <w:rFonts w:ascii="Book Antiqua" w:hAnsi="Book Antiqua" w:cs="Arial"/>
        </w:rPr>
        <w:t>Signed</w:t>
      </w:r>
      <w:r w:rsidR="00780F86" w:rsidRPr="000360D3">
        <w:rPr>
          <w:rFonts w:ascii="Book Antiqua" w:hAnsi="Book Antiqua" w:cs="Arial"/>
        </w:rPr>
        <w:tab/>
      </w:r>
      <w:r w:rsidR="00185211" w:rsidRPr="000360D3">
        <w:rPr>
          <w:rFonts w:ascii="Rage Italic" w:hAnsi="Rage Italic" w:cs="Arial"/>
          <w:color w:val="0070C0"/>
          <w:sz w:val="36"/>
          <w:szCs w:val="28"/>
        </w:rPr>
        <w:t>Judith AJC Gleeson</w:t>
      </w:r>
      <w:r w:rsidR="00780F86" w:rsidRPr="000360D3">
        <w:rPr>
          <w:rFonts w:ascii="Book Antiqua" w:hAnsi="Book Antiqua" w:cs="Arial"/>
        </w:rPr>
        <w:tab/>
      </w:r>
      <w:r w:rsidR="00780F86" w:rsidRPr="000360D3">
        <w:rPr>
          <w:rFonts w:ascii="Book Antiqua" w:hAnsi="Book Antiqua" w:cs="Arial"/>
        </w:rPr>
        <w:tab/>
      </w:r>
      <w:r w:rsidR="00780F86" w:rsidRPr="000360D3">
        <w:rPr>
          <w:rFonts w:ascii="Book Antiqua" w:hAnsi="Book Antiqua" w:cs="Arial"/>
        </w:rPr>
        <w:tab/>
      </w:r>
      <w:r w:rsidR="00780F86" w:rsidRPr="000360D3">
        <w:rPr>
          <w:rFonts w:ascii="Book Antiqua" w:hAnsi="Book Antiqua" w:cs="Arial"/>
        </w:rPr>
        <w:tab/>
      </w:r>
      <w:r w:rsidR="00185211" w:rsidRPr="000360D3">
        <w:rPr>
          <w:rFonts w:ascii="Book Antiqua" w:hAnsi="Book Antiqua" w:cs="Arial"/>
        </w:rPr>
        <w:tab/>
      </w:r>
      <w:r w:rsidR="00185211" w:rsidRPr="000360D3">
        <w:rPr>
          <w:rFonts w:ascii="Book Antiqua" w:hAnsi="Book Antiqua" w:cs="Arial"/>
        </w:rPr>
        <w:tab/>
      </w:r>
      <w:r w:rsidR="00185211" w:rsidRPr="000360D3">
        <w:rPr>
          <w:rFonts w:ascii="Book Antiqua" w:hAnsi="Book Antiqua" w:cs="Arial"/>
        </w:rPr>
        <w:tab/>
      </w:r>
      <w:r w:rsidR="00185211" w:rsidRPr="000360D3">
        <w:rPr>
          <w:rFonts w:ascii="Book Antiqua" w:hAnsi="Book Antiqua" w:cs="Arial"/>
        </w:rPr>
        <w:tab/>
      </w:r>
      <w:r w:rsidR="00185211" w:rsidRPr="000360D3">
        <w:rPr>
          <w:rFonts w:ascii="Book Antiqua" w:hAnsi="Book Antiqua" w:cs="Arial"/>
        </w:rPr>
        <w:tab/>
      </w:r>
      <w:r w:rsidR="00185211" w:rsidRPr="000360D3">
        <w:rPr>
          <w:rFonts w:ascii="Book Antiqua" w:hAnsi="Book Antiqua" w:cs="Arial"/>
        </w:rPr>
        <w:tab/>
      </w:r>
      <w:r w:rsidR="00AD7978" w:rsidRPr="000360D3">
        <w:rPr>
          <w:rFonts w:ascii="Book Antiqua" w:hAnsi="Book Antiqua" w:cs="Arial"/>
        </w:rPr>
        <w:tab/>
      </w:r>
      <w:r w:rsidR="00185211" w:rsidRPr="000360D3">
        <w:rPr>
          <w:rFonts w:ascii="Book Antiqua" w:hAnsi="Book Antiqua" w:cs="Arial"/>
        </w:rPr>
        <w:tab/>
      </w:r>
      <w:r w:rsidR="00AD7978" w:rsidRPr="000360D3">
        <w:rPr>
          <w:rFonts w:ascii="Book Antiqua" w:hAnsi="Book Antiqua" w:cs="Arial"/>
        </w:rPr>
        <w:t xml:space="preserve">Upper Tribunal </w:t>
      </w:r>
      <w:r w:rsidRPr="000360D3">
        <w:rPr>
          <w:rFonts w:ascii="Book Antiqua" w:hAnsi="Book Antiqua" w:cs="Arial"/>
        </w:rPr>
        <w:t xml:space="preserve">Judge Gleeson </w:t>
      </w:r>
    </w:p>
    <w:sectPr w:rsidR="00B95326" w:rsidRPr="00F97703" w:rsidSect="00992229">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FC1" w:rsidRDefault="004F5FC1">
      <w:r>
        <w:separator/>
      </w:r>
    </w:p>
  </w:endnote>
  <w:endnote w:type="continuationSeparator" w:id="0">
    <w:p w:rsidR="004F5FC1" w:rsidRDefault="004F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CE" w:rsidRPr="0061127B" w:rsidRDefault="00CF1FCE" w:rsidP="00593795">
    <w:pPr>
      <w:pStyle w:val="Footer"/>
      <w:jc w:val="center"/>
      <w:rPr>
        <w:rFonts w:ascii="Book Antiqua" w:hAnsi="Book Antiqua" w:cs="Arial"/>
      </w:rPr>
    </w:pPr>
    <w:r w:rsidRPr="0061127B">
      <w:rPr>
        <w:rStyle w:val="PageNumber"/>
        <w:rFonts w:ascii="Book Antiqua" w:hAnsi="Book Antiqua" w:cs="Arial"/>
      </w:rPr>
      <w:fldChar w:fldCharType="begin"/>
    </w:r>
    <w:r w:rsidRPr="0061127B">
      <w:rPr>
        <w:rStyle w:val="PageNumber"/>
        <w:rFonts w:ascii="Book Antiqua" w:hAnsi="Book Antiqua" w:cs="Arial"/>
      </w:rPr>
      <w:instrText xml:space="preserve"> PAGE </w:instrText>
    </w:r>
    <w:r w:rsidRPr="0061127B">
      <w:rPr>
        <w:rStyle w:val="PageNumber"/>
        <w:rFonts w:ascii="Book Antiqua" w:hAnsi="Book Antiqua" w:cs="Arial"/>
      </w:rPr>
      <w:fldChar w:fldCharType="separate"/>
    </w:r>
    <w:r w:rsidR="00A377BA">
      <w:rPr>
        <w:rStyle w:val="PageNumber"/>
        <w:rFonts w:ascii="Book Antiqua" w:hAnsi="Book Antiqua" w:cs="Arial"/>
        <w:noProof/>
      </w:rPr>
      <w:t>5</w:t>
    </w:r>
    <w:r w:rsidRPr="0061127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CE" w:rsidRPr="0061127B" w:rsidRDefault="00CF1FCE" w:rsidP="00090CF9">
    <w:pPr>
      <w:jc w:val="center"/>
      <w:rPr>
        <w:rFonts w:ascii="Book Antiqua" w:hAnsi="Book Antiqua" w:cs="Arial"/>
        <w:b/>
      </w:rPr>
    </w:pPr>
    <w:r w:rsidRPr="0061127B">
      <w:rPr>
        <w:rFonts w:ascii="Book Antiqua" w:hAnsi="Book Antiqua" w:cs="Arial"/>
        <w:b/>
        <w:spacing w:val="-6"/>
      </w:rPr>
      <w:t>©</w:t>
    </w:r>
    <w:r w:rsidRPr="0061127B">
      <w:rPr>
        <w:rFonts w:ascii="Book Antiqua" w:hAnsi="Book Antiqua" w:cs="Arial"/>
        <w:b/>
      </w:rPr>
      <w:t xml:space="preserve"> CROWN COPYRIGHT </w:t>
    </w:r>
    <w:r w:rsidRPr="0061127B">
      <w:rPr>
        <w:rFonts w:ascii="Book Antiqua" w:hAnsi="Book Antiqua" w:cs="Arial"/>
        <w:b/>
      </w:rPr>
      <w:fldChar w:fldCharType="begin"/>
    </w:r>
    <w:r w:rsidRPr="0061127B">
      <w:rPr>
        <w:rFonts w:ascii="Book Antiqua" w:hAnsi="Book Antiqua" w:cs="Arial"/>
        <w:b/>
      </w:rPr>
      <w:instrText xml:space="preserve"> DATE  \@ "yyyy" </w:instrText>
    </w:r>
    <w:r w:rsidRPr="0061127B">
      <w:rPr>
        <w:rFonts w:ascii="Book Antiqua" w:hAnsi="Book Antiqua" w:cs="Arial"/>
        <w:b/>
      </w:rPr>
      <w:fldChar w:fldCharType="separate"/>
    </w:r>
    <w:r w:rsidR="00992229" w:rsidRPr="0061127B">
      <w:rPr>
        <w:rFonts w:ascii="Book Antiqua" w:hAnsi="Book Antiqua" w:cs="Arial"/>
        <w:b/>
        <w:noProof/>
      </w:rPr>
      <w:t>2018</w:t>
    </w:r>
    <w:r w:rsidRPr="0061127B">
      <w:rPr>
        <w:rFonts w:ascii="Book Antiqua" w:hAnsi="Book Antiqua"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FC1" w:rsidRDefault="004F5FC1">
      <w:r>
        <w:separator/>
      </w:r>
    </w:p>
  </w:footnote>
  <w:footnote w:type="continuationSeparator" w:id="0">
    <w:p w:rsidR="004F5FC1" w:rsidRDefault="004F5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FCE" w:rsidRDefault="00CF1FCE" w:rsidP="00593795">
    <w:pPr>
      <w:pStyle w:val="Header"/>
      <w:jc w:val="right"/>
      <w:rPr>
        <w:rFonts w:ascii="Book Antiqua" w:hAnsi="Book Antiqua" w:cs="Arial"/>
        <w:sz w:val="16"/>
        <w:szCs w:val="16"/>
      </w:rPr>
    </w:pPr>
    <w:r w:rsidRPr="0061127B">
      <w:rPr>
        <w:rFonts w:ascii="Book Antiqua" w:hAnsi="Book Antiqua" w:cs="Arial"/>
        <w:sz w:val="16"/>
        <w:szCs w:val="16"/>
      </w:rPr>
      <w:t xml:space="preserve">Appeal Number:  HU/08632/2017 </w:t>
    </w:r>
  </w:p>
  <w:p w:rsidR="0061127B" w:rsidRPr="0061127B" w:rsidRDefault="0061127B"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77"/>
    <w:rsid w:val="00000621"/>
    <w:rsid w:val="000036C2"/>
    <w:rsid w:val="000060DE"/>
    <w:rsid w:val="0001792C"/>
    <w:rsid w:val="00021C88"/>
    <w:rsid w:val="00033D3D"/>
    <w:rsid w:val="000360D3"/>
    <w:rsid w:val="00057601"/>
    <w:rsid w:val="00062F02"/>
    <w:rsid w:val="00071A7E"/>
    <w:rsid w:val="000746C0"/>
    <w:rsid w:val="00074D1D"/>
    <w:rsid w:val="00090CF9"/>
    <w:rsid w:val="00090EA8"/>
    <w:rsid w:val="00092580"/>
    <w:rsid w:val="00093D4D"/>
    <w:rsid w:val="000D0CB5"/>
    <w:rsid w:val="000D5D94"/>
    <w:rsid w:val="000E01B8"/>
    <w:rsid w:val="000F1A0E"/>
    <w:rsid w:val="00113ECC"/>
    <w:rsid w:val="001165A7"/>
    <w:rsid w:val="00167D3A"/>
    <w:rsid w:val="00185211"/>
    <w:rsid w:val="001A3082"/>
    <w:rsid w:val="001B186A"/>
    <w:rsid w:val="001B2F75"/>
    <w:rsid w:val="001B3ABC"/>
    <w:rsid w:val="001C5C75"/>
    <w:rsid w:val="001F2716"/>
    <w:rsid w:val="00201E53"/>
    <w:rsid w:val="00207617"/>
    <w:rsid w:val="0023134B"/>
    <w:rsid w:val="0026015E"/>
    <w:rsid w:val="002667BE"/>
    <w:rsid w:val="00270E13"/>
    <w:rsid w:val="00283659"/>
    <w:rsid w:val="002B243C"/>
    <w:rsid w:val="002B5149"/>
    <w:rsid w:val="002C650D"/>
    <w:rsid w:val="002C6BD4"/>
    <w:rsid w:val="002D68BF"/>
    <w:rsid w:val="002F6B98"/>
    <w:rsid w:val="00306236"/>
    <w:rsid w:val="0031195B"/>
    <w:rsid w:val="00336CBF"/>
    <w:rsid w:val="00343FE3"/>
    <w:rsid w:val="003546C8"/>
    <w:rsid w:val="003A7CF2"/>
    <w:rsid w:val="003C5CE5"/>
    <w:rsid w:val="003E267B"/>
    <w:rsid w:val="003E3BB6"/>
    <w:rsid w:val="003E5773"/>
    <w:rsid w:val="003E7CD1"/>
    <w:rsid w:val="00402B9E"/>
    <w:rsid w:val="00412857"/>
    <w:rsid w:val="00420643"/>
    <w:rsid w:val="004249CB"/>
    <w:rsid w:val="00436115"/>
    <w:rsid w:val="0044127D"/>
    <w:rsid w:val="004448DB"/>
    <w:rsid w:val="00446C9A"/>
    <w:rsid w:val="00452F2B"/>
    <w:rsid w:val="00477193"/>
    <w:rsid w:val="00496861"/>
    <w:rsid w:val="004A1848"/>
    <w:rsid w:val="004A6F4A"/>
    <w:rsid w:val="004E4717"/>
    <w:rsid w:val="004F5FC1"/>
    <w:rsid w:val="005035E7"/>
    <w:rsid w:val="00507FEC"/>
    <w:rsid w:val="00510F0E"/>
    <w:rsid w:val="005479E1"/>
    <w:rsid w:val="00553E0A"/>
    <w:rsid w:val="005570FD"/>
    <w:rsid w:val="005575EA"/>
    <w:rsid w:val="0057790C"/>
    <w:rsid w:val="00593795"/>
    <w:rsid w:val="00593821"/>
    <w:rsid w:val="005A3B95"/>
    <w:rsid w:val="005A549B"/>
    <w:rsid w:val="005A75FF"/>
    <w:rsid w:val="005D10AB"/>
    <w:rsid w:val="005F1F19"/>
    <w:rsid w:val="00601D8F"/>
    <w:rsid w:val="0060752B"/>
    <w:rsid w:val="00611011"/>
    <w:rsid w:val="0061127B"/>
    <w:rsid w:val="00653E97"/>
    <w:rsid w:val="00676204"/>
    <w:rsid w:val="00684A74"/>
    <w:rsid w:val="00690B8A"/>
    <w:rsid w:val="006F2CF1"/>
    <w:rsid w:val="007038ED"/>
    <w:rsid w:val="00703BC3"/>
    <w:rsid w:val="00704B61"/>
    <w:rsid w:val="007334B3"/>
    <w:rsid w:val="007519F2"/>
    <w:rsid w:val="007552A9"/>
    <w:rsid w:val="00761858"/>
    <w:rsid w:val="00767D59"/>
    <w:rsid w:val="00776E97"/>
    <w:rsid w:val="00780F86"/>
    <w:rsid w:val="007912AD"/>
    <w:rsid w:val="007A37E8"/>
    <w:rsid w:val="007B0824"/>
    <w:rsid w:val="007B5D3C"/>
    <w:rsid w:val="00821B72"/>
    <w:rsid w:val="00823EF2"/>
    <w:rsid w:val="008303B8"/>
    <w:rsid w:val="00833DCE"/>
    <w:rsid w:val="00871D34"/>
    <w:rsid w:val="00880370"/>
    <w:rsid w:val="008B270C"/>
    <w:rsid w:val="008B382D"/>
    <w:rsid w:val="008B5078"/>
    <w:rsid w:val="008C3D3D"/>
    <w:rsid w:val="008D4131"/>
    <w:rsid w:val="008F1932"/>
    <w:rsid w:val="00921062"/>
    <w:rsid w:val="00925AB2"/>
    <w:rsid w:val="009722BC"/>
    <w:rsid w:val="009727A3"/>
    <w:rsid w:val="00987774"/>
    <w:rsid w:val="00992229"/>
    <w:rsid w:val="009A11E8"/>
    <w:rsid w:val="009D74DB"/>
    <w:rsid w:val="009F5220"/>
    <w:rsid w:val="00A15234"/>
    <w:rsid w:val="00A16913"/>
    <w:rsid w:val="00A201AB"/>
    <w:rsid w:val="00A240AA"/>
    <w:rsid w:val="00A253BF"/>
    <w:rsid w:val="00A26A9A"/>
    <w:rsid w:val="00A31C8B"/>
    <w:rsid w:val="00A377BA"/>
    <w:rsid w:val="00A509FA"/>
    <w:rsid w:val="00A845DC"/>
    <w:rsid w:val="00A87238"/>
    <w:rsid w:val="00AD7978"/>
    <w:rsid w:val="00AE3E8F"/>
    <w:rsid w:val="00AF0A6B"/>
    <w:rsid w:val="00AF3B01"/>
    <w:rsid w:val="00B26AA2"/>
    <w:rsid w:val="00B3524D"/>
    <w:rsid w:val="00B40F69"/>
    <w:rsid w:val="00B46616"/>
    <w:rsid w:val="00B7040A"/>
    <w:rsid w:val="00B83391"/>
    <w:rsid w:val="00B87AB4"/>
    <w:rsid w:val="00B95326"/>
    <w:rsid w:val="00B9753D"/>
    <w:rsid w:val="00BC7802"/>
    <w:rsid w:val="00BD4196"/>
    <w:rsid w:val="00BF22CA"/>
    <w:rsid w:val="00BF23BB"/>
    <w:rsid w:val="00C12F97"/>
    <w:rsid w:val="00C26032"/>
    <w:rsid w:val="00C345E1"/>
    <w:rsid w:val="00C43BFD"/>
    <w:rsid w:val="00CB6A48"/>
    <w:rsid w:val="00CB6E35"/>
    <w:rsid w:val="00CE1A46"/>
    <w:rsid w:val="00CF1FCE"/>
    <w:rsid w:val="00D20757"/>
    <w:rsid w:val="00D22636"/>
    <w:rsid w:val="00D31AEA"/>
    <w:rsid w:val="00D40FD9"/>
    <w:rsid w:val="00D51814"/>
    <w:rsid w:val="00D53769"/>
    <w:rsid w:val="00D85C13"/>
    <w:rsid w:val="00D9111A"/>
    <w:rsid w:val="00D91BE3"/>
    <w:rsid w:val="00D94AFC"/>
    <w:rsid w:val="00D9651E"/>
    <w:rsid w:val="00DB70AE"/>
    <w:rsid w:val="00DB7283"/>
    <w:rsid w:val="00DD5071"/>
    <w:rsid w:val="00DD5C39"/>
    <w:rsid w:val="00DE7DB7"/>
    <w:rsid w:val="00E00A0A"/>
    <w:rsid w:val="00E066DE"/>
    <w:rsid w:val="00E07F57"/>
    <w:rsid w:val="00E11D16"/>
    <w:rsid w:val="00E147B4"/>
    <w:rsid w:val="00E20264"/>
    <w:rsid w:val="00E30683"/>
    <w:rsid w:val="00E453D8"/>
    <w:rsid w:val="00E50BCE"/>
    <w:rsid w:val="00E574BF"/>
    <w:rsid w:val="00E61292"/>
    <w:rsid w:val="00E77C4D"/>
    <w:rsid w:val="00E80AD9"/>
    <w:rsid w:val="00E81D01"/>
    <w:rsid w:val="00EA49E6"/>
    <w:rsid w:val="00EE43F3"/>
    <w:rsid w:val="00EE45D8"/>
    <w:rsid w:val="00F17877"/>
    <w:rsid w:val="00F22430"/>
    <w:rsid w:val="00F22EDA"/>
    <w:rsid w:val="00F536BC"/>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0AD4D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1906</Words>
  <Characters>9321</Characters>
  <Application>Microsoft Office Word</Application>
  <DocSecurity>0</DocSecurity>
  <Lines>77</Lines>
  <Paragraphs>22</Paragraphs>
  <ScaleCrop>false</ScaleCrop>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2018-06-12T12:13:00Z</dcterms:created>
  <dcterms:modified xsi:type="dcterms:W3CDTF">2018-06-12T12:13:00Z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