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C01D77" w:rsidRDefault="00BF292A" w:rsidP="006B6451">
      <w:pPr>
        <w:jc w:val="center"/>
        <w:rPr>
          <w:rFonts w:ascii="Book Antiqua" w:hAnsi="Book Antiqua" w:cs="Arial"/>
          <w:sz w:val="16"/>
          <w:szCs w:val="16"/>
        </w:rPr>
      </w:pPr>
      <w:r>
        <w:rPr>
          <w:noProof/>
        </w:rPr>
        <w:drawing>
          <wp:inline distT="0" distB="0" distL="0" distR="0">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rsidR="00D94AFC" w:rsidRPr="00C01D77" w:rsidRDefault="00D94AFC">
      <w:pPr>
        <w:rPr>
          <w:rFonts w:ascii="Book Antiqua" w:hAnsi="Book Antiqua" w:cs="Arial"/>
        </w:rPr>
      </w:pP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Pr="00C01D77" w:rsidRDefault="006B6451" w:rsidP="00B626FA">
      <w:pPr>
        <w:tabs>
          <w:tab w:val="right" w:pos="9639"/>
        </w:tabs>
        <w:rPr>
          <w:rFonts w:ascii="Book Antiqua" w:hAnsi="Book Antiqua" w:cs="Arial"/>
        </w:rPr>
      </w:pPr>
      <w:r w:rsidRPr="00C01D77">
        <w:rPr>
          <w:rFonts w:ascii="Book Antiqua" w:hAnsi="Book Antiqua" w:cs="Arial"/>
          <w:b/>
        </w:rPr>
        <w:t>(Immigration and Asylum Chamber)</w:t>
      </w:r>
      <w:r w:rsidR="00B626FA" w:rsidRPr="00C01D77">
        <w:rPr>
          <w:rFonts w:ascii="Book Antiqua" w:hAnsi="Book Antiqua" w:cs="Arial"/>
          <w:b/>
        </w:rPr>
        <w:tab/>
      </w:r>
      <w:r w:rsidR="00B3524D" w:rsidRPr="00C01D77">
        <w:rPr>
          <w:rFonts w:ascii="Book Antiqua" w:hAnsi="Book Antiqua" w:cs="Arial"/>
        </w:rPr>
        <w:t>Appeal Number</w:t>
      </w:r>
      <w:r w:rsidR="00D53769" w:rsidRPr="00C01D77">
        <w:rPr>
          <w:rFonts w:ascii="Book Antiqua" w:hAnsi="Book Antiqua" w:cs="Arial"/>
        </w:rPr>
        <w:t>:</w:t>
      </w:r>
      <w:r w:rsidR="00B3524D" w:rsidRPr="00C01D77">
        <w:rPr>
          <w:rFonts w:ascii="Book Antiqua" w:hAnsi="Book Antiqua" w:cs="Arial"/>
        </w:rPr>
        <w:t xml:space="preserve"> </w:t>
      </w:r>
      <w:bookmarkStart w:id="0" w:name="_GoBack"/>
      <w:r w:rsidR="00AB3123">
        <w:rPr>
          <w:rFonts w:ascii="Book Antiqua" w:hAnsi="Book Antiqua" w:cs="Arial"/>
          <w:caps/>
        </w:rPr>
        <w:t>HU/08789/2015</w:t>
      </w:r>
      <w:bookmarkEnd w:id="0"/>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C345E1">
      <w:pPr>
        <w:jc w:val="center"/>
        <w:rPr>
          <w:rFonts w:ascii="Book Antiqua" w:hAnsi="Book Antiqua" w:cs="Arial"/>
          <w:b/>
          <w:u w:val="single"/>
        </w:rPr>
      </w:pPr>
    </w:p>
    <w:p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C01D77" w:rsidTr="00073E80">
        <w:tc>
          <w:tcPr>
            <w:tcW w:w="6048"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AB3123">
              <w:rPr>
                <w:rFonts w:ascii="Book Antiqua" w:hAnsi="Book Antiqua" w:cs="Arial"/>
                <w:b/>
              </w:rPr>
              <w:t>Bradford</w:t>
            </w:r>
          </w:p>
        </w:tc>
        <w:tc>
          <w:tcPr>
            <w:tcW w:w="3960" w:type="dxa"/>
          </w:tcPr>
          <w:p w:rsidR="00D22636" w:rsidRPr="00C01D77" w:rsidRDefault="00073E80" w:rsidP="004A1848">
            <w:pPr>
              <w:jc w:val="both"/>
              <w:rPr>
                <w:rFonts w:ascii="Book Antiqua" w:hAnsi="Book Antiqua" w:cs="Arial"/>
                <w:b/>
              </w:rPr>
            </w:pPr>
            <w:r>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rsidTr="00073E80">
        <w:tc>
          <w:tcPr>
            <w:tcW w:w="6048"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AB3123">
              <w:rPr>
                <w:rFonts w:ascii="Book Antiqua" w:hAnsi="Book Antiqua" w:cs="Arial"/>
                <w:b/>
              </w:rPr>
              <w:t>25</w:t>
            </w:r>
            <w:r w:rsidR="00AB3123" w:rsidRPr="00AB3123">
              <w:rPr>
                <w:rFonts w:ascii="Book Antiqua" w:hAnsi="Book Antiqua" w:cs="Arial"/>
                <w:b/>
                <w:vertAlign w:val="superscript"/>
              </w:rPr>
              <w:t>th</w:t>
            </w:r>
            <w:r w:rsidR="00AB3123">
              <w:rPr>
                <w:rFonts w:ascii="Book Antiqua" w:hAnsi="Book Antiqua" w:cs="Arial"/>
                <w:b/>
              </w:rPr>
              <w:t xml:space="preserve"> June 2018</w:t>
            </w:r>
          </w:p>
        </w:tc>
        <w:tc>
          <w:tcPr>
            <w:tcW w:w="3960" w:type="dxa"/>
          </w:tcPr>
          <w:p w:rsidR="00D22636" w:rsidRPr="00C01D77" w:rsidRDefault="00196266" w:rsidP="004A1848">
            <w:pPr>
              <w:jc w:val="both"/>
              <w:rPr>
                <w:rFonts w:ascii="Book Antiqua" w:hAnsi="Book Antiqua" w:cs="Arial"/>
                <w:b/>
              </w:rPr>
            </w:pPr>
            <w:r>
              <w:rPr>
                <w:rFonts w:ascii="Book Antiqua" w:hAnsi="Book Antiqua" w:cs="Arial"/>
                <w:b/>
              </w:rPr>
              <w:t>3 July 2018</w:t>
            </w:r>
          </w:p>
        </w:tc>
      </w:tr>
      <w:tr w:rsidR="00D22636" w:rsidRPr="00C01D77" w:rsidTr="00073E80">
        <w:tc>
          <w:tcPr>
            <w:tcW w:w="6048" w:type="dxa"/>
          </w:tcPr>
          <w:p w:rsidR="00D22636" w:rsidRPr="00C01D77" w:rsidRDefault="00D22636" w:rsidP="004A1848">
            <w:pPr>
              <w:jc w:val="both"/>
              <w:rPr>
                <w:rFonts w:ascii="Book Antiqua" w:hAnsi="Book Antiqua" w:cs="Arial"/>
                <w:b/>
              </w:rPr>
            </w:pPr>
          </w:p>
        </w:tc>
        <w:tc>
          <w:tcPr>
            <w:tcW w:w="3960" w:type="dxa"/>
          </w:tcPr>
          <w:p w:rsidR="00D22636" w:rsidRPr="00C01D77" w:rsidRDefault="00D22636" w:rsidP="004A1848">
            <w:pPr>
              <w:jc w:val="both"/>
              <w:rPr>
                <w:rFonts w:ascii="Book Antiqua" w:hAnsi="Book Antiqua" w:cs="Arial"/>
                <w:b/>
              </w:rPr>
            </w:pPr>
          </w:p>
        </w:tc>
      </w:tr>
    </w:tbl>
    <w:p w:rsidR="00A15234" w:rsidRPr="00C01D77" w:rsidRDefault="00A15234" w:rsidP="00A15234">
      <w:pPr>
        <w:jc w:val="center"/>
        <w:rPr>
          <w:rFonts w:ascii="Book Antiqua" w:hAnsi="Book Antiqua" w:cs="Arial"/>
        </w:rPr>
      </w:pPr>
    </w:p>
    <w:p w:rsidR="00A15234" w:rsidRPr="00C01D77" w:rsidRDefault="00A15234" w:rsidP="00A15234">
      <w:pPr>
        <w:jc w:val="cente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rsidR="00A845DC" w:rsidRPr="00C01D77" w:rsidRDefault="00A845DC" w:rsidP="00A15234">
      <w:pPr>
        <w:jc w:val="center"/>
        <w:rPr>
          <w:rFonts w:ascii="Book Antiqua" w:hAnsi="Book Antiqua" w:cs="Arial"/>
          <w:b/>
        </w:rPr>
      </w:pPr>
    </w:p>
    <w:p w:rsidR="00A845DC" w:rsidRPr="00C01D77" w:rsidRDefault="00A845DC" w:rsidP="00A15234">
      <w:pPr>
        <w:jc w:val="center"/>
        <w:rPr>
          <w:rFonts w:ascii="Book Antiqua" w:hAnsi="Book Antiqua" w:cs="Arial"/>
          <w:b/>
        </w:rPr>
      </w:pPr>
      <w:r w:rsidRPr="00C01D77">
        <w:rPr>
          <w:rFonts w:ascii="Book Antiqua" w:hAnsi="Book Antiqua" w:cs="Arial"/>
          <w:b/>
        </w:rPr>
        <w:t>Between</w:t>
      </w:r>
    </w:p>
    <w:p w:rsidR="00A845DC" w:rsidRPr="00C01D77" w:rsidRDefault="00A845DC" w:rsidP="00A15234">
      <w:pPr>
        <w:jc w:val="center"/>
        <w:rPr>
          <w:rFonts w:ascii="Book Antiqua" w:hAnsi="Book Antiqua" w:cs="Arial"/>
          <w:b/>
        </w:rPr>
      </w:pPr>
    </w:p>
    <w:p w:rsidR="00BD087D" w:rsidRPr="00C01D77" w:rsidRDefault="00325D10" w:rsidP="00BD087D">
      <w:pPr>
        <w:jc w:val="center"/>
        <w:rPr>
          <w:rFonts w:ascii="Book Antiqua" w:hAnsi="Book Antiqua" w:cs="Arial"/>
          <w:b/>
        </w:rPr>
      </w:pPr>
      <w:r w:rsidRPr="00C01D77">
        <w:rPr>
          <w:rFonts w:ascii="Book Antiqua" w:hAnsi="Book Antiqua" w:cs="Arial"/>
          <w:b/>
          <w:caps/>
        </w:rPr>
        <w:fldChar w:fldCharType="begin">
          <w:ffData>
            <w:name w:val="Text8"/>
            <w:enabled/>
            <w:calcOnExit w:val="0"/>
            <w:textInput>
              <w:default w:val="ENTRY CLEARANCE OFFICER"/>
              <w:format w:val="UPPERCASE"/>
            </w:textInput>
          </w:ffData>
        </w:fldChar>
      </w:r>
      <w:bookmarkStart w:id="1" w:name="Text8"/>
      <w:r w:rsidR="00BD087D" w:rsidRPr="00C01D77">
        <w:rPr>
          <w:rFonts w:ascii="Book Antiqua" w:hAnsi="Book Antiqua" w:cs="Arial"/>
          <w:b/>
          <w:caps/>
        </w:rPr>
        <w:instrText xml:space="preserve"> FORMTEXT </w:instrText>
      </w:r>
      <w:r w:rsidRPr="00C01D77">
        <w:rPr>
          <w:rFonts w:ascii="Book Antiqua" w:hAnsi="Book Antiqua" w:cs="Arial"/>
          <w:b/>
          <w:caps/>
        </w:rPr>
      </w:r>
      <w:r w:rsidRPr="00C01D77">
        <w:rPr>
          <w:rFonts w:ascii="Book Antiqua" w:hAnsi="Book Antiqua" w:cs="Arial"/>
          <w:b/>
          <w:caps/>
        </w:rPr>
        <w:fldChar w:fldCharType="separate"/>
      </w:r>
      <w:r w:rsidR="00BD087D" w:rsidRPr="00C01D77">
        <w:rPr>
          <w:rFonts w:ascii="Book Antiqua" w:hAnsi="Book Antiqua" w:cs="Arial"/>
          <w:b/>
          <w:caps/>
          <w:noProof/>
        </w:rPr>
        <w:t>ENTRY CLEARANCE OFFICER</w:t>
      </w:r>
      <w:r w:rsidRPr="00C01D77">
        <w:rPr>
          <w:rFonts w:ascii="Book Antiqua" w:hAnsi="Book Antiqua" w:cs="Arial"/>
          <w:b/>
          <w:caps/>
        </w:rPr>
        <w:fldChar w:fldCharType="end"/>
      </w:r>
      <w:bookmarkEnd w:id="1"/>
      <w:r w:rsidR="00BD087D" w:rsidRPr="00C01D77">
        <w:rPr>
          <w:rFonts w:ascii="Book Antiqua" w:hAnsi="Book Antiqua" w:cs="Arial"/>
          <w:b/>
        </w:rPr>
        <w:t xml:space="preserve"> - </w:t>
      </w:r>
      <w:r w:rsidR="00BD087D">
        <w:rPr>
          <w:rFonts w:ascii="Book Antiqua" w:hAnsi="Book Antiqua" w:cs="Arial"/>
          <w:b/>
          <w:caps/>
        </w:rPr>
        <w:t>ISLAMABAD</w:t>
      </w:r>
    </w:p>
    <w:p w:rsidR="00704B61" w:rsidRPr="00C01D77" w:rsidRDefault="00704B61" w:rsidP="00704B61">
      <w:pPr>
        <w:jc w:val="right"/>
        <w:rPr>
          <w:rFonts w:ascii="Book Antiqua" w:hAnsi="Book Antiqua" w:cs="Arial"/>
          <w:u w:val="single"/>
        </w:rPr>
      </w:pPr>
      <w:r w:rsidRPr="00C01D77">
        <w:rPr>
          <w:rFonts w:ascii="Book Antiqua" w:hAnsi="Book Antiqua" w:cs="Arial"/>
          <w:u w:val="single"/>
        </w:rPr>
        <w:t>Appellant</w:t>
      </w:r>
    </w:p>
    <w:p w:rsidR="006D1DFA" w:rsidRPr="00C01D77" w:rsidRDefault="006D1DFA" w:rsidP="00704B61">
      <w:pPr>
        <w:jc w:val="center"/>
        <w:rPr>
          <w:rFonts w:ascii="Book Antiqua" w:hAnsi="Book Antiqua" w:cs="Arial"/>
          <w:b/>
        </w:rPr>
      </w:pPr>
    </w:p>
    <w:p w:rsidR="00704B61" w:rsidRPr="00C01D77" w:rsidRDefault="00DD5071" w:rsidP="00704B61">
      <w:pPr>
        <w:jc w:val="center"/>
        <w:rPr>
          <w:rFonts w:ascii="Book Antiqua" w:hAnsi="Book Antiqua" w:cs="Arial"/>
          <w:b/>
        </w:rPr>
      </w:pPr>
      <w:r w:rsidRPr="00C01D77">
        <w:rPr>
          <w:rFonts w:ascii="Book Antiqua" w:hAnsi="Book Antiqua" w:cs="Arial"/>
          <w:b/>
        </w:rPr>
        <w:t>and</w:t>
      </w:r>
    </w:p>
    <w:p w:rsidR="00DD5071" w:rsidRPr="00C01D77" w:rsidRDefault="00DD5071" w:rsidP="00AB3123">
      <w:pPr>
        <w:rPr>
          <w:rFonts w:ascii="Book Antiqua" w:hAnsi="Book Antiqua" w:cs="Arial"/>
          <w:b/>
          <w:caps/>
        </w:rPr>
      </w:pPr>
    </w:p>
    <w:p w:rsidR="00BD087D" w:rsidRDefault="00BD087D" w:rsidP="00BD087D">
      <w:pPr>
        <w:jc w:val="center"/>
        <w:rPr>
          <w:rFonts w:ascii="Book Antiqua" w:hAnsi="Book Antiqua" w:cs="Arial"/>
          <w:b/>
          <w:caps/>
        </w:rPr>
      </w:pPr>
      <w:r>
        <w:rPr>
          <w:rFonts w:ascii="Book Antiqua" w:hAnsi="Book Antiqua" w:cs="Arial"/>
          <w:b/>
          <w:caps/>
        </w:rPr>
        <w:t>maryam bibi</w:t>
      </w:r>
    </w:p>
    <w:p w:rsidR="00BD087D" w:rsidRDefault="00BD087D" w:rsidP="00BD087D">
      <w:pPr>
        <w:jc w:val="center"/>
        <w:rPr>
          <w:rFonts w:ascii="Book Antiqua" w:hAnsi="Book Antiqua" w:cs="Arial"/>
          <w:b/>
          <w:caps/>
        </w:rPr>
      </w:pPr>
      <w:r w:rsidRPr="00073E80">
        <w:rPr>
          <w:rFonts w:ascii="Book Antiqua" w:hAnsi="Book Antiqua" w:cs="Arial"/>
          <w:b/>
          <w:caps/>
        </w:rPr>
        <w:t xml:space="preserve">(ANONYMITY DIRECTION </w:t>
      </w:r>
      <w:r>
        <w:rPr>
          <w:rFonts w:ascii="Book Antiqua" w:hAnsi="Book Antiqua" w:cs="Arial"/>
          <w:b/>
          <w:caps/>
        </w:rPr>
        <w:t>not made</w:t>
      </w:r>
      <w:r w:rsidRPr="00073E80">
        <w:rPr>
          <w:rFonts w:ascii="Book Antiqua" w:hAnsi="Book Antiqua" w:cs="Arial"/>
          <w:b/>
          <w:caps/>
        </w:rPr>
        <w:t>)</w:t>
      </w:r>
    </w:p>
    <w:p w:rsidR="00DD5071" w:rsidRPr="00C01D77" w:rsidRDefault="00DD5071" w:rsidP="00704B61">
      <w:pPr>
        <w:jc w:val="center"/>
        <w:rPr>
          <w:rFonts w:ascii="Book Antiqua" w:hAnsi="Book Antiqua" w:cs="Arial"/>
          <w:b/>
          <w:caps/>
        </w:rPr>
      </w:pPr>
    </w:p>
    <w:p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rsidR="00DD5071" w:rsidRPr="00C01D77" w:rsidRDefault="00DD5071" w:rsidP="00DD5071">
      <w:pPr>
        <w:rPr>
          <w:rFonts w:ascii="Book Antiqua" w:hAnsi="Book Antiqua" w:cs="Arial"/>
          <w:u w:val="single"/>
        </w:rPr>
      </w:pPr>
    </w:p>
    <w:p w:rsidR="00DD5071" w:rsidRPr="00C01D77" w:rsidRDefault="00DD5071" w:rsidP="00DD5071">
      <w:pPr>
        <w:rPr>
          <w:rFonts w:ascii="Book Antiqua" w:hAnsi="Book Antiqua" w:cs="Arial"/>
          <w:u w:val="single"/>
        </w:rPr>
      </w:pPr>
    </w:p>
    <w:p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rsidR="00DE7DB7" w:rsidRPr="00C01D77" w:rsidRDefault="00DE7DB7" w:rsidP="00DD5071">
      <w:pPr>
        <w:rPr>
          <w:rFonts w:ascii="Book Antiqua" w:hAnsi="Book Antiqua" w:cs="Arial"/>
        </w:rPr>
      </w:pPr>
    </w:p>
    <w:p w:rsidR="0057325E" w:rsidRDefault="00DE7DB7" w:rsidP="0057325E">
      <w:pPr>
        <w:tabs>
          <w:tab w:val="left" w:pos="2520"/>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57325E">
        <w:rPr>
          <w:rFonts w:ascii="Book Antiqua" w:hAnsi="Book Antiqua" w:cs="Arial"/>
        </w:rPr>
        <w:t xml:space="preserve">Mr </w:t>
      </w:r>
      <w:proofErr w:type="spellStart"/>
      <w:r w:rsidR="0057325E">
        <w:rPr>
          <w:rFonts w:ascii="Book Antiqua" w:hAnsi="Book Antiqua" w:cs="Arial"/>
        </w:rPr>
        <w:t>Diwnycz</w:t>
      </w:r>
      <w:proofErr w:type="spellEnd"/>
      <w:r w:rsidR="0057325E">
        <w:rPr>
          <w:rFonts w:ascii="Book Antiqua" w:hAnsi="Book Antiqua" w:cs="Arial"/>
        </w:rPr>
        <w:t xml:space="preserve">, Senior Home Office Presenting Officer </w:t>
      </w:r>
    </w:p>
    <w:p w:rsidR="0057325E" w:rsidRPr="00C01D77" w:rsidRDefault="00DE7DB7" w:rsidP="0057325E">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57325E">
        <w:rPr>
          <w:rFonts w:ascii="Book Antiqua" w:hAnsi="Book Antiqua" w:cs="Arial"/>
        </w:rPr>
        <w:t>Mr Ahmed, Counsel</w:t>
      </w:r>
    </w:p>
    <w:p w:rsidR="00DE7DB7" w:rsidRPr="00C01D77" w:rsidRDefault="00DE7DB7" w:rsidP="00DE7DB7">
      <w:pPr>
        <w:tabs>
          <w:tab w:val="left" w:pos="2520"/>
        </w:tabs>
        <w:rPr>
          <w:rFonts w:ascii="Book Antiqua" w:hAnsi="Book Antiqua" w:cs="Arial"/>
        </w:rPr>
      </w:pPr>
    </w:p>
    <w:p w:rsidR="00DE7DB7" w:rsidRPr="00C01D77" w:rsidRDefault="00DE7DB7" w:rsidP="00402B9E">
      <w:pPr>
        <w:tabs>
          <w:tab w:val="left" w:pos="2520"/>
        </w:tabs>
        <w:jc w:val="center"/>
        <w:rPr>
          <w:rFonts w:ascii="Book Antiqua" w:hAnsi="Book Antiqua" w:cs="Arial"/>
        </w:rPr>
      </w:pPr>
    </w:p>
    <w:p w:rsidR="00DE7DB7" w:rsidRPr="00C01D77" w:rsidRDefault="00073E80"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01D77">
        <w:rPr>
          <w:rFonts w:ascii="Book Antiqua" w:hAnsi="Book Antiqua" w:cs="Arial"/>
          <w:b/>
          <w:u w:val="single"/>
        </w:rPr>
        <w:t>AND REASONS</w:t>
      </w:r>
    </w:p>
    <w:p w:rsidR="00073E80" w:rsidRPr="00C01D77" w:rsidRDefault="00073E80" w:rsidP="00402B9E">
      <w:pPr>
        <w:tabs>
          <w:tab w:val="left" w:pos="2520"/>
        </w:tabs>
        <w:jc w:val="both"/>
        <w:rPr>
          <w:rFonts w:ascii="Book Antiqua" w:hAnsi="Book Antiqua" w:cs="Arial"/>
        </w:rPr>
      </w:pPr>
    </w:p>
    <w:p w:rsidR="00E943B7" w:rsidRDefault="00AB3123" w:rsidP="00E943B7">
      <w:pPr>
        <w:numPr>
          <w:ilvl w:val="0"/>
          <w:numId w:val="3"/>
        </w:numPr>
        <w:spacing w:before="240"/>
        <w:jc w:val="both"/>
        <w:rPr>
          <w:rFonts w:ascii="Book Antiqua" w:hAnsi="Book Antiqua" w:cs="Arial"/>
        </w:rPr>
      </w:pPr>
      <w:r>
        <w:rPr>
          <w:rFonts w:ascii="Book Antiqua" w:hAnsi="Book Antiqua" w:cs="Arial"/>
        </w:rPr>
        <w:t>The Entry Clearance Officer “</w:t>
      </w:r>
      <w:r w:rsidR="00D27F62">
        <w:rPr>
          <w:rFonts w:ascii="Book Antiqua" w:hAnsi="Book Antiqua" w:cs="Arial"/>
        </w:rPr>
        <w:t xml:space="preserve">the </w:t>
      </w:r>
      <w:r>
        <w:rPr>
          <w:rFonts w:ascii="Book Antiqua" w:hAnsi="Book Antiqua" w:cs="Arial"/>
        </w:rPr>
        <w:t xml:space="preserve">ECO” appeals with permission against the decision of a First-tier Tribunal (Judge B Cox) allowing the appeal of Maryam Bibi against the </w:t>
      </w:r>
      <w:r>
        <w:rPr>
          <w:rFonts w:ascii="Book Antiqua" w:hAnsi="Book Antiqua" w:cs="Arial"/>
        </w:rPr>
        <w:lastRenderedPageBreak/>
        <w:t>ECO’s decision of 15</w:t>
      </w:r>
      <w:r w:rsidRPr="00AB3123">
        <w:rPr>
          <w:rFonts w:ascii="Book Antiqua" w:hAnsi="Book Antiqua" w:cs="Arial"/>
          <w:vertAlign w:val="superscript"/>
        </w:rPr>
        <w:t>th</w:t>
      </w:r>
      <w:r>
        <w:rPr>
          <w:rFonts w:ascii="Book Antiqua" w:hAnsi="Book Antiqua" w:cs="Arial"/>
        </w:rPr>
        <w:t xml:space="preserve"> September 2015 refusing her entry clearanc</w:t>
      </w:r>
      <w:r w:rsidR="0057325E">
        <w:rPr>
          <w:rFonts w:ascii="Book Antiqua" w:hAnsi="Book Antiqua" w:cs="Arial"/>
        </w:rPr>
        <w:t xml:space="preserve">e as the spouse of </w:t>
      </w:r>
      <w:proofErr w:type="spellStart"/>
      <w:r w:rsidR="0057325E">
        <w:rPr>
          <w:rFonts w:ascii="Book Antiqua" w:hAnsi="Book Antiqua" w:cs="Arial"/>
        </w:rPr>
        <w:t>Shaaf</w:t>
      </w:r>
      <w:proofErr w:type="spellEnd"/>
      <w:r w:rsidR="0057325E">
        <w:rPr>
          <w:rFonts w:ascii="Book Antiqua" w:hAnsi="Book Antiqua" w:cs="Arial"/>
        </w:rPr>
        <w:t xml:space="preserve"> Ahmed “</w:t>
      </w:r>
      <w:r>
        <w:rPr>
          <w:rFonts w:ascii="Book Antiqua" w:hAnsi="Book Antiqua" w:cs="Arial"/>
        </w:rPr>
        <w:t>the Sponsor</w:t>
      </w:r>
      <w:r w:rsidR="0057325E">
        <w:rPr>
          <w:rFonts w:ascii="Book Antiqua" w:hAnsi="Book Antiqua" w:cs="Arial"/>
        </w:rPr>
        <w:t>”</w:t>
      </w:r>
      <w:r>
        <w:rPr>
          <w:rFonts w:ascii="Book Antiqua" w:hAnsi="Book Antiqua" w:cs="Arial"/>
        </w:rPr>
        <w:t>.</w:t>
      </w:r>
    </w:p>
    <w:p w:rsidR="003F7ED1" w:rsidRDefault="003F7ED1" w:rsidP="00E943B7">
      <w:pPr>
        <w:numPr>
          <w:ilvl w:val="0"/>
          <w:numId w:val="3"/>
        </w:numPr>
        <w:spacing w:before="240"/>
        <w:jc w:val="both"/>
        <w:rPr>
          <w:rFonts w:ascii="Book Antiqua" w:hAnsi="Book Antiqua" w:cs="Arial"/>
        </w:rPr>
      </w:pPr>
      <w:r>
        <w:rPr>
          <w:rFonts w:ascii="Book Antiqua" w:hAnsi="Book Antiqua" w:cs="Arial"/>
        </w:rPr>
        <w:t xml:space="preserve">For the sake of </w:t>
      </w:r>
      <w:proofErr w:type="gramStart"/>
      <w:r>
        <w:rPr>
          <w:rFonts w:ascii="Book Antiqua" w:hAnsi="Book Antiqua" w:cs="Arial"/>
        </w:rPr>
        <w:t>clarity</w:t>
      </w:r>
      <w:proofErr w:type="gramEnd"/>
      <w:r>
        <w:rPr>
          <w:rFonts w:ascii="Book Antiqua" w:hAnsi="Book Antiqua" w:cs="Arial"/>
        </w:rPr>
        <w:t xml:space="preserve"> I shall throughout this decision refer to the ECO as “the Respondent” and to Maryam Bibi as “the Appellant” thereby reflecting their respective positions before the First-tier Tribunal. </w:t>
      </w:r>
    </w:p>
    <w:p w:rsidR="00B024A4" w:rsidRPr="00B024A4" w:rsidRDefault="00B024A4" w:rsidP="00B024A4">
      <w:pPr>
        <w:spacing w:before="240"/>
        <w:jc w:val="both"/>
        <w:rPr>
          <w:rFonts w:ascii="Book Antiqua" w:hAnsi="Book Antiqua" w:cs="Arial"/>
          <w:b/>
          <w:u w:val="single"/>
        </w:rPr>
      </w:pPr>
      <w:r>
        <w:rPr>
          <w:rFonts w:ascii="Book Antiqua" w:hAnsi="Book Antiqua" w:cs="Arial"/>
          <w:b/>
          <w:u w:val="single"/>
        </w:rPr>
        <w:t>Background</w:t>
      </w:r>
    </w:p>
    <w:p w:rsidR="003F7ED1" w:rsidRDefault="00B024A4" w:rsidP="00E943B7">
      <w:pPr>
        <w:numPr>
          <w:ilvl w:val="0"/>
          <w:numId w:val="3"/>
        </w:numPr>
        <w:spacing w:before="240"/>
        <w:jc w:val="both"/>
        <w:rPr>
          <w:rFonts w:ascii="Book Antiqua" w:hAnsi="Book Antiqua" w:cs="Arial"/>
        </w:rPr>
      </w:pPr>
      <w:r>
        <w:rPr>
          <w:rFonts w:ascii="Book Antiqua" w:hAnsi="Book Antiqua" w:cs="Arial"/>
        </w:rPr>
        <w:t>The Appellant is a citizen of Pakistan born 1</w:t>
      </w:r>
      <w:r w:rsidRPr="00B024A4">
        <w:rPr>
          <w:rFonts w:ascii="Book Antiqua" w:hAnsi="Book Antiqua" w:cs="Arial"/>
          <w:vertAlign w:val="superscript"/>
        </w:rPr>
        <w:t>st</w:t>
      </w:r>
      <w:r>
        <w:rPr>
          <w:rFonts w:ascii="Book Antiqua" w:hAnsi="Book Antiqua" w:cs="Arial"/>
        </w:rPr>
        <w:t xml:space="preserve"> July 1990.  The Sponsor is a British citizen born 1</w:t>
      </w:r>
      <w:r w:rsidRPr="00B024A4">
        <w:rPr>
          <w:rFonts w:ascii="Book Antiqua" w:hAnsi="Book Antiqua" w:cs="Arial"/>
          <w:vertAlign w:val="superscript"/>
        </w:rPr>
        <w:t>st</w:t>
      </w:r>
      <w:r>
        <w:rPr>
          <w:rFonts w:ascii="Book Antiqua" w:hAnsi="Book Antiqua" w:cs="Arial"/>
        </w:rPr>
        <w:t xml:space="preserve"> May 1993.  The Appellant and Sponsor married in Pakistan and thereafter the Sponsor returned to the UK where he works</w:t>
      </w:r>
      <w:r w:rsidR="0057325E">
        <w:rPr>
          <w:rFonts w:ascii="Book Antiqua" w:hAnsi="Book Antiqua" w:cs="Arial"/>
        </w:rPr>
        <w:t>.</w:t>
      </w:r>
      <w:r>
        <w:rPr>
          <w:rFonts w:ascii="Book Antiqua" w:hAnsi="Book Antiqua" w:cs="Arial"/>
        </w:rPr>
        <w:t xml:space="preserve"> (</w:t>
      </w:r>
      <w:r w:rsidR="0057325E">
        <w:rPr>
          <w:rFonts w:ascii="Book Antiqua" w:hAnsi="Book Antiqua" w:cs="Arial"/>
        </w:rPr>
        <w:t xml:space="preserve">I note that the </w:t>
      </w:r>
      <w:proofErr w:type="spellStart"/>
      <w:r w:rsidR="0057325E">
        <w:rPr>
          <w:rFonts w:ascii="Book Antiqua" w:hAnsi="Book Antiqua" w:cs="Arial"/>
        </w:rPr>
        <w:t>FtTJ</w:t>
      </w:r>
      <w:proofErr w:type="spellEnd"/>
      <w:r w:rsidR="0057325E">
        <w:rPr>
          <w:rFonts w:ascii="Book Antiqua" w:hAnsi="Book Antiqua" w:cs="Arial"/>
        </w:rPr>
        <w:t xml:space="preserve"> recorded at [13] that the Sponsor has been working for his employers since 06.12.1993, but this date is self-evidently incorrect</w:t>
      </w:r>
      <w:r>
        <w:rPr>
          <w:rFonts w:ascii="Book Antiqua" w:hAnsi="Book Antiqua" w:cs="Arial"/>
        </w:rPr>
        <w:t>.</w:t>
      </w:r>
      <w:r w:rsidR="0057325E">
        <w:rPr>
          <w:rFonts w:ascii="Book Antiqua" w:hAnsi="Book Antiqua" w:cs="Arial"/>
        </w:rPr>
        <w:t>)</w:t>
      </w:r>
    </w:p>
    <w:p w:rsidR="00C90964" w:rsidRPr="0057325E" w:rsidRDefault="00142900" w:rsidP="00E943B7">
      <w:pPr>
        <w:numPr>
          <w:ilvl w:val="0"/>
          <w:numId w:val="3"/>
        </w:numPr>
        <w:spacing w:before="240"/>
        <w:jc w:val="both"/>
        <w:rPr>
          <w:rFonts w:ascii="Book Antiqua" w:hAnsi="Book Antiqua" w:cs="Arial"/>
        </w:rPr>
      </w:pPr>
      <w:r w:rsidRPr="0057325E">
        <w:rPr>
          <w:rFonts w:ascii="Book Antiqua" w:hAnsi="Book Antiqua" w:cs="Arial"/>
        </w:rPr>
        <w:t>On 25</w:t>
      </w:r>
      <w:r w:rsidRPr="0057325E">
        <w:rPr>
          <w:rFonts w:ascii="Book Antiqua" w:hAnsi="Book Antiqua" w:cs="Arial"/>
          <w:vertAlign w:val="superscript"/>
        </w:rPr>
        <w:t>th</w:t>
      </w:r>
      <w:r w:rsidRPr="0057325E">
        <w:rPr>
          <w:rFonts w:ascii="Book Antiqua" w:hAnsi="Book Antiqua" w:cs="Arial"/>
        </w:rPr>
        <w:t xml:space="preserve"> April 2015 the Appellant applied for an entry visa to enable</w:t>
      </w:r>
      <w:r w:rsidR="008C2FDB" w:rsidRPr="0057325E">
        <w:rPr>
          <w:rFonts w:ascii="Book Antiqua" w:hAnsi="Book Antiqua" w:cs="Arial"/>
        </w:rPr>
        <w:t xml:space="preserve"> her</w:t>
      </w:r>
      <w:r w:rsidRPr="0057325E">
        <w:rPr>
          <w:rFonts w:ascii="Book Antiqua" w:hAnsi="Book Antiqua" w:cs="Arial"/>
        </w:rPr>
        <w:t xml:space="preserve"> to settle in the UK with her husband.  The application was refused by the ECO on 15</w:t>
      </w:r>
      <w:r w:rsidRPr="0057325E">
        <w:rPr>
          <w:rFonts w:ascii="Book Antiqua" w:hAnsi="Book Antiqua" w:cs="Arial"/>
          <w:vertAlign w:val="superscript"/>
        </w:rPr>
        <w:t>th</w:t>
      </w:r>
      <w:r w:rsidRPr="0057325E">
        <w:rPr>
          <w:rFonts w:ascii="Book Antiqua" w:hAnsi="Book Antiqua" w:cs="Arial"/>
        </w:rPr>
        <w:t xml:space="preserve"> September 2015</w:t>
      </w:r>
      <w:r w:rsidR="00D140B4" w:rsidRPr="0057325E">
        <w:rPr>
          <w:rFonts w:ascii="Book Antiqua" w:hAnsi="Book Antiqua" w:cs="Arial"/>
        </w:rPr>
        <w:t xml:space="preserve"> on 3 grounds;</w:t>
      </w:r>
    </w:p>
    <w:p w:rsidR="00C90964" w:rsidRDefault="00D140B4" w:rsidP="00C90964">
      <w:pPr>
        <w:pStyle w:val="ListParagraph"/>
        <w:numPr>
          <w:ilvl w:val="0"/>
          <w:numId w:val="23"/>
        </w:numPr>
        <w:spacing w:before="240"/>
        <w:contextualSpacing w:val="0"/>
        <w:jc w:val="both"/>
        <w:rPr>
          <w:rFonts w:ascii="Book Antiqua" w:hAnsi="Book Antiqua" w:cs="Arial"/>
        </w:rPr>
      </w:pPr>
      <w:r>
        <w:rPr>
          <w:rFonts w:ascii="Book Antiqua" w:hAnsi="Book Antiqua" w:cs="Arial"/>
        </w:rPr>
        <w:t>documents</w:t>
      </w:r>
      <w:r w:rsidR="00C90964">
        <w:rPr>
          <w:rFonts w:ascii="Book Antiqua" w:hAnsi="Book Antiqua" w:cs="Arial"/>
        </w:rPr>
        <w:t xml:space="preserve"> relat</w:t>
      </w:r>
      <w:r>
        <w:rPr>
          <w:rFonts w:ascii="Book Antiqua" w:hAnsi="Book Antiqua" w:cs="Arial"/>
        </w:rPr>
        <w:t xml:space="preserve">ing to the Sponsor’s employment with reference to the Sponsor’s P60 and final pay slip for 2014/2015 were </w:t>
      </w:r>
      <w:r w:rsidR="00C90964">
        <w:rPr>
          <w:rFonts w:ascii="Book Antiqua" w:hAnsi="Book Antiqua" w:cs="Arial"/>
        </w:rPr>
        <w:t>deemed to be non-genuine, following checks made by the ECO at</w:t>
      </w:r>
      <w:r>
        <w:rPr>
          <w:rFonts w:ascii="Book Antiqua" w:hAnsi="Book Antiqua" w:cs="Arial"/>
        </w:rPr>
        <w:t xml:space="preserve"> HM Revenue &amp; Customs in the UK</w:t>
      </w:r>
      <w:r w:rsidR="0057325E">
        <w:rPr>
          <w:rFonts w:ascii="Book Antiqua" w:hAnsi="Book Antiqua" w:cs="Arial"/>
        </w:rPr>
        <w:t>;</w:t>
      </w:r>
    </w:p>
    <w:p w:rsidR="00C90964" w:rsidRDefault="00C90964" w:rsidP="00C90964">
      <w:pPr>
        <w:pStyle w:val="ListParagraph"/>
        <w:numPr>
          <w:ilvl w:val="0"/>
          <w:numId w:val="23"/>
        </w:numPr>
        <w:spacing w:before="240"/>
        <w:contextualSpacing w:val="0"/>
        <w:jc w:val="both"/>
        <w:rPr>
          <w:rFonts w:ascii="Book Antiqua" w:hAnsi="Book Antiqua" w:cs="Arial"/>
        </w:rPr>
      </w:pPr>
      <w:r>
        <w:rPr>
          <w:rFonts w:ascii="Book Antiqua" w:hAnsi="Book Antiqua" w:cs="Arial"/>
        </w:rPr>
        <w:t>the Sponsor’s employer’s letter</w:t>
      </w:r>
      <w:r w:rsidR="00D140B4">
        <w:rPr>
          <w:rFonts w:ascii="Book Antiqua" w:hAnsi="Book Antiqua" w:cs="Arial"/>
        </w:rPr>
        <w:t xml:space="preserve"> from Ahmed and </w:t>
      </w:r>
      <w:proofErr w:type="spellStart"/>
      <w:r w:rsidR="00D140B4">
        <w:rPr>
          <w:rFonts w:ascii="Book Antiqua" w:hAnsi="Book Antiqua" w:cs="Arial"/>
        </w:rPr>
        <w:t>Sahama</w:t>
      </w:r>
      <w:proofErr w:type="spellEnd"/>
      <w:r w:rsidR="00D140B4">
        <w:rPr>
          <w:rFonts w:ascii="Book Antiqua" w:hAnsi="Book Antiqua" w:cs="Arial"/>
        </w:rPr>
        <w:t xml:space="preserve"> Ltd,</w:t>
      </w:r>
      <w:r>
        <w:rPr>
          <w:rFonts w:ascii="Book Antiqua" w:hAnsi="Book Antiqua" w:cs="Arial"/>
        </w:rPr>
        <w:t xml:space="preserve"> submitted as part of the specified documents, did not the state the period over which the Sponsor had earned the level of salary relied upon in the application;</w:t>
      </w:r>
      <w:r w:rsidR="0057325E">
        <w:rPr>
          <w:rFonts w:ascii="Book Antiqua" w:hAnsi="Book Antiqua" w:cs="Arial"/>
        </w:rPr>
        <w:t xml:space="preserve"> and</w:t>
      </w:r>
    </w:p>
    <w:p w:rsidR="00C90964" w:rsidRPr="003A332D" w:rsidRDefault="00D140B4" w:rsidP="00C90964">
      <w:pPr>
        <w:pStyle w:val="ListParagraph"/>
        <w:numPr>
          <w:ilvl w:val="0"/>
          <w:numId w:val="23"/>
        </w:numPr>
        <w:spacing w:before="240"/>
        <w:contextualSpacing w:val="0"/>
        <w:jc w:val="both"/>
        <w:rPr>
          <w:rFonts w:ascii="Book Antiqua" w:hAnsi="Book Antiqua" w:cs="Arial"/>
        </w:rPr>
      </w:pPr>
      <w:r>
        <w:rPr>
          <w:rFonts w:ascii="Book Antiqua" w:hAnsi="Book Antiqua" w:cs="Arial"/>
        </w:rPr>
        <w:t>the</w:t>
      </w:r>
      <w:r w:rsidR="00C90964">
        <w:rPr>
          <w:rFonts w:ascii="Book Antiqua" w:hAnsi="Book Antiqua" w:cs="Arial"/>
        </w:rPr>
        <w:t xml:space="preserve"> property inspection report for the proposed accommodation</w:t>
      </w:r>
      <w:r>
        <w:rPr>
          <w:rFonts w:ascii="Book Antiqua" w:hAnsi="Book Antiqua" w:cs="Arial"/>
        </w:rPr>
        <w:t xml:space="preserve"> for the Appellant and Sponsor in the UK</w:t>
      </w:r>
      <w:r w:rsidR="00C90964">
        <w:rPr>
          <w:rFonts w:ascii="Book Antiqua" w:hAnsi="Book Antiqua" w:cs="Arial"/>
        </w:rPr>
        <w:t xml:space="preserve"> was deemed </w:t>
      </w:r>
      <w:r w:rsidR="00540F93">
        <w:rPr>
          <w:rFonts w:ascii="Book Antiqua" w:hAnsi="Book Antiqua" w:cs="Arial"/>
        </w:rPr>
        <w:t xml:space="preserve">not </w:t>
      </w:r>
      <w:r w:rsidR="00C90964">
        <w:rPr>
          <w:rFonts w:ascii="Book Antiqua" w:hAnsi="Book Antiqua" w:cs="Arial"/>
        </w:rPr>
        <w:t>to be independent, in that it had been provided by the firm of solicitors retained by the Appellant for her visa application.</w:t>
      </w:r>
    </w:p>
    <w:p w:rsidR="003A332D" w:rsidRPr="003A332D" w:rsidRDefault="00C90964" w:rsidP="003A332D">
      <w:pPr>
        <w:spacing w:before="240"/>
        <w:jc w:val="both"/>
        <w:rPr>
          <w:rFonts w:ascii="Book Antiqua" w:hAnsi="Book Antiqua" w:cs="Arial"/>
          <w:b/>
          <w:u w:val="single"/>
        </w:rPr>
      </w:pPr>
      <w:proofErr w:type="spellStart"/>
      <w:r>
        <w:rPr>
          <w:rFonts w:ascii="Book Antiqua" w:hAnsi="Book Antiqua" w:cs="Arial"/>
          <w:b/>
          <w:u w:val="single"/>
        </w:rPr>
        <w:t>FtT</w:t>
      </w:r>
      <w:proofErr w:type="spellEnd"/>
      <w:r w:rsidR="003A332D">
        <w:rPr>
          <w:rFonts w:ascii="Book Antiqua" w:hAnsi="Book Antiqua" w:cs="Arial"/>
          <w:b/>
          <w:u w:val="single"/>
        </w:rPr>
        <w:t xml:space="preserve"> Hearing</w:t>
      </w:r>
    </w:p>
    <w:p w:rsidR="003A332D" w:rsidRDefault="003A332D" w:rsidP="00E943B7">
      <w:pPr>
        <w:numPr>
          <w:ilvl w:val="0"/>
          <w:numId w:val="3"/>
        </w:numPr>
        <w:spacing w:before="240"/>
        <w:jc w:val="both"/>
        <w:rPr>
          <w:rFonts w:ascii="Book Antiqua" w:hAnsi="Book Antiqua" w:cs="Arial"/>
        </w:rPr>
      </w:pPr>
      <w:r>
        <w:rPr>
          <w:rFonts w:ascii="Book Antiqua" w:hAnsi="Book Antiqua" w:cs="Arial"/>
        </w:rPr>
        <w:t xml:space="preserve">When the appeal came before the </w:t>
      </w:r>
      <w:proofErr w:type="spellStart"/>
      <w:r w:rsidR="00C90964">
        <w:rPr>
          <w:rFonts w:ascii="Book Antiqua" w:hAnsi="Book Antiqua" w:cs="Arial"/>
        </w:rPr>
        <w:t>FtT</w:t>
      </w:r>
      <w:proofErr w:type="spellEnd"/>
      <w:r>
        <w:rPr>
          <w:rFonts w:ascii="Book Antiqua" w:hAnsi="Book Antiqua" w:cs="Arial"/>
        </w:rPr>
        <w:t xml:space="preserve">, the judge set out the background to the appeal and correctly noted that the only avenue of appeal available to the Appellant was an Article 8 </w:t>
      </w:r>
      <w:r w:rsidR="00C90964">
        <w:rPr>
          <w:rFonts w:ascii="Book Antiqua" w:hAnsi="Book Antiqua" w:cs="Arial"/>
        </w:rPr>
        <w:t xml:space="preserve">family/private life one.  The </w:t>
      </w:r>
      <w:proofErr w:type="spellStart"/>
      <w:r w:rsidR="00C90964">
        <w:rPr>
          <w:rFonts w:ascii="Book Antiqua" w:hAnsi="Book Antiqua" w:cs="Arial"/>
        </w:rPr>
        <w:t>Ft</w:t>
      </w:r>
      <w:r>
        <w:rPr>
          <w:rFonts w:ascii="Book Antiqua" w:hAnsi="Book Antiqua" w:cs="Arial"/>
        </w:rPr>
        <w:t>TJ</w:t>
      </w:r>
      <w:proofErr w:type="spellEnd"/>
      <w:r>
        <w:rPr>
          <w:rFonts w:ascii="Book Antiqua" w:hAnsi="Book Antiqua" w:cs="Arial"/>
        </w:rPr>
        <w:t xml:space="preserve"> noted that the refusal by the ECO centred on the Appellant’s inability to satisfy the Rules</w:t>
      </w:r>
      <w:r w:rsidR="00D140B4">
        <w:rPr>
          <w:rFonts w:ascii="Book Antiqua" w:hAnsi="Book Antiqua" w:cs="Arial"/>
        </w:rPr>
        <w:t xml:space="preserve"> as set out above.</w:t>
      </w:r>
    </w:p>
    <w:p w:rsidR="00081E17" w:rsidRDefault="00540F93" w:rsidP="00E943B7">
      <w:pPr>
        <w:numPr>
          <w:ilvl w:val="0"/>
          <w:numId w:val="3"/>
        </w:numPr>
        <w:spacing w:before="240"/>
        <w:jc w:val="both"/>
        <w:rPr>
          <w:rFonts w:ascii="Book Antiqua" w:hAnsi="Book Antiqua" w:cs="Arial"/>
        </w:rPr>
      </w:pPr>
      <w:r>
        <w:rPr>
          <w:rFonts w:ascii="Book Antiqua" w:hAnsi="Book Antiqua" w:cs="Arial"/>
        </w:rPr>
        <w:t>The judge made several relevant findings a</w:t>
      </w:r>
      <w:r w:rsidR="00C04AB9">
        <w:rPr>
          <w:rFonts w:ascii="Book Antiqua" w:hAnsi="Book Antiqua" w:cs="Arial"/>
        </w:rPr>
        <w:t xml:space="preserve">fter </w:t>
      </w:r>
      <w:r>
        <w:rPr>
          <w:rFonts w:ascii="Book Antiqua" w:hAnsi="Book Antiqua" w:cs="Arial"/>
        </w:rPr>
        <w:t xml:space="preserve">(a) </w:t>
      </w:r>
      <w:r w:rsidR="00C04AB9">
        <w:rPr>
          <w:rFonts w:ascii="Book Antiqua" w:hAnsi="Book Antiqua" w:cs="Arial"/>
        </w:rPr>
        <w:t>he</w:t>
      </w:r>
      <w:r w:rsidR="00D140B4">
        <w:rPr>
          <w:rFonts w:ascii="Book Antiqua" w:hAnsi="Book Antiqua" w:cs="Arial"/>
        </w:rPr>
        <w:t>aring</w:t>
      </w:r>
      <w:r>
        <w:rPr>
          <w:rFonts w:ascii="Book Antiqua" w:hAnsi="Book Antiqua" w:cs="Arial"/>
        </w:rPr>
        <w:t xml:space="preserve"> </w:t>
      </w:r>
      <w:r w:rsidR="00D140B4">
        <w:rPr>
          <w:rFonts w:ascii="Book Antiqua" w:hAnsi="Book Antiqua" w:cs="Arial"/>
        </w:rPr>
        <w:t>evidence from the Sponsor</w:t>
      </w:r>
      <w:r>
        <w:rPr>
          <w:rFonts w:ascii="Book Antiqua" w:hAnsi="Book Antiqua" w:cs="Arial"/>
        </w:rPr>
        <w:t>,</w:t>
      </w:r>
      <w:r w:rsidR="00D140B4">
        <w:rPr>
          <w:rFonts w:ascii="Book Antiqua" w:hAnsi="Book Antiqua" w:cs="Arial"/>
        </w:rPr>
        <w:t xml:space="preserve"> whom he found </w:t>
      </w:r>
      <w:r>
        <w:rPr>
          <w:rFonts w:ascii="Book Antiqua" w:hAnsi="Book Antiqua" w:cs="Arial"/>
        </w:rPr>
        <w:t xml:space="preserve">to be wholly </w:t>
      </w:r>
      <w:r w:rsidR="00D140B4">
        <w:rPr>
          <w:rFonts w:ascii="Book Antiqua" w:hAnsi="Book Antiqua" w:cs="Arial"/>
        </w:rPr>
        <w:t>credible</w:t>
      </w:r>
      <w:r>
        <w:rPr>
          <w:rFonts w:ascii="Book Antiqua" w:hAnsi="Book Antiqua" w:cs="Arial"/>
        </w:rPr>
        <w:t>,</w:t>
      </w:r>
      <w:r w:rsidR="00D140B4">
        <w:rPr>
          <w:rFonts w:ascii="Book Antiqua" w:hAnsi="Book Antiqua" w:cs="Arial"/>
        </w:rPr>
        <w:t xml:space="preserve"> </w:t>
      </w:r>
      <w:r>
        <w:rPr>
          <w:rFonts w:ascii="Book Antiqua" w:hAnsi="Book Antiqua" w:cs="Arial"/>
        </w:rPr>
        <w:t>(b)</w:t>
      </w:r>
      <w:r w:rsidR="00D140B4">
        <w:rPr>
          <w:rFonts w:ascii="Book Antiqua" w:hAnsi="Book Antiqua" w:cs="Arial"/>
        </w:rPr>
        <w:t xml:space="preserve"> considering the documentary evidence submitted from </w:t>
      </w:r>
      <w:r w:rsidR="00081E17">
        <w:rPr>
          <w:rFonts w:ascii="Book Antiqua" w:hAnsi="Book Antiqua" w:cs="Arial"/>
        </w:rPr>
        <w:t xml:space="preserve">both HMRC and </w:t>
      </w:r>
      <w:r>
        <w:rPr>
          <w:rFonts w:ascii="Book Antiqua" w:hAnsi="Book Antiqua" w:cs="Arial"/>
        </w:rPr>
        <w:t xml:space="preserve">the </w:t>
      </w:r>
      <w:r w:rsidR="00081E17">
        <w:rPr>
          <w:rFonts w:ascii="Book Antiqua" w:hAnsi="Book Antiqua" w:cs="Arial"/>
        </w:rPr>
        <w:t>Sponsor concerning his employment record</w:t>
      </w:r>
      <w:r>
        <w:rPr>
          <w:rFonts w:ascii="Book Antiqua" w:hAnsi="Book Antiqua" w:cs="Arial"/>
        </w:rPr>
        <w:t>,</w:t>
      </w:r>
      <w:r w:rsidR="00081E17">
        <w:rPr>
          <w:rFonts w:ascii="Book Antiqua" w:hAnsi="Book Antiqua" w:cs="Arial"/>
        </w:rPr>
        <w:t xml:space="preserve"> </w:t>
      </w:r>
      <w:r>
        <w:rPr>
          <w:rFonts w:ascii="Book Antiqua" w:hAnsi="Book Antiqua" w:cs="Arial"/>
        </w:rPr>
        <w:t>and (c) considering</w:t>
      </w:r>
      <w:r w:rsidR="00081E17">
        <w:rPr>
          <w:rFonts w:ascii="Book Antiqua" w:hAnsi="Book Antiqua" w:cs="Arial"/>
        </w:rPr>
        <w:t xml:space="preserve"> a new accommodation report</w:t>
      </w:r>
      <w:r w:rsidR="00C04AB9">
        <w:rPr>
          <w:rFonts w:ascii="Book Antiqua" w:hAnsi="Book Antiqua" w:cs="Arial"/>
        </w:rPr>
        <w:t xml:space="preserve">. </w:t>
      </w:r>
    </w:p>
    <w:p w:rsidR="003A332D" w:rsidRDefault="00540F93" w:rsidP="00E943B7">
      <w:pPr>
        <w:numPr>
          <w:ilvl w:val="0"/>
          <w:numId w:val="3"/>
        </w:numPr>
        <w:spacing w:before="240"/>
        <w:jc w:val="both"/>
        <w:rPr>
          <w:rFonts w:ascii="Book Antiqua" w:hAnsi="Book Antiqua" w:cs="Arial"/>
        </w:rPr>
      </w:pPr>
      <w:r>
        <w:rPr>
          <w:rFonts w:ascii="Book Antiqua" w:hAnsi="Book Antiqua" w:cs="Arial"/>
        </w:rPr>
        <w:t>H</w:t>
      </w:r>
      <w:r w:rsidR="00C04AB9">
        <w:rPr>
          <w:rFonts w:ascii="Book Antiqua" w:hAnsi="Book Antiqua" w:cs="Arial"/>
        </w:rPr>
        <w:t>e discounted the ECO’s reliance on a DVR which purported to set out HMRC’s records for the Sponsor’s earning</w:t>
      </w:r>
      <w:r w:rsidR="00EA75B7">
        <w:rPr>
          <w:rFonts w:ascii="Book Antiqua" w:hAnsi="Book Antiqua" w:cs="Arial"/>
        </w:rPr>
        <w:t>s</w:t>
      </w:r>
      <w:r w:rsidR="00C04AB9">
        <w:rPr>
          <w:rFonts w:ascii="Book Antiqua" w:hAnsi="Book Antiqua" w:cs="Arial"/>
        </w:rPr>
        <w:t xml:space="preserve"> for the tax years </w:t>
      </w:r>
      <w:r w:rsidR="00081E17">
        <w:rPr>
          <w:rFonts w:ascii="Book Antiqua" w:hAnsi="Book Antiqua" w:cs="Arial"/>
        </w:rPr>
        <w:t>covering 2012 to 2016.  He made a finding</w:t>
      </w:r>
      <w:r w:rsidR="00C04AB9">
        <w:rPr>
          <w:rFonts w:ascii="Book Antiqua" w:hAnsi="Book Antiqua" w:cs="Arial"/>
        </w:rPr>
        <w:t xml:space="preserve"> that defects in the DVR significantly undermined the weight to be attached to it.  He found the Sponsor to be a credible witness and noted that copies of correspondence</w:t>
      </w:r>
      <w:r w:rsidR="00081E17">
        <w:rPr>
          <w:rFonts w:ascii="Book Antiqua" w:hAnsi="Book Antiqua" w:cs="Arial"/>
        </w:rPr>
        <w:t xml:space="preserve"> between the Sponsor and </w:t>
      </w:r>
      <w:r w:rsidR="00C04AB9">
        <w:rPr>
          <w:rFonts w:ascii="Book Antiqua" w:hAnsi="Book Antiqua" w:cs="Arial"/>
        </w:rPr>
        <w:t xml:space="preserve">HMRC </w:t>
      </w:r>
      <w:r w:rsidR="00815F98">
        <w:rPr>
          <w:rFonts w:ascii="Book Antiqua" w:hAnsi="Book Antiqua" w:cs="Arial"/>
        </w:rPr>
        <w:t xml:space="preserve">had been provided </w:t>
      </w:r>
      <w:r w:rsidR="00C04AB9">
        <w:rPr>
          <w:rFonts w:ascii="Book Antiqua" w:hAnsi="Book Antiqua" w:cs="Arial"/>
        </w:rPr>
        <w:t xml:space="preserve">which clearly </w:t>
      </w:r>
      <w:r w:rsidR="00C04AB9">
        <w:rPr>
          <w:rFonts w:ascii="Book Antiqua" w:hAnsi="Book Antiqua" w:cs="Arial"/>
        </w:rPr>
        <w:lastRenderedPageBreak/>
        <w:t>stated that the Sponsor’s earnings with his employer</w:t>
      </w:r>
      <w:r>
        <w:rPr>
          <w:rFonts w:ascii="Book Antiqua" w:hAnsi="Book Antiqua" w:cs="Arial"/>
        </w:rPr>
        <w:t>,</w:t>
      </w:r>
      <w:r w:rsidR="00C04AB9">
        <w:rPr>
          <w:rFonts w:ascii="Book Antiqua" w:hAnsi="Book Antiqua" w:cs="Arial"/>
        </w:rPr>
        <w:t xml:space="preserve"> Ahmed and </w:t>
      </w:r>
      <w:proofErr w:type="spellStart"/>
      <w:r w:rsidR="00C04AB9">
        <w:rPr>
          <w:rFonts w:ascii="Book Antiqua" w:hAnsi="Book Antiqua" w:cs="Arial"/>
        </w:rPr>
        <w:t>Sahama</w:t>
      </w:r>
      <w:proofErr w:type="spellEnd"/>
      <w:r>
        <w:rPr>
          <w:rFonts w:ascii="Book Antiqua" w:hAnsi="Book Antiqua" w:cs="Arial"/>
        </w:rPr>
        <w:t>,</w:t>
      </w:r>
      <w:r w:rsidR="00C04AB9">
        <w:rPr>
          <w:rFonts w:ascii="Book Antiqua" w:hAnsi="Book Antiqua" w:cs="Arial"/>
        </w:rPr>
        <w:t xml:space="preserve"> were £19,008</w:t>
      </w:r>
      <w:r w:rsidR="005852FE">
        <w:rPr>
          <w:rFonts w:ascii="Book Antiqua" w:hAnsi="Book Antiqua" w:cs="Arial"/>
        </w:rPr>
        <w:t xml:space="preserve"> for the </w:t>
      </w:r>
      <w:r w:rsidR="00815F98">
        <w:rPr>
          <w:rFonts w:ascii="Book Antiqua" w:hAnsi="Book Antiqua" w:cs="Arial"/>
        </w:rPr>
        <w:t>tax year 2014/15</w:t>
      </w:r>
      <w:r w:rsidR="005852FE">
        <w:rPr>
          <w:rFonts w:ascii="Book Antiqua" w:hAnsi="Book Antiqua" w:cs="Arial"/>
        </w:rPr>
        <w:t xml:space="preserve">.  He therefore made a clear finding that the Sponsor’s earnings for the tax year 2014/15 </w:t>
      </w:r>
      <w:r w:rsidR="00815F98">
        <w:rPr>
          <w:rFonts w:ascii="Book Antiqua" w:hAnsi="Book Antiqua" w:cs="Arial"/>
        </w:rPr>
        <w:t>were</w:t>
      </w:r>
      <w:r w:rsidR="005852FE">
        <w:rPr>
          <w:rFonts w:ascii="Book Antiqua" w:hAnsi="Book Antiqua" w:cs="Arial"/>
        </w:rPr>
        <w:t xml:space="preserve"> £19,008 and not £16,461.78 as stated by the ECO.  This led the judge to the conclusion therefore that the Appellant met the suitability requirements</w:t>
      </w:r>
      <w:r w:rsidR="00081E17">
        <w:rPr>
          <w:rFonts w:ascii="Book Antiqua" w:hAnsi="Book Antiqua" w:cs="Arial"/>
        </w:rPr>
        <w:t xml:space="preserve"> of the Rules</w:t>
      </w:r>
      <w:r w:rsidR="005852FE">
        <w:rPr>
          <w:rFonts w:ascii="Book Antiqua" w:hAnsi="Book Antiqua" w:cs="Arial"/>
        </w:rPr>
        <w:t xml:space="preserve"> so far as the</w:t>
      </w:r>
      <w:r w:rsidR="00081E17">
        <w:rPr>
          <w:rFonts w:ascii="Book Antiqua" w:hAnsi="Book Antiqua" w:cs="Arial"/>
        </w:rPr>
        <w:t xml:space="preserve"> </w:t>
      </w:r>
      <w:r w:rsidR="00815F98">
        <w:rPr>
          <w:rFonts w:ascii="Book Antiqua" w:hAnsi="Book Antiqua" w:cs="Arial"/>
        </w:rPr>
        <w:t>threshold</w:t>
      </w:r>
      <w:r w:rsidR="00081E17">
        <w:rPr>
          <w:rFonts w:ascii="Book Antiqua" w:hAnsi="Book Antiqua" w:cs="Arial"/>
        </w:rPr>
        <w:t xml:space="preserve"> level of income needed</w:t>
      </w:r>
      <w:r w:rsidR="005852FE">
        <w:rPr>
          <w:rFonts w:ascii="Book Antiqua" w:hAnsi="Book Antiqua" w:cs="Arial"/>
        </w:rPr>
        <w:t xml:space="preserve"> was concerned.</w:t>
      </w:r>
    </w:p>
    <w:p w:rsidR="002F4374" w:rsidRDefault="002F4374" w:rsidP="00E943B7">
      <w:pPr>
        <w:numPr>
          <w:ilvl w:val="0"/>
          <w:numId w:val="3"/>
        </w:numPr>
        <w:spacing w:before="240"/>
        <w:jc w:val="both"/>
        <w:rPr>
          <w:rFonts w:ascii="Book Antiqua" w:hAnsi="Book Antiqua" w:cs="Arial"/>
        </w:rPr>
      </w:pPr>
      <w:r>
        <w:rPr>
          <w:rFonts w:ascii="Book Antiqua" w:hAnsi="Book Antiqua" w:cs="Arial"/>
        </w:rPr>
        <w:t xml:space="preserve">With regard to the accommodation requirement, the judge made a finding that the accommodation report had been provided by a professional firm of solicitors regulated by the Law Society and therefore there was no reason to doubt the information provided in it.  In </w:t>
      </w:r>
      <w:proofErr w:type="gramStart"/>
      <w:r>
        <w:rPr>
          <w:rFonts w:ascii="Book Antiqua" w:hAnsi="Book Antiqua" w:cs="Arial"/>
        </w:rPr>
        <w:t>addition</w:t>
      </w:r>
      <w:proofErr w:type="gramEnd"/>
      <w:r>
        <w:rPr>
          <w:rFonts w:ascii="Book Antiqua" w:hAnsi="Book Antiqua" w:cs="Arial"/>
        </w:rPr>
        <w:t xml:space="preserve"> having heard from the Sponsor, the judge </w:t>
      </w:r>
      <w:r w:rsidR="00815F98">
        <w:rPr>
          <w:rFonts w:ascii="Book Antiqua" w:hAnsi="Book Antiqua" w:cs="Arial"/>
        </w:rPr>
        <w:t>was</w:t>
      </w:r>
      <w:r>
        <w:rPr>
          <w:rFonts w:ascii="Book Antiqua" w:hAnsi="Book Antiqua" w:cs="Arial"/>
        </w:rPr>
        <w:t xml:space="preserve"> </w:t>
      </w:r>
      <w:r w:rsidR="00815F98">
        <w:rPr>
          <w:rFonts w:ascii="Book Antiqua" w:hAnsi="Book Antiqua" w:cs="Arial"/>
        </w:rPr>
        <w:t>satisfied</w:t>
      </w:r>
      <w:r>
        <w:rPr>
          <w:rFonts w:ascii="Book Antiqua" w:hAnsi="Book Antiqua" w:cs="Arial"/>
        </w:rPr>
        <w:t xml:space="preserve"> that the Appellant would be adequately accommodated if she came to the UK.  </w:t>
      </w:r>
    </w:p>
    <w:p w:rsidR="005E16F3" w:rsidRDefault="005E16F3" w:rsidP="00E943B7">
      <w:pPr>
        <w:numPr>
          <w:ilvl w:val="0"/>
          <w:numId w:val="3"/>
        </w:numPr>
        <w:spacing w:before="240"/>
        <w:jc w:val="both"/>
        <w:rPr>
          <w:rFonts w:ascii="Book Antiqua" w:hAnsi="Book Antiqua" w:cs="Arial"/>
        </w:rPr>
      </w:pPr>
      <w:r>
        <w:rPr>
          <w:rFonts w:ascii="Book Antiqua" w:hAnsi="Book Antiqua" w:cs="Arial"/>
        </w:rPr>
        <w:t xml:space="preserve">The judge then looked at the financial eligibility requirements and noted two points.  </w:t>
      </w:r>
      <w:proofErr w:type="gramStart"/>
      <w:r>
        <w:rPr>
          <w:rFonts w:ascii="Book Antiqua" w:hAnsi="Book Antiqua" w:cs="Arial"/>
        </w:rPr>
        <w:t>Firstly</w:t>
      </w:r>
      <w:proofErr w:type="gramEnd"/>
      <w:r>
        <w:rPr>
          <w:rFonts w:ascii="Book Antiqua" w:hAnsi="Book Antiqua" w:cs="Arial"/>
        </w:rPr>
        <w:t xml:space="preserve"> it was said at [42] that the Presenting Officer had noticed that the bank statement for April 2015 was missing from the Appellant’s bundle.  The judge discounted that matter because he noted that the ECO had not suggested that any documents were missing.</w:t>
      </w:r>
    </w:p>
    <w:p w:rsidR="00B41F0E" w:rsidRDefault="00081E17" w:rsidP="00EE6C11">
      <w:pPr>
        <w:numPr>
          <w:ilvl w:val="0"/>
          <w:numId w:val="3"/>
        </w:numPr>
        <w:spacing w:before="240"/>
        <w:jc w:val="both"/>
        <w:rPr>
          <w:rFonts w:ascii="Book Antiqua" w:hAnsi="Book Antiqua" w:cs="Arial"/>
        </w:rPr>
      </w:pPr>
      <w:r w:rsidRPr="00815F98">
        <w:rPr>
          <w:rFonts w:ascii="Book Antiqua" w:hAnsi="Book Antiqua" w:cs="Arial"/>
        </w:rPr>
        <w:t>That however was not the end of the matter. A difficulty arose</w:t>
      </w:r>
      <w:r w:rsidR="00D9308F" w:rsidRPr="00815F98">
        <w:rPr>
          <w:rFonts w:ascii="Book Antiqua" w:hAnsi="Book Antiqua" w:cs="Arial"/>
        </w:rPr>
        <w:t xml:space="preserve"> in that</w:t>
      </w:r>
      <w:r w:rsidRPr="00815F98">
        <w:rPr>
          <w:rFonts w:ascii="Book Antiqua" w:hAnsi="Book Antiqua" w:cs="Arial"/>
        </w:rPr>
        <w:t xml:space="preserve"> part of the ECO’s refusal was based on the fact that </w:t>
      </w:r>
      <w:r w:rsidR="00D9308F" w:rsidRPr="00815F98">
        <w:rPr>
          <w:rFonts w:ascii="Book Antiqua" w:hAnsi="Book Antiqua" w:cs="Arial"/>
        </w:rPr>
        <w:t>th</w:t>
      </w:r>
      <w:r w:rsidRPr="00815F98">
        <w:rPr>
          <w:rFonts w:ascii="Book Antiqua" w:hAnsi="Book Antiqua" w:cs="Arial"/>
        </w:rPr>
        <w:t>e</w:t>
      </w:r>
      <w:r w:rsidR="00D9308F" w:rsidRPr="00815F98">
        <w:rPr>
          <w:rFonts w:ascii="Book Antiqua" w:hAnsi="Book Antiqua" w:cs="Arial"/>
        </w:rPr>
        <w:t xml:space="preserve"> le</w:t>
      </w:r>
      <w:r w:rsidRPr="00815F98">
        <w:rPr>
          <w:rFonts w:ascii="Book Antiqua" w:hAnsi="Book Antiqua" w:cs="Arial"/>
        </w:rPr>
        <w:t xml:space="preserve">tter from Ahmed and </w:t>
      </w:r>
      <w:proofErr w:type="spellStart"/>
      <w:r w:rsidRPr="00815F98">
        <w:rPr>
          <w:rFonts w:ascii="Book Antiqua" w:hAnsi="Book Antiqua" w:cs="Arial"/>
        </w:rPr>
        <w:t>Sahama</w:t>
      </w:r>
      <w:proofErr w:type="spellEnd"/>
      <w:r w:rsidRPr="00815F98">
        <w:rPr>
          <w:rFonts w:ascii="Book Antiqua" w:hAnsi="Book Antiqua" w:cs="Arial"/>
        </w:rPr>
        <w:t xml:space="preserve"> which had been provided </w:t>
      </w:r>
      <w:r w:rsidR="00EE6C11" w:rsidRPr="00815F98">
        <w:rPr>
          <w:rFonts w:ascii="Book Antiqua" w:hAnsi="Book Antiqua" w:cs="Arial"/>
        </w:rPr>
        <w:t>as part of the specified documents,</w:t>
      </w:r>
      <w:r w:rsidR="00D9308F" w:rsidRPr="00815F98">
        <w:rPr>
          <w:rFonts w:ascii="Book Antiqua" w:hAnsi="Book Antiqua" w:cs="Arial"/>
        </w:rPr>
        <w:t xml:space="preserve"> did not state when the Sponsor started earning the level of salary relied upon in </w:t>
      </w:r>
      <w:r w:rsidR="00EE6C11" w:rsidRPr="00815F98">
        <w:rPr>
          <w:rFonts w:ascii="Book Antiqua" w:hAnsi="Book Antiqua" w:cs="Arial"/>
        </w:rPr>
        <w:t>the Appellant’s application.  The judge</w:t>
      </w:r>
      <w:r w:rsidR="00D9308F" w:rsidRPr="00815F98">
        <w:rPr>
          <w:rFonts w:ascii="Book Antiqua" w:hAnsi="Book Antiqua" w:cs="Arial"/>
        </w:rPr>
        <w:t xml:space="preserve"> noted that it was accepted by Counsel appearing on behalf of the Appellant that the letter was missing the relevant information.  There was then some discussion </w:t>
      </w:r>
      <w:r w:rsidR="00815F98" w:rsidRPr="00815F98">
        <w:rPr>
          <w:rFonts w:ascii="Book Antiqua" w:hAnsi="Book Antiqua" w:cs="Arial"/>
        </w:rPr>
        <w:t>at the hearing between th</w:t>
      </w:r>
      <w:r w:rsidR="004F3B8B">
        <w:rPr>
          <w:rFonts w:ascii="Book Antiqua" w:hAnsi="Book Antiqua" w:cs="Arial"/>
        </w:rPr>
        <w:t>e parties</w:t>
      </w:r>
      <w:r w:rsidR="00815F98" w:rsidRPr="00815F98">
        <w:rPr>
          <w:rFonts w:ascii="Book Antiqua" w:hAnsi="Book Antiqua" w:cs="Arial"/>
        </w:rPr>
        <w:t xml:space="preserve"> as </w:t>
      </w:r>
      <w:r w:rsidR="00815F98">
        <w:rPr>
          <w:rFonts w:ascii="Book Antiqua" w:hAnsi="Book Antiqua" w:cs="Arial"/>
        </w:rPr>
        <w:t>to</w:t>
      </w:r>
      <w:r w:rsidR="00D9308F" w:rsidRPr="00815F98">
        <w:rPr>
          <w:rFonts w:ascii="Book Antiqua" w:hAnsi="Book Antiqua" w:cs="Arial"/>
        </w:rPr>
        <w:t xml:space="preserve"> whether the ECO ought to have applied the flexible policy requirements of Appendix FM-SE.</w:t>
      </w:r>
      <w:r w:rsidR="004F3B8B">
        <w:rPr>
          <w:rFonts w:ascii="Book Antiqua" w:hAnsi="Book Antiqua" w:cs="Arial"/>
        </w:rPr>
        <w:t xml:space="preserve"> Counsel for the Appellant submitted </w:t>
      </w:r>
      <w:r w:rsidR="00BD10EA">
        <w:rPr>
          <w:rFonts w:ascii="Book Antiqua" w:hAnsi="Book Antiqua" w:cs="Arial"/>
        </w:rPr>
        <w:t xml:space="preserve">that </w:t>
      </w:r>
      <w:r w:rsidR="004F3B8B">
        <w:rPr>
          <w:rFonts w:ascii="Book Antiqua" w:hAnsi="Book Antiqua" w:cs="Arial"/>
        </w:rPr>
        <w:t>he should</w:t>
      </w:r>
      <w:r w:rsidR="00BD10EA">
        <w:rPr>
          <w:rFonts w:ascii="Book Antiqua" w:hAnsi="Book Antiqua" w:cs="Arial"/>
        </w:rPr>
        <w:t xml:space="preserve"> have done so</w:t>
      </w:r>
      <w:r w:rsidR="004F3B8B">
        <w:rPr>
          <w:rFonts w:ascii="Book Antiqua" w:hAnsi="Book Antiqua" w:cs="Arial"/>
        </w:rPr>
        <w:t>.</w:t>
      </w:r>
      <w:r w:rsidR="00D9308F" w:rsidRPr="00815F98">
        <w:rPr>
          <w:rFonts w:ascii="Book Antiqua" w:hAnsi="Book Antiqua" w:cs="Arial"/>
        </w:rPr>
        <w:t xml:space="preserve">  </w:t>
      </w:r>
    </w:p>
    <w:p w:rsidR="00B41F0E" w:rsidRDefault="00D9308F" w:rsidP="00EE6C11">
      <w:pPr>
        <w:numPr>
          <w:ilvl w:val="0"/>
          <w:numId w:val="3"/>
        </w:numPr>
        <w:spacing w:before="240"/>
        <w:jc w:val="both"/>
        <w:rPr>
          <w:rFonts w:ascii="Book Antiqua" w:hAnsi="Book Antiqua" w:cs="Arial"/>
        </w:rPr>
      </w:pPr>
      <w:r w:rsidRPr="00815F98">
        <w:rPr>
          <w:rFonts w:ascii="Book Antiqua" w:hAnsi="Book Antiqua" w:cs="Arial"/>
        </w:rPr>
        <w:t xml:space="preserve">The judge rejected </w:t>
      </w:r>
      <w:r w:rsidR="00B41F0E">
        <w:rPr>
          <w:rFonts w:ascii="Book Antiqua" w:hAnsi="Book Antiqua" w:cs="Arial"/>
        </w:rPr>
        <w:t>Counsel’s</w:t>
      </w:r>
      <w:r w:rsidRPr="00815F98">
        <w:rPr>
          <w:rFonts w:ascii="Book Antiqua" w:hAnsi="Book Antiqua" w:cs="Arial"/>
        </w:rPr>
        <w:t xml:space="preserve"> submission</w:t>
      </w:r>
      <w:r w:rsidR="00690690">
        <w:rPr>
          <w:rFonts w:ascii="Book Antiqua" w:hAnsi="Book Antiqua" w:cs="Arial"/>
        </w:rPr>
        <w:t xml:space="preserve"> stating</w:t>
      </w:r>
      <w:r w:rsidR="00B41F0E">
        <w:rPr>
          <w:rFonts w:ascii="Book Antiqua" w:hAnsi="Book Antiqua" w:cs="Arial"/>
        </w:rPr>
        <w:t>:</w:t>
      </w:r>
    </w:p>
    <w:p w:rsidR="00B41F0E" w:rsidRDefault="00690690" w:rsidP="00690690">
      <w:pPr>
        <w:spacing w:before="240"/>
        <w:ind w:left="1134"/>
        <w:jc w:val="both"/>
        <w:rPr>
          <w:rFonts w:ascii="Book Antiqua" w:hAnsi="Book Antiqua" w:cs="Arial"/>
        </w:rPr>
      </w:pPr>
      <w:r>
        <w:rPr>
          <w:rFonts w:ascii="Book Antiqua" w:hAnsi="Book Antiqua" w:cs="Arial"/>
        </w:rPr>
        <w:t>“47.</w:t>
      </w:r>
      <w:r w:rsidR="00EE6C11" w:rsidRPr="00815F98">
        <w:rPr>
          <w:rFonts w:ascii="Book Antiqua" w:hAnsi="Book Antiqua" w:cs="Arial"/>
        </w:rPr>
        <w:t xml:space="preserve"> I note that the ECO refused the application for several reasons</w:t>
      </w:r>
      <w:r w:rsidR="00B41F0E">
        <w:rPr>
          <w:rFonts w:ascii="Book Antiqua" w:hAnsi="Book Antiqua" w:cs="Arial"/>
        </w:rPr>
        <w:t>,</w:t>
      </w:r>
      <w:r w:rsidR="00EE6C11" w:rsidRPr="00815F98">
        <w:rPr>
          <w:rFonts w:ascii="Book Antiqua" w:hAnsi="Book Antiqua" w:cs="Arial"/>
        </w:rPr>
        <w:t xml:space="preserve"> as such I am satisfied that the ECO cannot be c</w:t>
      </w:r>
      <w:r w:rsidR="00B41F0E">
        <w:rPr>
          <w:rFonts w:ascii="Book Antiqua" w:hAnsi="Book Antiqua" w:cs="Arial"/>
        </w:rPr>
        <w:t>ri</w:t>
      </w:r>
      <w:r w:rsidR="00EE6C11" w:rsidRPr="00815F98">
        <w:rPr>
          <w:rFonts w:ascii="Book Antiqua" w:hAnsi="Book Antiqua" w:cs="Arial"/>
        </w:rPr>
        <w:t>ticised for not applying the flexible policy requirements of appendix FM-SE</w:t>
      </w:r>
      <w:r w:rsidR="00B41F0E">
        <w:rPr>
          <w:rFonts w:ascii="Book Antiqua" w:hAnsi="Book Antiqua" w:cs="Arial"/>
        </w:rPr>
        <w:t>.</w:t>
      </w:r>
    </w:p>
    <w:p w:rsidR="00E64C5E" w:rsidRPr="00E64C5E" w:rsidRDefault="00690690" w:rsidP="00690690">
      <w:pPr>
        <w:spacing w:before="240"/>
        <w:ind w:left="1134"/>
        <w:jc w:val="both"/>
        <w:rPr>
          <w:rFonts w:ascii="Book Antiqua" w:hAnsi="Book Antiqua" w:cs="Arial"/>
        </w:rPr>
      </w:pPr>
      <w:r>
        <w:rPr>
          <w:rFonts w:ascii="Book Antiqua" w:hAnsi="Book Antiqua" w:cs="Arial"/>
        </w:rPr>
        <w:t xml:space="preserve">48. </w:t>
      </w:r>
      <w:r w:rsidR="00E64C5E">
        <w:rPr>
          <w:rFonts w:ascii="Book Antiqua" w:hAnsi="Book Antiqua" w:cs="Arial"/>
        </w:rPr>
        <w:t xml:space="preserve">The Appellant’s counsel also relied on </w:t>
      </w:r>
      <w:r w:rsidR="00E64C5E">
        <w:rPr>
          <w:rFonts w:ascii="Book Antiqua" w:hAnsi="Book Antiqua" w:cs="Arial"/>
          <w:b/>
          <w:u w:val="single"/>
        </w:rPr>
        <w:t>Sultana and Others (rules: waiver/further enquiry; discretion) [2014] UKUT</w:t>
      </w:r>
      <w:r w:rsidR="000C1A9F">
        <w:rPr>
          <w:rFonts w:ascii="Book Antiqua" w:hAnsi="Book Antiqua" w:cs="Arial"/>
          <w:b/>
          <w:u w:val="single"/>
        </w:rPr>
        <w:t xml:space="preserve"> </w:t>
      </w:r>
      <w:r w:rsidR="00E64C5E">
        <w:rPr>
          <w:rFonts w:ascii="Book Antiqua" w:hAnsi="Book Antiqua" w:cs="Arial"/>
          <w:b/>
          <w:u w:val="single"/>
        </w:rPr>
        <w:t>00540 (IAC)</w:t>
      </w:r>
      <w:r w:rsidR="00E64C5E" w:rsidRPr="00E64C5E">
        <w:rPr>
          <w:rFonts w:ascii="Book Antiqua" w:hAnsi="Book Antiqua" w:cs="Arial"/>
        </w:rPr>
        <w:t>.</w:t>
      </w:r>
      <w:r w:rsidR="00E64C5E" w:rsidRPr="00E64C5E">
        <w:rPr>
          <w:rFonts w:ascii="Book Antiqua" w:hAnsi="Book Antiqua" w:cs="Arial"/>
          <w:b/>
        </w:rPr>
        <w:t xml:space="preserve"> </w:t>
      </w:r>
      <w:r>
        <w:rPr>
          <w:rFonts w:ascii="Book Antiqua" w:hAnsi="Book Antiqua" w:cs="Arial"/>
          <w:b/>
        </w:rPr>
        <w:t xml:space="preserve"> </w:t>
      </w:r>
      <w:r w:rsidR="00E64C5E">
        <w:rPr>
          <w:rFonts w:ascii="Book Antiqua" w:hAnsi="Book Antiqua" w:cs="Arial"/>
        </w:rPr>
        <w:t>However, the Tribunal’s decision was considering whether the decision was “in accordance with the law” under the previous appeal regime and the present appeal is limited</w:t>
      </w:r>
      <w:r w:rsidR="004F3B8B">
        <w:rPr>
          <w:rFonts w:ascii="Book Antiqua" w:hAnsi="Book Antiqua" w:cs="Arial"/>
        </w:rPr>
        <w:t xml:space="preserve"> to</w:t>
      </w:r>
      <w:r w:rsidR="00E64C5E">
        <w:rPr>
          <w:rFonts w:ascii="Book Antiqua" w:hAnsi="Book Antiqua" w:cs="Arial"/>
        </w:rPr>
        <w:t xml:space="preserve"> human rights grounds.</w:t>
      </w:r>
    </w:p>
    <w:p w:rsidR="00D9308F" w:rsidRDefault="00690690" w:rsidP="00D9308F">
      <w:pPr>
        <w:spacing w:before="240"/>
        <w:ind w:left="1134"/>
        <w:jc w:val="both"/>
        <w:rPr>
          <w:rFonts w:ascii="Book Antiqua" w:hAnsi="Book Antiqua" w:cs="Arial"/>
        </w:rPr>
      </w:pPr>
      <w:r>
        <w:rPr>
          <w:rFonts w:ascii="Book Antiqua" w:hAnsi="Book Antiqua" w:cs="Arial"/>
        </w:rPr>
        <w:t xml:space="preserve">49. </w:t>
      </w:r>
      <w:r w:rsidR="00D9308F">
        <w:rPr>
          <w:rFonts w:ascii="Book Antiqua" w:hAnsi="Book Antiqua" w:cs="Arial"/>
        </w:rPr>
        <w:t xml:space="preserve">On the totality of the evidence, I find that the letter from the Sponsor’s employer did not meet the formal requirements of Appendix FM-SE.  Accordingly, I am satisfied that the Appellant failed to meet all the requirements of the </w:t>
      </w:r>
      <w:r w:rsidR="00B41F0E">
        <w:rPr>
          <w:rFonts w:ascii="Book Antiqua" w:hAnsi="Book Antiqua" w:cs="Arial"/>
        </w:rPr>
        <w:t>r</w:t>
      </w:r>
      <w:r w:rsidR="00D9308F">
        <w:rPr>
          <w:rFonts w:ascii="Book Antiqua" w:hAnsi="Book Antiqua" w:cs="Arial"/>
        </w:rPr>
        <w:t>ules.”</w:t>
      </w:r>
    </w:p>
    <w:p w:rsidR="00D9308F" w:rsidRDefault="00EE6C11" w:rsidP="00E943B7">
      <w:pPr>
        <w:numPr>
          <w:ilvl w:val="0"/>
          <w:numId w:val="3"/>
        </w:numPr>
        <w:spacing w:before="240"/>
        <w:jc w:val="both"/>
        <w:rPr>
          <w:rFonts w:ascii="Book Antiqua" w:hAnsi="Book Antiqua" w:cs="Arial"/>
        </w:rPr>
      </w:pPr>
      <w:r>
        <w:rPr>
          <w:rFonts w:ascii="Book Antiqua" w:hAnsi="Book Antiqua" w:cs="Arial"/>
        </w:rPr>
        <w:lastRenderedPageBreak/>
        <w:t>Having made those</w:t>
      </w:r>
      <w:r w:rsidR="00D9308F">
        <w:rPr>
          <w:rFonts w:ascii="Book Antiqua" w:hAnsi="Book Antiqua" w:cs="Arial"/>
        </w:rPr>
        <w:t xml:space="preserve"> finding</w:t>
      </w:r>
      <w:r>
        <w:rPr>
          <w:rFonts w:ascii="Book Antiqua" w:hAnsi="Book Antiqua" w:cs="Arial"/>
        </w:rPr>
        <w:t>s, the judge</w:t>
      </w:r>
      <w:r w:rsidR="00D9308F">
        <w:rPr>
          <w:rFonts w:ascii="Book Antiqua" w:hAnsi="Book Antiqua" w:cs="Arial"/>
        </w:rPr>
        <w:t xml:space="preserve"> proceeded</w:t>
      </w:r>
      <w:r>
        <w:rPr>
          <w:rFonts w:ascii="Book Antiqua" w:hAnsi="Book Antiqua" w:cs="Arial"/>
        </w:rPr>
        <w:t xml:space="preserve"> </w:t>
      </w:r>
      <w:r w:rsidR="00D9308F">
        <w:rPr>
          <w:rFonts w:ascii="Book Antiqua" w:hAnsi="Book Antiqua" w:cs="Arial"/>
        </w:rPr>
        <w:t xml:space="preserve">to give </w:t>
      </w:r>
      <w:r w:rsidR="004F3B8B">
        <w:rPr>
          <w:rFonts w:ascii="Book Antiqua" w:hAnsi="Book Antiqua" w:cs="Arial"/>
        </w:rPr>
        <w:t>consideration to</w:t>
      </w:r>
      <w:r>
        <w:rPr>
          <w:rFonts w:ascii="Book Antiqua" w:hAnsi="Book Antiqua" w:cs="Arial"/>
        </w:rPr>
        <w:t xml:space="preserve"> Article 8</w:t>
      </w:r>
      <w:r w:rsidR="004F3B8B">
        <w:rPr>
          <w:rFonts w:ascii="Book Antiqua" w:hAnsi="Book Antiqua" w:cs="Arial"/>
        </w:rPr>
        <w:t xml:space="preserve"> ECHR.</w:t>
      </w:r>
    </w:p>
    <w:p w:rsidR="00DA45B9" w:rsidRPr="00BD10EA" w:rsidRDefault="004F3B8B" w:rsidP="00545777">
      <w:pPr>
        <w:numPr>
          <w:ilvl w:val="0"/>
          <w:numId w:val="3"/>
        </w:numPr>
        <w:spacing w:before="240"/>
        <w:jc w:val="both"/>
        <w:rPr>
          <w:rFonts w:ascii="Book Antiqua" w:hAnsi="Book Antiqua" w:cs="Arial"/>
        </w:rPr>
      </w:pPr>
      <w:r w:rsidRPr="00BD10EA">
        <w:rPr>
          <w:rFonts w:ascii="Book Antiqua" w:hAnsi="Book Antiqua" w:cs="Arial"/>
        </w:rPr>
        <w:t>C</w:t>
      </w:r>
      <w:r w:rsidR="00D9308F" w:rsidRPr="00BD10EA">
        <w:rPr>
          <w:rFonts w:ascii="Book Antiqua" w:hAnsi="Book Antiqua" w:cs="Arial"/>
        </w:rPr>
        <w:t>ontrary to [47</w:t>
      </w:r>
      <w:r w:rsidR="00690690" w:rsidRPr="00BD10EA">
        <w:rPr>
          <w:rFonts w:ascii="Book Antiqua" w:hAnsi="Book Antiqua" w:cs="Arial"/>
        </w:rPr>
        <w:t xml:space="preserve"> - </w:t>
      </w:r>
      <w:r w:rsidR="00545777" w:rsidRPr="00BD10EA">
        <w:rPr>
          <w:rFonts w:ascii="Book Antiqua" w:hAnsi="Book Antiqua" w:cs="Arial"/>
        </w:rPr>
        <w:t>49]</w:t>
      </w:r>
      <w:r w:rsidR="00690690" w:rsidRPr="00BD10EA">
        <w:rPr>
          <w:rFonts w:ascii="Book Antiqua" w:hAnsi="Book Antiqua" w:cs="Arial"/>
        </w:rPr>
        <w:t>,</w:t>
      </w:r>
      <w:r w:rsidR="00545777" w:rsidRPr="00BD10EA">
        <w:rPr>
          <w:rFonts w:ascii="Book Antiqua" w:hAnsi="Book Antiqua" w:cs="Arial"/>
        </w:rPr>
        <w:t xml:space="preserve"> </w:t>
      </w:r>
      <w:r w:rsidRPr="00BD10EA">
        <w:rPr>
          <w:rFonts w:ascii="Book Antiqua" w:hAnsi="Book Antiqua" w:cs="Arial"/>
        </w:rPr>
        <w:t>the judge appeared</w:t>
      </w:r>
      <w:r w:rsidR="00D9308F" w:rsidRPr="00BD10EA">
        <w:rPr>
          <w:rFonts w:ascii="Book Antiqua" w:hAnsi="Book Antiqua" w:cs="Arial"/>
        </w:rPr>
        <w:t xml:space="preserve"> to back</w:t>
      </w:r>
      <w:r w:rsidR="00690690" w:rsidRPr="00BD10EA">
        <w:rPr>
          <w:rFonts w:ascii="Book Antiqua" w:hAnsi="Book Antiqua" w:cs="Arial"/>
        </w:rPr>
        <w:t>track</w:t>
      </w:r>
      <w:r w:rsidR="00D9308F" w:rsidRPr="00BD10EA">
        <w:rPr>
          <w:rFonts w:ascii="Book Antiqua" w:hAnsi="Book Antiqua" w:cs="Arial"/>
        </w:rPr>
        <w:t xml:space="preserve"> on</w:t>
      </w:r>
      <w:r w:rsidRPr="00BD10EA">
        <w:rPr>
          <w:rFonts w:ascii="Book Antiqua" w:hAnsi="Book Antiqua" w:cs="Arial"/>
        </w:rPr>
        <w:t xml:space="preserve"> </w:t>
      </w:r>
      <w:r w:rsidR="00D9308F" w:rsidRPr="00BD10EA">
        <w:rPr>
          <w:rFonts w:ascii="Book Antiqua" w:hAnsi="Book Antiqua" w:cs="Arial"/>
        </w:rPr>
        <w:t>what</w:t>
      </w:r>
      <w:r w:rsidRPr="00BD10EA">
        <w:rPr>
          <w:rFonts w:ascii="Book Antiqua" w:hAnsi="Book Antiqua" w:cs="Arial"/>
        </w:rPr>
        <w:t xml:space="preserve"> </w:t>
      </w:r>
      <w:r w:rsidR="00BD10EA" w:rsidRPr="00BD10EA">
        <w:rPr>
          <w:rFonts w:ascii="Book Antiqua" w:hAnsi="Book Antiqua" w:cs="Arial"/>
        </w:rPr>
        <w:t>he</w:t>
      </w:r>
      <w:r w:rsidRPr="00BD10EA">
        <w:rPr>
          <w:rFonts w:ascii="Book Antiqua" w:hAnsi="Book Antiqua" w:cs="Arial"/>
        </w:rPr>
        <w:t xml:space="preserve"> said </w:t>
      </w:r>
      <w:r w:rsidR="006A7313" w:rsidRPr="00BD10EA">
        <w:rPr>
          <w:rFonts w:ascii="Book Antiqua" w:hAnsi="Book Antiqua" w:cs="Arial"/>
        </w:rPr>
        <w:t>in those paragraphs.</w:t>
      </w:r>
      <w:r w:rsidR="00545777" w:rsidRPr="00BD10EA">
        <w:rPr>
          <w:rFonts w:ascii="Book Antiqua" w:hAnsi="Book Antiqua" w:cs="Arial"/>
        </w:rPr>
        <w:t xml:space="preserve"> </w:t>
      </w:r>
      <w:r w:rsidR="00690690" w:rsidRPr="00BD10EA">
        <w:rPr>
          <w:rFonts w:ascii="Book Antiqua" w:hAnsi="Book Antiqua" w:cs="Arial"/>
        </w:rPr>
        <w:t xml:space="preserve"> </w:t>
      </w:r>
      <w:r w:rsidR="00545777" w:rsidRPr="00BD10EA">
        <w:rPr>
          <w:rFonts w:ascii="Book Antiqua" w:hAnsi="Book Antiqua" w:cs="Arial"/>
        </w:rPr>
        <w:t xml:space="preserve">He </w:t>
      </w:r>
      <w:r w:rsidR="00BD10EA" w:rsidRPr="00BD10EA">
        <w:rPr>
          <w:rFonts w:ascii="Book Antiqua" w:hAnsi="Book Antiqua" w:cs="Arial"/>
        </w:rPr>
        <w:t>found</w:t>
      </w:r>
      <w:r w:rsidR="00545777" w:rsidRPr="00BD10EA">
        <w:rPr>
          <w:rFonts w:ascii="Book Antiqua" w:hAnsi="Book Antiqua" w:cs="Arial"/>
        </w:rPr>
        <w:t xml:space="preserve"> that the defect in the Appellant’s documents is a “minor” one. </w:t>
      </w:r>
      <w:r w:rsidR="00690690" w:rsidRPr="00BD10EA">
        <w:rPr>
          <w:rFonts w:ascii="Book Antiqua" w:hAnsi="Book Antiqua" w:cs="Arial"/>
        </w:rPr>
        <w:t xml:space="preserve"> </w:t>
      </w:r>
      <w:r w:rsidR="00545777" w:rsidRPr="00BD10EA">
        <w:rPr>
          <w:rFonts w:ascii="Book Antiqua" w:hAnsi="Book Antiqua" w:cs="Arial"/>
        </w:rPr>
        <w:t>Using that finding</w:t>
      </w:r>
      <w:r w:rsidR="00690690" w:rsidRPr="00BD10EA">
        <w:rPr>
          <w:rFonts w:ascii="Book Antiqua" w:hAnsi="Book Antiqua" w:cs="Arial"/>
        </w:rPr>
        <w:t>,</w:t>
      </w:r>
      <w:r w:rsidR="006A7313" w:rsidRPr="00BD10EA">
        <w:rPr>
          <w:rFonts w:ascii="Book Antiqua" w:hAnsi="Book Antiqua" w:cs="Arial"/>
        </w:rPr>
        <w:t xml:space="preserve"> his approach appeared </w:t>
      </w:r>
      <w:r w:rsidR="00545777" w:rsidRPr="00BD10EA">
        <w:rPr>
          <w:rFonts w:ascii="Book Antiqua" w:hAnsi="Book Antiqua" w:cs="Arial"/>
        </w:rPr>
        <w:t>to be that</w:t>
      </w:r>
      <w:r w:rsidR="003D3D9B" w:rsidRPr="00BD10EA">
        <w:rPr>
          <w:rFonts w:ascii="Book Antiqua" w:hAnsi="Book Antiqua" w:cs="Arial"/>
        </w:rPr>
        <w:t xml:space="preserve"> the ratio in</w:t>
      </w:r>
      <w:r w:rsidR="00545777" w:rsidRPr="00BD10EA">
        <w:rPr>
          <w:rFonts w:ascii="Book Antiqua" w:hAnsi="Book Antiqua" w:cs="Arial"/>
        </w:rPr>
        <w:t xml:space="preserve"> </w:t>
      </w:r>
      <w:r w:rsidR="00545777" w:rsidRPr="00BD10EA">
        <w:rPr>
          <w:rFonts w:ascii="Book Antiqua" w:hAnsi="Book Antiqua" w:cs="Arial"/>
          <w:b/>
          <w:u w:val="single"/>
        </w:rPr>
        <w:t>Sultana</w:t>
      </w:r>
      <w:r w:rsidR="00690690" w:rsidRPr="00BD10EA">
        <w:rPr>
          <w:rFonts w:ascii="Book Antiqua" w:hAnsi="Book Antiqua" w:cs="Arial"/>
          <w:b/>
          <w:u w:val="single"/>
        </w:rPr>
        <w:t xml:space="preserve"> and Others</w:t>
      </w:r>
      <w:r w:rsidR="006A7313" w:rsidRPr="00BD10EA">
        <w:rPr>
          <w:rFonts w:ascii="Book Antiqua" w:hAnsi="Book Antiqua" w:cs="Arial"/>
        </w:rPr>
        <w:t xml:space="preserve"> provided</w:t>
      </w:r>
      <w:r w:rsidR="00545777" w:rsidRPr="00BD10EA">
        <w:rPr>
          <w:rFonts w:ascii="Book Antiqua" w:hAnsi="Book Antiqua" w:cs="Arial"/>
        </w:rPr>
        <w:t xml:space="preserve"> </w:t>
      </w:r>
      <w:r w:rsidR="003D3D9B" w:rsidRPr="00BD10EA">
        <w:rPr>
          <w:rFonts w:ascii="Book Antiqua" w:hAnsi="Book Antiqua" w:cs="Arial"/>
        </w:rPr>
        <w:t xml:space="preserve">him with </w:t>
      </w:r>
      <w:r w:rsidR="00545777" w:rsidRPr="00BD10EA">
        <w:rPr>
          <w:rFonts w:ascii="Book Antiqua" w:hAnsi="Book Antiqua" w:cs="Arial"/>
        </w:rPr>
        <w:t>a</w:t>
      </w:r>
      <w:r w:rsidR="003D3D9B" w:rsidRPr="00BD10EA">
        <w:rPr>
          <w:rFonts w:ascii="Book Antiqua" w:hAnsi="Book Antiqua" w:cs="Arial"/>
        </w:rPr>
        <w:t xml:space="preserve"> discretion on evidential flexibility. </w:t>
      </w:r>
      <w:r w:rsidR="00BD10EA" w:rsidRPr="00BD10EA">
        <w:rPr>
          <w:rFonts w:ascii="Book Antiqua" w:hAnsi="Book Antiqua" w:cs="Arial"/>
        </w:rPr>
        <w:t xml:space="preserve"> </w:t>
      </w:r>
      <w:r w:rsidR="006A7313" w:rsidRPr="00BD10EA">
        <w:rPr>
          <w:rFonts w:ascii="Book Antiqua" w:hAnsi="Book Antiqua" w:cs="Arial"/>
        </w:rPr>
        <w:t>He used that factor as his reasoning for allowing the appeal.</w:t>
      </w:r>
      <w:r w:rsidR="003D3D9B" w:rsidRPr="00BD10EA">
        <w:rPr>
          <w:rFonts w:ascii="Book Antiqua" w:hAnsi="Book Antiqua" w:cs="Arial"/>
        </w:rPr>
        <w:t xml:space="preserve"> </w:t>
      </w:r>
    </w:p>
    <w:p w:rsidR="00BD10EA" w:rsidRDefault="006A7313" w:rsidP="00545777">
      <w:pPr>
        <w:numPr>
          <w:ilvl w:val="0"/>
          <w:numId w:val="3"/>
        </w:numPr>
        <w:spacing w:before="240"/>
        <w:jc w:val="both"/>
        <w:rPr>
          <w:rFonts w:ascii="Book Antiqua" w:hAnsi="Book Antiqua" w:cs="Arial"/>
        </w:rPr>
      </w:pPr>
      <w:r>
        <w:rPr>
          <w:rFonts w:ascii="Book Antiqua" w:hAnsi="Book Antiqua" w:cs="Arial"/>
        </w:rPr>
        <w:t>There then followed an unclear finding</w:t>
      </w:r>
      <w:r w:rsidR="00C227D4">
        <w:rPr>
          <w:rFonts w:ascii="Book Antiqua" w:hAnsi="Book Antiqua" w:cs="Arial"/>
        </w:rPr>
        <w:t xml:space="preserve"> at [5</w:t>
      </w:r>
      <w:r w:rsidR="00690690">
        <w:rPr>
          <w:rFonts w:ascii="Book Antiqua" w:hAnsi="Book Antiqua" w:cs="Arial"/>
        </w:rPr>
        <w:t>7</w:t>
      </w:r>
      <w:r w:rsidR="00C227D4">
        <w:rPr>
          <w:rFonts w:ascii="Book Antiqua" w:hAnsi="Book Antiqua" w:cs="Arial"/>
        </w:rPr>
        <w:t>]</w:t>
      </w:r>
      <w:r>
        <w:rPr>
          <w:rFonts w:ascii="Book Antiqua" w:hAnsi="Book Antiqua" w:cs="Arial"/>
        </w:rPr>
        <w:t xml:space="preserve"> where the judge said </w:t>
      </w:r>
      <w:r w:rsidR="00C227D4">
        <w:rPr>
          <w:rFonts w:ascii="Book Antiqua" w:hAnsi="Book Antiqua" w:cs="Arial"/>
        </w:rPr>
        <w:t>the following;</w:t>
      </w:r>
      <w:r>
        <w:rPr>
          <w:rFonts w:ascii="Book Antiqua" w:hAnsi="Book Antiqua" w:cs="Arial"/>
        </w:rPr>
        <w:t xml:space="preserve"> </w:t>
      </w:r>
    </w:p>
    <w:p w:rsidR="00C227D4" w:rsidRPr="00545777" w:rsidRDefault="00C227D4" w:rsidP="00BD10EA">
      <w:pPr>
        <w:spacing w:before="240"/>
        <w:ind w:left="1134"/>
        <w:jc w:val="both"/>
        <w:rPr>
          <w:rFonts w:ascii="Book Antiqua" w:hAnsi="Book Antiqua" w:cs="Arial"/>
        </w:rPr>
      </w:pPr>
      <w:r>
        <w:rPr>
          <w:rFonts w:ascii="Book Antiqua" w:hAnsi="Book Antiqua" w:cs="Arial"/>
        </w:rPr>
        <w:t xml:space="preserve">“I allow the Appellant’s appeal. </w:t>
      </w:r>
      <w:r w:rsidR="00690690">
        <w:rPr>
          <w:rFonts w:ascii="Book Antiqua" w:hAnsi="Book Antiqua" w:cs="Arial"/>
        </w:rPr>
        <w:t xml:space="preserve"> </w:t>
      </w:r>
      <w:r>
        <w:rPr>
          <w:rFonts w:ascii="Book Antiqua" w:hAnsi="Book Antiqua" w:cs="Arial"/>
        </w:rPr>
        <w:t>In my view a proportionate response to my decision would be for the ECO to g</w:t>
      </w:r>
      <w:r w:rsidR="00FC156D">
        <w:rPr>
          <w:rFonts w:ascii="Book Antiqua" w:hAnsi="Book Antiqua" w:cs="Arial"/>
        </w:rPr>
        <w:t>ive the Appellant an opportunity</w:t>
      </w:r>
      <w:r>
        <w:rPr>
          <w:rFonts w:ascii="Book Antiqua" w:hAnsi="Book Antiqua" w:cs="Arial"/>
        </w:rPr>
        <w:t xml:space="preserve"> to submit a further letter from the Sponsor’s employer, but I recognise that this is ultimately a matter for the Respondent.</w:t>
      </w:r>
      <w:r w:rsidR="00690690">
        <w:rPr>
          <w:rFonts w:ascii="Book Antiqua" w:hAnsi="Book Antiqua" w:cs="Arial"/>
        </w:rPr>
        <w:t>”</w:t>
      </w:r>
    </w:p>
    <w:p w:rsidR="0057325E" w:rsidRPr="003D3D9B" w:rsidRDefault="0057325E" w:rsidP="0057325E">
      <w:pPr>
        <w:numPr>
          <w:ilvl w:val="0"/>
          <w:numId w:val="3"/>
        </w:numPr>
        <w:spacing w:before="240"/>
        <w:jc w:val="both"/>
        <w:rPr>
          <w:rFonts w:ascii="Book Antiqua" w:hAnsi="Book Antiqua" w:cs="Arial"/>
        </w:rPr>
      </w:pPr>
      <w:r w:rsidRPr="003D3D9B">
        <w:rPr>
          <w:rFonts w:ascii="Book Antiqua" w:hAnsi="Book Antiqua" w:cs="Arial"/>
        </w:rPr>
        <w:t>Permission to appeal Judge Cox’s decision, was sought on two grounds:</w:t>
      </w:r>
    </w:p>
    <w:p w:rsidR="0057325E" w:rsidRPr="003D3D9B" w:rsidRDefault="00B41F0E" w:rsidP="0057325E">
      <w:pPr>
        <w:pStyle w:val="ListParagraph"/>
        <w:numPr>
          <w:ilvl w:val="0"/>
          <w:numId w:val="21"/>
        </w:numPr>
        <w:spacing w:before="240"/>
        <w:ind w:left="1134" w:hanging="567"/>
        <w:contextualSpacing w:val="0"/>
        <w:jc w:val="both"/>
        <w:rPr>
          <w:rFonts w:ascii="Book Antiqua" w:hAnsi="Book Antiqua" w:cs="Arial"/>
        </w:rPr>
      </w:pPr>
      <w:proofErr w:type="gramStart"/>
      <w:r w:rsidRPr="003D3D9B">
        <w:rPr>
          <w:rFonts w:ascii="Book Antiqua" w:hAnsi="Book Antiqua" w:cs="Arial"/>
        </w:rPr>
        <w:t>Firstly</w:t>
      </w:r>
      <w:proofErr w:type="gramEnd"/>
      <w:r w:rsidRPr="003D3D9B">
        <w:rPr>
          <w:rFonts w:ascii="Book Antiqua" w:hAnsi="Book Antiqua" w:cs="Arial"/>
        </w:rPr>
        <w:t xml:space="preserve"> it was said that the </w:t>
      </w:r>
      <w:proofErr w:type="spellStart"/>
      <w:r w:rsidRPr="003D3D9B">
        <w:rPr>
          <w:rFonts w:ascii="Book Antiqua" w:hAnsi="Book Antiqua" w:cs="Arial"/>
        </w:rPr>
        <w:t>Ft</w:t>
      </w:r>
      <w:r w:rsidR="0057325E" w:rsidRPr="003D3D9B">
        <w:rPr>
          <w:rFonts w:ascii="Book Antiqua" w:hAnsi="Book Antiqua" w:cs="Arial"/>
        </w:rPr>
        <w:t>TJ’s</w:t>
      </w:r>
      <w:proofErr w:type="spellEnd"/>
      <w:r w:rsidR="0057325E" w:rsidRPr="003D3D9B">
        <w:rPr>
          <w:rFonts w:ascii="Book Antiqua" w:hAnsi="Book Antiqua" w:cs="Arial"/>
        </w:rPr>
        <w:t xml:space="preserve"> decision discloses </w:t>
      </w:r>
      <w:r w:rsidR="003D3D9B" w:rsidRPr="003D3D9B">
        <w:rPr>
          <w:rFonts w:ascii="Book Antiqua" w:hAnsi="Book Antiqua" w:cs="Arial"/>
        </w:rPr>
        <w:t>in</w:t>
      </w:r>
      <w:r w:rsidR="0057325E" w:rsidRPr="003D3D9B">
        <w:rPr>
          <w:rFonts w:ascii="Book Antiqua" w:hAnsi="Book Antiqua" w:cs="Arial"/>
        </w:rPr>
        <w:t>adequate reasoning for allowing the appeal.  The judge found at [49] that the Appellant did not meet the Rules.  Despite that finding</w:t>
      </w:r>
      <w:r w:rsidR="003D3D9B" w:rsidRPr="003D3D9B">
        <w:rPr>
          <w:rFonts w:ascii="Book Antiqua" w:hAnsi="Book Antiqua" w:cs="Arial"/>
        </w:rPr>
        <w:t>,</w:t>
      </w:r>
      <w:r w:rsidR="0057325E" w:rsidRPr="003D3D9B">
        <w:rPr>
          <w:rFonts w:ascii="Book Antiqua" w:hAnsi="Book Antiqua" w:cs="Arial"/>
        </w:rPr>
        <w:t xml:space="preserve"> the judge simply then goes on to allow the appeal relying on the decision in </w:t>
      </w:r>
      <w:r w:rsidR="0057325E" w:rsidRPr="003D3D9B">
        <w:rPr>
          <w:rFonts w:ascii="Book Antiqua" w:hAnsi="Book Antiqua" w:cs="Arial"/>
          <w:b/>
          <w:u w:val="single"/>
        </w:rPr>
        <w:t>Sultana and Others</w:t>
      </w:r>
      <w:r w:rsidR="0057325E" w:rsidRPr="003D3D9B">
        <w:rPr>
          <w:rFonts w:ascii="Book Antiqua" w:hAnsi="Book Antiqua" w:cs="Arial"/>
        </w:rPr>
        <w:t xml:space="preserve"> </w:t>
      </w:r>
      <w:r w:rsidR="0057325E" w:rsidRPr="003D3D9B">
        <w:rPr>
          <w:rFonts w:ascii="Book Antiqua" w:hAnsi="Book Antiqua" w:cs="Arial"/>
          <w:b/>
        </w:rPr>
        <w:t>(Rules: waiver/further enquiry; discretion) [2014] UKUT 00540 (IAC)</w:t>
      </w:r>
      <w:r w:rsidR="0057325E" w:rsidRPr="003D3D9B">
        <w:rPr>
          <w:rFonts w:ascii="Book Antiqua" w:hAnsi="Book Antiqua" w:cs="Arial"/>
        </w:rPr>
        <w:t>.</w:t>
      </w:r>
    </w:p>
    <w:p w:rsidR="0057325E" w:rsidRPr="003D3D9B" w:rsidRDefault="0057325E" w:rsidP="0057325E">
      <w:pPr>
        <w:pStyle w:val="ListParagraph"/>
        <w:numPr>
          <w:ilvl w:val="0"/>
          <w:numId w:val="21"/>
        </w:numPr>
        <w:spacing w:before="240"/>
        <w:ind w:left="1134" w:hanging="567"/>
        <w:contextualSpacing w:val="0"/>
        <w:jc w:val="both"/>
        <w:rPr>
          <w:rFonts w:ascii="Book Antiqua" w:hAnsi="Book Antiqua" w:cs="Arial"/>
        </w:rPr>
      </w:pPr>
      <w:r w:rsidRPr="003D3D9B">
        <w:rPr>
          <w:rFonts w:ascii="Book Antiqua" w:hAnsi="Book Antiqua" w:cs="Arial"/>
        </w:rPr>
        <w:t xml:space="preserve">Following on from that the </w:t>
      </w:r>
      <w:proofErr w:type="spellStart"/>
      <w:r w:rsidRPr="003D3D9B">
        <w:rPr>
          <w:rFonts w:ascii="Book Antiqua" w:hAnsi="Book Antiqua" w:cs="Arial"/>
        </w:rPr>
        <w:t>F</w:t>
      </w:r>
      <w:r w:rsidR="003D3D9B" w:rsidRPr="003D3D9B">
        <w:rPr>
          <w:rFonts w:ascii="Book Antiqua" w:hAnsi="Book Antiqua" w:cs="Arial"/>
        </w:rPr>
        <w:t>t</w:t>
      </w:r>
      <w:r w:rsidRPr="003D3D9B">
        <w:rPr>
          <w:rFonts w:ascii="Book Antiqua" w:hAnsi="Book Antiqua" w:cs="Arial"/>
        </w:rPr>
        <w:t>TJ</w:t>
      </w:r>
      <w:proofErr w:type="spellEnd"/>
      <w:r w:rsidRPr="003D3D9B">
        <w:rPr>
          <w:rFonts w:ascii="Book Antiqua" w:hAnsi="Book Antiqua" w:cs="Arial"/>
        </w:rPr>
        <w:t xml:space="preserve"> materially misdirected himself in law because he misunderstood the ratio in </w:t>
      </w:r>
      <w:r w:rsidRPr="003D3D9B">
        <w:rPr>
          <w:rFonts w:ascii="Book Antiqua" w:hAnsi="Book Antiqua" w:cs="Arial"/>
          <w:b/>
          <w:u w:val="single"/>
        </w:rPr>
        <w:t>Sultana</w:t>
      </w:r>
      <w:r w:rsidRPr="003D3D9B">
        <w:rPr>
          <w:rFonts w:ascii="Book Antiqua" w:hAnsi="Book Antiqua" w:cs="Arial"/>
        </w:rPr>
        <w:t>.</w:t>
      </w:r>
    </w:p>
    <w:p w:rsidR="00DA45B9" w:rsidRDefault="00865016" w:rsidP="00E943B7">
      <w:pPr>
        <w:numPr>
          <w:ilvl w:val="0"/>
          <w:numId w:val="3"/>
        </w:numPr>
        <w:spacing w:before="240"/>
        <w:jc w:val="both"/>
        <w:rPr>
          <w:rFonts w:ascii="Book Antiqua" w:hAnsi="Book Antiqua" w:cs="Arial"/>
        </w:rPr>
      </w:pPr>
      <w:r>
        <w:rPr>
          <w:rFonts w:ascii="Book Antiqua" w:hAnsi="Book Antiqua" w:cs="Arial"/>
        </w:rPr>
        <w:t xml:space="preserve">Permission having been granted by the First-tier Tribunal, </w:t>
      </w:r>
      <w:r w:rsidR="00411C2F">
        <w:rPr>
          <w:rFonts w:ascii="Book Antiqua" w:hAnsi="Book Antiqua" w:cs="Arial"/>
        </w:rPr>
        <w:t>the matter comes before me to decide if the decision of th</w:t>
      </w:r>
      <w:r w:rsidR="00C90964">
        <w:rPr>
          <w:rFonts w:ascii="Book Antiqua" w:hAnsi="Book Antiqua" w:cs="Arial"/>
        </w:rPr>
        <w:t xml:space="preserve">e </w:t>
      </w:r>
      <w:proofErr w:type="spellStart"/>
      <w:r w:rsidR="00C90964">
        <w:rPr>
          <w:rFonts w:ascii="Book Antiqua" w:hAnsi="Book Antiqua" w:cs="Arial"/>
        </w:rPr>
        <w:t>Ft</w:t>
      </w:r>
      <w:r w:rsidR="00411C2F">
        <w:rPr>
          <w:rFonts w:ascii="Book Antiqua" w:hAnsi="Book Antiqua" w:cs="Arial"/>
        </w:rPr>
        <w:t>TJ</w:t>
      </w:r>
      <w:proofErr w:type="spellEnd"/>
      <w:r w:rsidR="00411C2F">
        <w:rPr>
          <w:rFonts w:ascii="Book Antiqua" w:hAnsi="Book Antiqua" w:cs="Arial"/>
        </w:rPr>
        <w:t xml:space="preserve"> discloses material error of law requiring the decision to be set aside and remade.</w:t>
      </w:r>
    </w:p>
    <w:p w:rsidR="00874AD0" w:rsidRPr="00874AD0" w:rsidRDefault="00874AD0" w:rsidP="00874AD0">
      <w:pPr>
        <w:spacing w:before="240"/>
        <w:jc w:val="both"/>
        <w:rPr>
          <w:rFonts w:ascii="Book Antiqua" w:hAnsi="Book Antiqua" w:cs="Arial"/>
          <w:b/>
          <w:u w:val="single"/>
        </w:rPr>
      </w:pPr>
      <w:r>
        <w:rPr>
          <w:rFonts w:ascii="Book Antiqua" w:hAnsi="Book Antiqua" w:cs="Arial"/>
          <w:b/>
          <w:u w:val="single"/>
        </w:rPr>
        <w:t>Error of Law Hearing</w:t>
      </w:r>
    </w:p>
    <w:p w:rsidR="008D7E59" w:rsidRDefault="00874AD0" w:rsidP="004E70EB">
      <w:pPr>
        <w:numPr>
          <w:ilvl w:val="0"/>
          <w:numId w:val="3"/>
        </w:numPr>
        <w:spacing w:before="240"/>
        <w:jc w:val="both"/>
        <w:rPr>
          <w:rFonts w:ascii="Book Antiqua" w:hAnsi="Book Antiqua" w:cs="Arial"/>
        </w:rPr>
      </w:pPr>
      <w:r>
        <w:rPr>
          <w:rFonts w:ascii="Book Antiqua" w:hAnsi="Book Antiqua" w:cs="Arial"/>
        </w:rPr>
        <w:t xml:space="preserve">Before me Mr </w:t>
      </w:r>
      <w:proofErr w:type="spellStart"/>
      <w:r>
        <w:rPr>
          <w:rFonts w:ascii="Book Antiqua" w:hAnsi="Book Antiqua" w:cs="Arial"/>
        </w:rPr>
        <w:t>Diwnycz</w:t>
      </w:r>
      <w:proofErr w:type="spellEnd"/>
      <w:r>
        <w:rPr>
          <w:rFonts w:ascii="Book Antiqua" w:hAnsi="Book Antiqua" w:cs="Arial"/>
        </w:rPr>
        <w:t xml:space="preserve"> appeared for the Entry Clearance Officer and Mr Ahmed for the Appellant.  Mr </w:t>
      </w:r>
      <w:proofErr w:type="spellStart"/>
      <w:r>
        <w:rPr>
          <w:rFonts w:ascii="Book Antiqua" w:hAnsi="Book Antiqua" w:cs="Arial"/>
        </w:rPr>
        <w:t>Diwnycz</w:t>
      </w:r>
      <w:proofErr w:type="spellEnd"/>
      <w:r>
        <w:rPr>
          <w:rFonts w:ascii="Book Antiqua" w:hAnsi="Book Antiqua" w:cs="Arial"/>
        </w:rPr>
        <w:t xml:space="preserve"> in his submission</w:t>
      </w:r>
      <w:r w:rsidR="00C227D4">
        <w:rPr>
          <w:rFonts w:ascii="Book Antiqua" w:hAnsi="Book Antiqua" w:cs="Arial"/>
        </w:rPr>
        <w:t>s</w:t>
      </w:r>
      <w:r>
        <w:rPr>
          <w:rFonts w:ascii="Book Antiqua" w:hAnsi="Book Antiqua" w:cs="Arial"/>
        </w:rPr>
        <w:t xml:space="preserve"> said </w:t>
      </w:r>
      <w:r w:rsidR="00BD10EA">
        <w:rPr>
          <w:rFonts w:ascii="Book Antiqua" w:hAnsi="Book Antiqua" w:cs="Arial"/>
        </w:rPr>
        <w:t xml:space="preserve">that </w:t>
      </w:r>
      <w:r>
        <w:rPr>
          <w:rFonts w:ascii="Book Antiqua" w:hAnsi="Book Antiqua" w:cs="Arial"/>
        </w:rPr>
        <w:t>he</w:t>
      </w:r>
      <w:r w:rsidR="00C227D4">
        <w:rPr>
          <w:rFonts w:ascii="Book Antiqua" w:hAnsi="Book Antiqua" w:cs="Arial"/>
        </w:rPr>
        <w:t xml:space="preserve"> relied upon the grounds seeking permission. </w:t>
      </w:r>
      <w:r w:rsidR="003D3D9B">
        <w:rPr>
          <w:rFonts w:ascii="Book Antiqua" w:hAnsi="Book Antiqua" w:cs="Arial"/>
        </w:rPr>
        <w:t xml:space="preserve"> </w:t>
      </w:r>
      <w:r w:rsidR="00C227D4">
        <w:rPr>
          <w:rFonts w:ascii="Book Antiqua" w:hAnsi="Book Antiqua" w:cs="Arial"/>
        </w:rPr>
        <w:t xml:space="preserve">The judge had taken the wrong approach to Article 8 outside the Rules and thus his reasoning was defective by his reliance on </w:t>
      </w:r>
      <w:r w:rsidR="004E70EB">
        <w:rPr>
          <w:rFonts w:ascii="Book Antiqua" w:hAnsi="Book Antiqua" w:cs="Arial"/>
        </w:rPr>
        <w:t>the ratio</w:t>
      </w:r>
      <w:r w:rsidR="003D3D9B">
        <w:rPr>
          <w:rFonts w:ascii="Book Antiqua" w:hAnsi="Book Antiqua" w:cs="Arial"/>
        </w:rPr>
        <w:t xml:space="preserve"> in </w:t>
      </w:r>
      <w:r w:rsidR="00C227D4" w:rsidRPr="003D3D9B">
        <w:rPr>
          <w:rFonts w:ascii="Book Antiqua" w:hAnsi="Book Antiqua" w:cs="Arial"/>
          <w:b/>
          <w:u w:val="single"/>
        </w:rPr>
        <w:t>Sultana</w:t>
      </w:r>
      <w:r w:rsidR="00C227D4">
        <w:rPr>
          <w:rFonts w:ascii="Book Antiqua" w:hAnsi="Book Antiqua" w:cs="Arial"/>
        </w:rPr>
        <w:t xml:space="preserve">. </w:t>
      </w:r>
      <w:r w:rsidR="003D3D9B">
        <w:rPr>
          <w:rFonts w:ascii="Book Antiqua" w:hAnsi="Book Antiqua" w:cs="Arial"/>
        </w:rPr>
        <w:t xml:space="preserve"> </w:t>
      </w:r>
      <w:r w:rsidR="004E70EB">
        <w:rPr>
          <w:rFonts w:ascii="Book Antiqua" w:hAnsi="Book Antiqua" w:cs="Arial"/>
        </w:rPr>
        <w:t xml:space="preserve">Mr </w:t>
      </w:r>
      <w:proofErr w:type="spellStart"/>
      <w:r w:rsidR="004E70EB">
        <w:rPr>
          <w:rFonts w:ascii="Book Antiqua" w:hAnsi="Book Antiqua" w:cs="Arial"/>
        </w:rPr>
        <w:t>Diwnycz</w:t>
      </w:r>
      <w:proofErr w:type="spellEnd"/>
      <w:r w:rsidR="00C227D4">
        <w:rPr>
          <w:rFonts w:ascii="Book Antiqua" w:hAnsi="Book Antiqua" w:cs="Arial"/>
        </w:rPr>
        <w:t xml:space="preserve"> in fairness</w:t>
      </w:r>
      <w:r w:rsidR="004E70EB">
        <w:rPr>
          <w:rFonts w:ascii="Book Antiqua" w:hAnsi="Book Antiqua" w:cs="Arial"/>
        </w:rPr>
        <w:t xml:space="preserve"> said he had nothing to add to the grounds</w:t>
      </w:r>
      <w:r w:rsidR="006A7313">
        <w:rPr>
          <w:rFonts w:ascii="Book Antiqua" w:hAnsi="Book Antiqua" w:cs="Arial"/>
        </w:rPr>
        <w:t xml:space="preserve"> and thereby accepted</w:t>
      </w:r>
      <w:r w:rsidR="00195C0E" w:rsidRPr="004E70EB">
        <w:rPr>
          <w:rFonts w:ascii="Book Antiqua" w:hAnsi="Book Antiqua" w:cs="Arial"/>
        </w:rPr>
        <w:t xml:space="preserve"> that</w:t>
      </w:r>
      <w:r w:rsidR="008E0E06" w:rsidRPr="004E70EB">
        <w:rPr>
          <w:rFonts w:ascii="Book Antiqua" w:hAnsi="Book Antiqua" w:cs="Arial"/>
        </w:rPr>
        <w:t xml:space="preserve"> </w:t>
      </w:r>
      <w:r w:rsidR="006A7313">
        <w:rPr>
          <w:rFonts w:ascii="Book Antiqua" w:hAnsi="Book Antiqua" w:cs="Arial"/>
        </w:rPr>
        <w:t>t</w:t>
      </w:r>
      <w:r w:rsidR="008E0E06" w:rsidRPr="004E70EB">
        <w:rPr>
          <w:rFonts w:ascii="Book Antiqua" w:hAnsi="Book Antiqua" w:cs="Arial"/>
        </w:rPr>
        <w:t>he</w:t>
      </w:r>
      <w:r w:rsidR="006A7313">
        <w:rPr>
          <w:rFonts w:ascii="Book Antiqua" w:hAnsi="Book Antiqua" w:cs="Arial"/>
        </w:rPr>
        <w:t>re was no</w:t>
      </w:r>
      <w:r w:rsidR="003D3D9B" w:rsidRPr="004E70EB">
        <w:rPr>
          <w:rFonts w:ascii="Book Antiqua" w:hAnsi="Book Antiqua" w:cs="Arial"/>
        </w:rPr>
        <w:t xml:space="preserve"> </w:t>
      </w:r>
      <w:r w:rsidR="008E0E06" w:rsidRPr="004E70EB">
        <w:rPr>
          <w:rFonts w:ascii="Book Antiqua" w:hAnsi="Book Antiqua" w:cs="Arial"/>
        </w:rPr>
        <w:t>challenge</w:t>
      </w:r>
      <w:r w:rsidR="006A7313">
        <w:rPr>
          <w:rFonts w:ascii="Book Antiqua" w:hAnsi="Book Antiqua" w:cs="Arial"/>
        </w:rPr>
        <w:t xml:space="preserve"> to</w:t>
      </w:r>
      <w:r w:rsidR="00195C0E" w:rsidRPr="004E70EB">
        <w:rPr>
          <w:rFonts w:ascii="Book Antiqua" w:hAnsi="Book Antiqua" w:cs="Arial"/>
        </w:rPr>
        <w:t xml:space="preserve"> the judge</w:t>
      </w:r>
      <w:r w:rsidR="003D3D9B" w:rsidRPr="004E70EB">
        <w:rPr>
          <w:rFonts w:ascii="Book Antiqua" w:hAnsi="Book Antiqua" w:cs="Arial"/>
        </w:rPr>
        <w:t>’</w:t>
      </w:r>
      <w:r w:rsidR="00195C0E" w:rsidRPr="004E70EB">
        <w:rPr>
          <w:rFonts w:ascii="Book Antiqua" w:hAnsi="Book Antiqua" w:cs="Arial"/>
        </w:rPr>
        <w:t>s findings that the Appellant met the income threshold and the other parts of the rules</w:t>
      </w:r>
      <w:r w:rsidR="00FC156D" w:rsidRPr="004E70EB">
        <w:rPr>
          <w:rFonts w:ascii="Book Antiqua" w:hAnsi="Book Antiqua" w:cs="Arial"/>
        </w:rPr>
        <w:t xml:space="preserve"> save for the </w:t>
      </w:r>
      <w:r w:rsidR="006A7313">
        <w:rPr>
          <w:rFonts w:ascii="Book Antiqua" w:hAnsi="Book Antiqua" w:cs="Arial"/>
        </w:rPr>
        <w:t xml:space="preserve">minor </w:t>
      </w:r>
      <w:r w:rsidR="00FC156D" w:rsidRPr="004E70EB">
        <w:rPr>
          <w:rFonts w:ascii="Book Antiqua" w:hAnsi="Book Antiqua" w:cs="Arial"/>
        </w:rPr>
        <w:t>matter of the Sponsor’s employer</w:t>
      </w:r>
      <w:r w:rsidR="002751A2" w:rsidRPr="004E70EB">
        <w:rPr>
          <w:rFonts w:ascii="Book Antiqua" w:hAnsi="Book Antiqua" w:cs="Arial"/>
        </w:rPr>
        <w:t>’</w:t>
      </w:r>
      <w:r w:rsidR="00FC156D" w:rsidRPr="004E70EB">
        <w:rPr>
          <w:rFonts w:ascii="Book Antiqua" w:hAnsi="Book Antiqua" w:cs="Arial"/>
        </w:rPr>
        <w:t>s letter</w:t>
      </w:r>
      <w:r w:rsidR="006A7313">
        <w:rPr>
          <w:rFonts w:ascii="Book Antiqua" w:hAnsi="Book Antiqua" w:cs="Arial"/>
        </w:rPr>
        <w:t xml:space="preserve"> not being in an appropriate form</w:t>
      </w:r>
      <w:r w:rsidR="00FC156D" w:rsidRPr="004E70EB">
        <w:rPr>
          <w:rFonts w:ascii="Book Antiqua" w:hAnsi="Book Antiqua" w:cs="Arial"/>
        </w:rPr>
        <w:t>.</w:t>
      </w:r>
      <w:r w:rsidR="00195C0E" w:rsidRPr="004E70EB">
        <w:rPr>
          <w:rFonts w:ascii="Book Antiqua" w:hAnsi="Book Antiqua" w:cs="Arial"/>
        </w:rPr>
        <w:t xml:space="preserve"> </w:t>
      </w:r>
      <w:r w:rsidR="00BD10EA">
        <w:rPr>
          <w:rFonts w:ascii="Book Antiqua" w:hAnsi="Book Antiqua" w:cs="Arial"/>
        </w:rPr>
        <w:t xml:space="preserve"> </w:t>
      </w:r>
      <w:r w:rsidR="004E70EB">
        <w:rPr>
          <w:rFonts w:ascii="Book Antiqua" w:hAnsi="Book Antiqua" w:cs="Arial"/>
        </w:rPr>
        <w:t>Further there was no</w:t>
      </w:r>
      <w:r w:rsidR="000C1A9F">
        <w:rPr>
          <w:rFonts w:ascii="Book Antiqua" w:hAnsi="Book Antiqua" w:cs="Arial"/>
        </w:rPr>
        <w:t xml:space="preserve"> </w:t>
      </w:r>
      <w:r w:rsidR="00195C0E" w:rsidRPr="004E70EB">
        <w:rPr>
          <w:rFonts w:ascii="Book Antiqua" w:hAnsi="Book Antiqua" w:cs="Arial"/>
        </w:rPr>
        <w:t>challenge</w:t>
      </w:r>
      <w:r w:rsidR="004E70EB">
        <w:rPr>
          <w:rFonts w:ascii="Book Antiqua" w:hAnsi="Book Antiqua" w:cs="Arial"/>
        </w:rPr>
        <w:t xml:space="preserve"> raised to</w:t>
      </w:r>
      <w:r w:rsidR="00195C0E" w:rsidRPr="004E70EB">
        <w:rPr>
          <w:rFonts w:ascii="Book Antiqua" w:hAnsi="Book Antiqua" w:cs="Arial"/>
        </w:rPr>
        <w:t xml:space="preserve"> the judge’s finding at [53] that</w:t>
      </w:r>
      <w:r w:rsidR="008D7E59">
        <w:rPr>
          <w:rFonts w:ascii="Book Antiqua" w:hAnsi="Book Antiqua" w:cs="Arial"/>
        </w:rPr>
        <w:t>:</w:t>
      </w:r>
    </w:p>
    <w:p w:rsidR="004E70EB" w:rsidRDefault="00195C0E" w:rsidP="008D7E59">
      <w:pPr>
        <w:spacing w:before="240"/>
        <w:ind w:left="1134"/>
        <w:jc w:val="both"/>
        <w:rPr>
          <w:rFonts w:ascii="Book Antiqua" w:hAnsi="Book Antiqua" w:cs="Arial"/>
        </w:rPr>
      </w:pPr>
      <w:r w:rsidRPr="004E70EB">
        <w:rPr>
          <w:rFonts w:ascii="Book Antiqua" w:hAnsi="Book Antiqua" w:cs="Arial"/>
        </w:rPr>
        <w:t>“the absence of the information required under Appendix FM-SE from the Sponsor’s employer’s letter was a minor defect</w:t>
      </w:r>
      <w:r w:rsidR="008E0E06" w:rsidRPr="004E70EB">
        <w:rPr>
          <w:rFonts w:ascii="Book Antiqua" w:hAnsi="Book Antiqua" w:cs="Arial"/>
        </w:rPr>
        <w:t xml:space="preserve"> or omission</w:t>
      </w:r>
      <w:r w:rsidR="002751A2" w:rsidRPr="004E70EB">
        <w:rPr>
          <w:rFonts w:ascii="Book Antiqua" w:hAnsi="Book Antiqua" w:cs="Arial"/>
        </w:rPr>
        <w:t>.</w:t>
      </w:r>
      <w:r w:rsidR="008E0E06" w:rsidRPr="004E70EB">
        <w:rPr>
          <w:rFonts w:ascii="Book Antiqua" w:hAnsi="Book Antiqua" w:cs="Arial"/>
        </w:rPr>
        <w:t>”</w:t>
      </w:r>
    </w:p>
    <w:p w:rsidR="00874AD0" w:rsidRPr="004E70EB" w:rsidRDefault="004E70EB" w:rsidP="004E70EB">
      <w:pPr>
        <w:numPr>
          <w:ilvl w:val="0"/>
          <w:numId w:val="3"/>
        </w:numPr>
        <w:spacing w:before="240"/>
        <w:jc w:val="both"/>
        <w:rPr>
          <w:rFonts w:ascii="Book Antiqua" w:hAnsi="Book Antiqua" w:cs="Arial"/>
        </w:rPr>
      </w:pPr>
      <w:r>
        <w:rPr>
          <w:rFonts w:ascii="Book Antiqua" w:hAnsi="Book Antiqua" w:cs="Arial"/>
        </w:rPr>
        <w:t>Following general discussion with the parties</w:t>
      </w:r>
      <w:r w:rsidR="006A7313">
        <w:rPr>
          <w:rFonts w:ascii="Book Antiqua" w:hAnsi="Book Antiqua" w:cs="Arial"/>
        </w:rPr>
        <w:t xml:space="preserve"> and my canvassing views on disposal of the </w:t>
      </w:r>
      <w:r w:rsidR="00BD10EA">
        <w:rPr>
          <w:rFonts w:ascii="Book Antiqua" w:hAnsi="Book Antiqua" w:cs="Arial"/>
        </w:rPr>
        <w:t>matter</w:t>
      </w:r>
      <w:r w:rsidR="006A7313">
        <w:rPr>
          <w:rFonts w:ascii="Book Antiqua" w:hAnsi="Book Antiqua" w:cs="Arial"/>
        </w:rPr>
        <w:t xml:space="preserve"> before me,</w:t>
      </w:r>
      <w:r>
        <w:rPr>
          <w:rFonts w:ascii="Book Antiqua" w:hAnsi="Book Antiqua" w:cs="Arial"/>
        </w:rPr>
        <w:t xml:space="preserve"> both representatives were of the view that</w:t>
      </w:r>
      <w:r w:rsidR="000C1A9F">
        <w:rPr>
          <w:rFonts w:ascii="Book Antiqua" w:hAnsi="Book Antiqua" w:cs="Arial"/>
        </w:rPr>
        <w:t xml:space="preserve"> </w:t>
      </w:r>
      <w:r w:rsidR="009730A0" w:rsidRPr="004E70EB">
        <w:rPr>
          <w:rFonts w:ascii="Book Antiqua" w:hAnsi="Book Antiqua" w:cs="Arial"/>
        </w:rPr>
        <w:t>there was no reason</w:t>
      </w:r>
      <w:r>
        <w:rPr>
          <w:rFonts w:ascii="Book Antiqua" w:hAnsi="Book Antiqua" w:cs="Arial"/>
        </w:rPr>
        <w:t xml:space="preserve">, </w:t>
      </w:r>
      <w:r>
        <w:rPr>
          <w:rFonts w:ascii="Book Antiqua" w:hAnsi="Book Antiqua" w:cs="Arial"/>
        </w:rPr>
        <w:lastRenderedPageBreak/>
        <w:t>in the ev</w:t>
      </w:r>
      <w:r w:rsidR="00945915">
        <w:rPr>
          <w:rFonts w:ascii="Book Antiqua" w:hAnsi="Book Antiqua" w:cs="Arial"/>
        </w:rPr>
        <w:t>ent of error of law being found</w:t>
      </w:r>
      <w:r>
        <w:rPr>
          <w:rFonts w:ascii="Book Antiqua" w:hAnsi="Book Antiqua" w:cs="Arial"/>
        </w:rPr>
        <w:t>,</w:t>
      </w:r>
      <w:r w:rsidR="009730A0" w:rsidRPr="004E70EB">
        <w:rPr>
          <w:rFonts w:ascii="Book Antiqua" w:hAnsi="Book Antiqua" w:cs="Arial"/>
        </w:rPr>
        <w:t xml:space="preserve"> why the decision could </w:t>
      </w:r>
      <w:r>
        <w:rPr>
          <w:rFonts w:ascii="Book Antiqua" w:hAnsi="Book Antiqua" w:cs="Arial"/>
        </w:rPr>
        <w:t xml:space="preserve">not be remade by me accepting the evidential findings made by the </w:t>
      </w:r>
      <w:proofErr w:type="spellStart"/>
      <w:r>
        <w:rPr>
          <w:rFonts w:ascii="Book Antiqua" w:hAnsi="Book Antiqua" w:cs="Arial"/>
        </w:rPr>
        <w:t>FtTJ</w:t>
      </w:r>
      <w:proofErr w:type="spellEnd"/>
      <w:r>
        <w:rPr>
          <w:rFonts w:ascii="Book Antiqua" w:hAnsi="Book Antiqua" w:cs="Arial"/>
        </w:rPr>
        <w:t>.</w:t>
      </w:r>
      <w:r w:rsidR="008E0E06" w:rsidRPr="004E70EB">
        <w:rPr>
          <w:rFonts w:ascii="Book Antiqua" w:hAnsi="Book Antiqua" w:cs="Arial"/>
        </w:rPr>
        <w:t xml:space="preserve"> </w:t>
      </w:r>
    </w:p>
    <w:p w:rsidR="00443AAC" w:rsidRDefault="009730A0" w:rsidP="00E943B7">
      <w:pPr>
        <w:numPr>
          <w:ilvl w:val="0"/>
          <w:numId w:val="3"/>
        </w:numPr>
        <w:spacing w:before="240"/>
        <w:jc w:val="both"/>
        <w:rPr>
          <w:rFonts w:ascii="Book Antiqua" w:hAnsi="Book Antiqua" w:cs="Arial"/>
        </w:rPr>
      </w:pPr>
      <w:r>
        <w:rPr>
          <w:rFonts w:ascii="Book Antiqua" w:hAnsi="Book Antiqua" w:cs="Arial"/>
        </w:rPr>
        <w:t>Mr Ahmed</w:t>
      </w:r>
      <w:r w:rsidR="006A7313">
        <w:rPr>
          <w:rFonts w:ascii="Book Antiqua" w:hAnsi="Book Antiqua" w:cs="Arial"/>
        </w:rPr>
        <w:t xml:space="preserve"> had initially proposed that the decision should simply stand as there was adequate fact finding made </w:t>
      </w:r>
      <w:r w:rsidR="00362A47">
        <w:rPr>
          <w:rFonts w:ascii="Book Antiqua" w:hAnsi="Book Antiqua" w:cs="Arial"/>
        </w:rPr>
        <w:t>but</w:t>
      </w:r>
      <w:r w:rsidR="00BD10EA">
        <w:rPr>
          <w:rFonts w:ascii="Book Antiqua" w:hAnsi="Book Antiqua" w:cs="Arial"/>
        </w:rPr>
        <w:t>,</w:t>
      </w:r>
      <w:r w:rsidR="00362A47">
        <w:rPr>
          <w:rFonts w:ascii="Book Antiqua" w:hAnsi="Book Antiqua" w:cs="Arial"/>
        </w:rPr>
        <w:t xml:space="preserve"> on being informed by me that I was of the view that the </w:t>
      </w:r>
      <w:proofErr w:type="spellStart"/>
      <w:r w:rsidR="00362A47">
        <w:rPr>
          <w:rFonts w:ascii="Book Antiqua" w:hAnsi="Book Antiqua" w:cs="Arial"/>
        </w:rPr>
        <w:t>FtT’s</w:t>
      </w:r>
      <w:proofErr w:type="spellEnd"/>
      <w:r w:rsidR="00362A47">
        <w:rPr>
          <w:rFonts w:ascii="Book Antiqua" w:hAnsi="Book Antiqua" w:cs="Arial"/>
        </w:rPr>
        <w:t xml:space="preserve"> decision disclosed material error</w:t>
      </w:r>
      <w:r w:rsidR="00BD10EA">
        <w:rPr>
          <w:rFonts w:ascii="Book Antiqua" w:hAnsi="Book Antiqua" w:cs="Arial"/>
        </w:rPr>
        <w:t>,</w:t>
      </w:r>
      <w:r w:rsidR="00362A47">
        <w:rPr>
          <w:rFonts w:ascii="Book Antiqua" w:hAnsi="Book Antiqua" w:cs="Arial"/>
        </w:rPr>
        <w:t xml:space="preserve"> he indicated that he was content that I remake the decision. He acknowledged</w:t>
      </w:r>
      <w:r>
        <w:rPr>
          <w:rFonts w:ascii="Book Antiqua" w:hAnsi="Book Antiqua" w:cs="Arial"/>
        </w:rPr>
        <w:t xml:space="preserve"> </w:t>
      </w:r>
      <w:r w:rsidR="00443AAC">
        <w:rPr>
          <w:rFonts w:ascii="Book Antiqua" w:hAnsi="Book Antiqua" w:cs="Arial"/>
        </w:rPr>
        <w:t xml:space="preserve">that Mr </w:t>
      </w:r>
      <w:proofErr w:type="spellStart"/>
      <w:r w:rsidR="00443AAC">
        <w:rPr>
          <w:rFonts w:ascii="Book Antiqua" w:hAnsi="Book Antiqua" w:cs="Arial"/>
        </w:rPr>
        <w:t>Diwny</w:t>
      </w:r>
      <w:r w:rsidR="00362A47">
        <w:rPr>
          <w:rFonts w:ascii="Book Antiqua" w:hAnsi="Book Antiqua" w:cs="Arial"/>
        </w:rPr>
        <w:t>cz</w:t>
      </w:r>
      <w:proofErr w:type="spellEnd"/>
      <w:r w:rsidR="00362A47">
        <w:rPr>
          <w:rFonts w:ascii="Book Antiqua" w:hAnsi="Book Antiqua" w:cs="Arial"/>
        </w:rPr>
        <w:t xml:space="preserve"> was correct in saying that t</w:t>
      </w:r>
      <w:r>
        <w:rPr>
          <w:rFonts w:ascii="Book Antiqua" w:hAnsi="Book Antiqua" w:cs="Arial"/>
        </w:rPr>
        <w:t>he relevant consideration centred on whether the judge had made sufficient findings and given adequate reasons to show</w:t>
      </w:r>
      <w:r w:rsidR="00443AAC">
        <w:rPr>
          <w:rFonts w:ascii="Book Antiqua" w:hAnsi="Book Antiqua" w:cs="Arial"/>
        </w:rPr>
        <w:t xml:space="preserve"> that he was satisfied that the Appellant had met the substance of the Immigration Rules </w:t>
      </w:r>
      <w:r w:rsidR="00C043CF">
        <w:rPr>
          <w:rFonts w:ascii="Book Antiqua" w:hAnsi="Book Antiqua" w:cs="Arial"/>
        </w:rPr>
        <w:t>to the extent that refusing the a</w:t>
      </w:r>
      <w:r w:rsidR="008E0E06">
        <w:rPr>
          <w:rFonts w:ascii="Book Antiqua" w:hAnsi="Book Antiqua" w:cs="Arial"/>
        </w:rPr>
        <w:t>pplication was disproportionate</w:t>
      </w:r>
      <w:r>
        <w:rPr>
          <w:rFonts w:ascii="Book Antiqua" w:hAnsi="Book Antiqua" w:cs="Arial"/>
        </w:rPr>
        <w:t xml:space="preserve"> under Article 8.</w:t>
      </w:r>
    </w:p>
    <w:p w:rsidR="006B3213" w:rsidRPr="006B3213" w:rsidRDefault="006B3213" w:rsidP="006B3213">
      <w:pPr>
        <w:spacing w:before="240"/>
        <w:jc w:val="both"/>
        <w:rPr>
          <w:rFonts w:ascii="Book Antiqua" w:hAnsi="Book Antiqua" w:cs="Arial"/>
          <w:b/>
          <w:u w:val="single"/>
        </w:rPr>
      </w:pPr>
      <w:r>
        <w:rPr>
          <w:rFonts w:ascii="Book Antiqua" w:hAnsi="Book Antiqua" w:cs="Arial"/>
          <w:b/>
          <w:u w:val="single"/>
        </w:rPr>
        <w:t>Consideration</w:t>
      </w:r>
    </w:p>
    <w:p w:rsidR="002751A2" w:rsidRDefault="006B3213" w:rsidP="00C7557E">
      <w:pPr>
        <w:numPr>
          <w:ilvl w:val="0"/>
          <w:numId w:val="3"/>
        </w:numPr>
        <w:spacing w:before="240"/>
        <w:jc w:val="both"/>
        <w:rPr>
          <w:rFonts w:ascii="Book Antiqua" w:hAnsi="Book Antiqua" w:cs="Arial"/>
        </w:rPr>
      </w:pPr>
      <w:r>
        <w:rPr>
          <w:rFonts w:ascii="Book Antiqua" w:hAnsi="Book Antiqua" w:cs="Arial"/>
        </w:rPr>
        <w:t>I am satisfied that Judge Cox</w:t>
      </w:r>
      <w:r w:rsidR="008E0E06">
        <w:rPr>
          <w:rFonts w:ascii="Book Antiqua" w:hAnsi="Book Antiqua" w:cs="Arial"/>
        </w:rPr>
        <w:t xml:space="preserve"> erred in his approach to</w:t>
      </w:r>
      <w:r w:rsidR="007C55CA">
        <w:rPr>
          <w:rFonts w:ascii="Book Antiqua" w:hAnsi="Book Antiqua" w:cs="Arial"/>
        </w:rPr>
        <w:t xml:space="preserve"> the proportionality assessment</w:t>
      </w:r>
      <w:r w:rsidR="008E0E06">
        <w:rPr>
          <w:rFonts w:ascii="Book Antiqua" w:hAnsi="Book Antiqua" w:cs="Arial"/>
        </w:rPr>
        <w:t xml:space="preserve"> under Article 8</w:t>
      </w:r>
      <w:r w:rsidR="00C7557E">
        <w:rPr>
          <w:rFonts w:ascii="Book Antiqua" w:hAnsi="Book Antiqua" w:cs="Arial"/>
        </w:rPr>
        <w:t xml:space="preserve"> ECHR.</w:t>
      </w:r>
      <w:r w:rsidR="008E0E06">
        <w:rPr>
          <w:rFonts w:ascii="Book Antiqua" w:hAnsi="Book Antiqua" w:cs="Arial"/>
        </w:rPr>
        <w:t xml:space="preserve"> </w:t>
      </w:r>
      <w:r w:rsidR="002751A2">
        <w:rPr>
          <w:rFonts w:ascii="Book Antiqua" w:hAnsi="Book Antiqua" w:cs="Arial"/>
        </w:rPr>
        <w:t xml:space="preserve"> </w:t>
      </w:r>
      <w:r w:rsidR="009730A0">
        <w:rPr>
          <w:rFonts w:ascii="Book Antiqua" w:hAnsi="Book Antiqua" w:cs="Arial"/>
        </w:rPr>
        <w:t xml:space="preserve">He involved himself unnecessarily </w:t>
      </w:r>
      <w:r w:rsidR="002751A2">
        <w:rPr>
          <w:rFonts w:ascii="Book Antiqua" w:hAnsi="Book Antiqua" w:cs="Arial"/>
        </w:rPr>
        <w:t>in</w:t>
      </w:r>
      <w:r w:rsidR="00362A47">
        <w:rPr>
          <w:rFonts w:ascii="Book Antiqua" w:hAnsi="Book Antiqua" w:cs="Arial"/>
        </w:rPr>
        <w:t xml:space="preserve"> going down the route of</w:t>
      </w:r>
      <w:r w:rsidR="002751A2">
        <w:rPr>
          <w:rFonts w:ascii="Book Antiqua" w:hAnsi="Book Antiqua" w:cs="Arial"/>
        </w:rPr>
        <w:t xml:space="preserve"> </w:t>
      </w:r>
      <w:r w:rsidR="009730A0">
        <w:rPr>
          <w:rFonts w:ascii="Book Antiqua" w:hAnsi="Book Antiqua" w:cs="Arial"/>
        </w:rPr>
        <w:t>evidential flexibility rather than focusing on the evidence available to him</w:t>
      </w:r>
      <w:r w:rsidR="002751A2">
        <w:rPr>
          <w:rFonts w:ascii="Book Antiqua" w:hAnsi="Book Antiqua" w:cs="Arial"/>
        </w:rPr>
        <w:t xml:space="preserve">, </w:t>
      </w:r>
      <w:r w:rsidR="00BD10EA">
        <w:rPr>
          <w:rFonts w:ascii="Book Antiqua" w:hAnsi="Book Antiqua" w:cs="Arial"/>
        </w:rPr>
        <w:t xml:space="preserve">and </w:t>
      </w:r>
      <w:r w:rsidR="002751A2">
        <w:rPr>
          <w:rFonts w:ascii="Book Antiqua" w:hAnsi="Book Antiqua" w:cs="Arial"/>
        </w:rPr>
        <w:t>thus misdirect</w:t>
      </w:r>
      <w:r w:rsidR="00BD10EA">
        <w:rPr>
          <w:rFonts w:ascii="Book Antiqua" w:hAnsi="Book Antiqua" w:cs="Arial"/>
        </w:rPr>
        <w:t>ed</w:t>
      </w:r>
      <w:r w:rsidR="002751A2">
        <w:rPr>
          <w:rFonts w:ascii="Book Antiqua" w:hAnsi="Book Antiqua" w:cs="Arial"/>
        </w:rPr>
        <w:t xml:space="preserve"> himself</w:t>
      </w:r>
      <w:r w:rsidR="009730A0">
        <w:rPr>
          <w:rFonts w:ascii="Book Antiqua" w:hAnsi="Book Antiqua" w:cs="Arial"/>
        </w:rPr>
        <w:t>.</w:t>
      </w:r>
    </w:p>
    <w:p w:rsidR="00B976E6" w:rsidRDefault="007C55CA" w:rsidP="00C7557E">
      <w:pPr>
        <w:numPr>
          <w:ilvl w:val="0"/>
          <w:numId w:val="3"/>
        </w:numPr>
        <w:spacing w:before="240"/>
        <w:jc w:val="both"/>
        <w:rPr>
          <w:rFonts w:ascii="Book Antiqua" w:hAnsi="Book Antiqua" w:cs="Arial"/>
        </w:rPr>
      </w:pPr>
      <w:r>
        <w:rPr>
          <w:rFonts w:ascii="Book Antiqua" w:hAnsi="Book Antiqua" w:cs="Arial"/>
        </w:rPr>
        <w:t>I</w:t>
      </w:r>
      <w:r w:rsidR="00860BD8">
        <w:rPr>
          <w:rFonts w:ascii="Book Antiqua" w:hAnsi="Book Antiqua" w:cs="Arial"/>
        </w:rPr>
        <w:t xml:space="preserve"> find that it is hard to understand what </w:t>
      </w:r>
      <w:r w:rsidR="00362A47">
        <w:rPr>
          <w:rFonts w:ascii="Book Antiqua" w:hAnsi="Book Antiqua" w:cs="Arial"/>
        </w:rPr>
        <w:t>t</w:t>
      </w:r>
      <w:r w:rsidR="002751A2">
        <w:rPr>
          <w:rFonts w:ascii="Book Antiqua" w:hAnsi="Book Antiqua" w:cs="Arial"/>
        </w:rPr>
        <w:t>he</w:t>
      </w:r>
      <w:r w:rsidR="00362A47">
        <w:rPr>
          <w:rFonts w:ascii="Book Antiqua" w:hAnsi="Book Antiqua" w:cs="Arial"/>
        </w:rPr>
        <w:t xml:space="preserve"> judge</w:t>
      </w:r>
      <w:r w:rsidR="002751A2">
        <w:rPr>
          <w:rFonts w:ascii="Book Antiqua" w:hAnsi="Book Antiqua" w:cs="Arial"/>
        </w:rPr>
        <w:t xml:space="preserve"> </w:t>
      </w:r>
      <w:r w:rsidR="00860BD8">
        <w:rPr>
          <w:rFonts w:ascii="Book Antiqua" w:hAnsi="Book Antiqua" w:cs="Arial"/>
        </w:rPr>
        <w:t>in</w:t>
      </w:r>
      <w:r w:rsidR="002751A2">
        <w:rPr>
          <w:rFonts w:ascii="Book Antiqua" w:hAnsi="Book Antiqua" w:cs="Arial"/>
        </w:rPr>
        <w:t>tends by the comments that accompany his decision at</w:t>
      </w:r>
      <w:r w:rsidR="00860BD8">
        <w:rPr>
          <w:rFonts w:ascii="Book Antiqua" w:hAnsi="Book Antiqua" w:cs="Arial"/>
        </w:rPr>
        <w:t xml:space="preserve"> [57]. </w:t>
      </w:r>
      <w:r w:rsidR="002751A2">
        <w:rPr>
          <w:rFonts w:ascii="Book Antiqua" w:hAnsi="Book Antiqua" w:cs="Arial"/>
        </w:rPr>
        <w:t xml:space="preserve"> </w:t>
      </w:r>
      <w:r w:rsidR="00860BD8">
        <w:rPr>
          <w:rFonts w:ascii="Book Antiqua" w:hAnsi="Book Antiqua" w:cs="Arial"/>
        </w:rPr>
        <w:t xml:space="preserve">It renders his decision unclear in that the decision appears to be a qualified one. </w:t>
      </w:r>
      <w:r w:rsidR="002751A2">
        <w:rPr>
          <w:rFonts w:ascii="Book Antiqua" w:hAnsi="Book Antiqua" w:cs="Arial"/>
        </w:rPr>
        <w:t xml:space="preserve"> </w:t>
      </w:r>
      <w:r w:rsidR="00860BD8">
        <w:rPr>
          <w:rFonts w:ascii="Book Antiqua" w:hAnsi="Book Antiqua" w:cs="Arial"/>
        </w:rPr>
        <w:t xml:space="preserve">It is hard to see what </w:t>
      </w:r>
      <w:r w:rsidR="002751A2">
        <w:rPr>
          <w:rFonts w:ascii="Book Antiqua" w:hAnsi="Book Antiqua" w:cs="Arial"/>
        </w:rPr>
        <w:t>t</w:t>
      </w:r>
      <w:r w:rsidR="00860BD8">
        <w:rPr>
          <w:rFonts w:ascii="Book Antiqua" w:hAnsi="Book Antiqua" w:cs="Arial"/>
        </w:rPr>
        <w:t xml:space="preserve">he purpose is of saying that the ECO should </w:t>
      </w:r>
      <w:r w:rsidR="002751A2">
        <w:rPr>
          <w:rFonts w:ascii="Book Antiqua" w:hAnsi="Book Antiqua" w:cs="Arial"/>
        </w:rPr>
        <w:t>“</w:t>
      </w:r>
      <w:r w:rsidR="00860BD8">
        <w:rPr>
          <w:rFonts w:ascii="Book Antiqua" w:hAnsi="Book Antiqua" w:cs="Arial"/>
        </w:rPr>
        <w:t>give the Appellant an opportunity to submit a further letter from the Sponsor’s employer</w:t>
      </w:r>
      <w:r w:rsidR="002751A2">
        <w:rPr>
          <w:rFonts w:ascii="Book Antiqua" w:hAnsi="Book Antiqua" w:cs="Arial"/>
        </w:rPr>
        <w:t>”</w:t>
      </w:r>
      <w:r w:rsidR="00B976E6">
        <w:rPr>
          <w:rFonts w:ascii="Book Antiqua" w:hAnsi="Book Antiqua" w:cs="Arial"/>
        </w:rPr>
        <w:t>,</w:t>
      </w:r>
      <w:r w:rsidR="00860BD8">
        <w:rPr>
          <w:rFonts w:ascii="Book Antiqua" w:hAnsi="Book Antiqua" w:cs="Arial"/>
        </w:rPr>
        <w:t xml:space="preserve"> when he </w:t>
      </w:r>
      <w:r w:rsidR="00C7557E">
        <w:rPr>
          <w:rFonts w:ascii="Book Antiqua" w:hAnsi="Book Antiqua" w:cs="Arial"/>
        </w:rPr>
        <w:t xml:space="preserve">says at [56] that he was satisfied that the Respondent’s decision was unnecessary and disproportionate. </w:t>
      </w:r>
      <w:r w:rsidR="002751A2">
        <w:rPr>
          <w:rFonts w:ascii="Book Antiqua" w:hAnsi="Book Antiqua" w:cs="Arial"/>
        </w:rPr>
        <w:t xml:space="preserve"> </w:t>
      </w:r>
      <w:r w:rsidR="00C7557E">
        <w:rPr>
          <w:rFonts w:ascii="Book Antiqua" w:hAnsi="Book Antiqua" w:cs="Arial"/>
        </w:rPr>
        <w:t>I therefore</w:t>
      </w:r>
      <w:r w:rsidR="00945915">
        <w:rPr>
          <w:rFonts w:ascii="Book Antiqua" w:hAnsi="Book Antiqua" w:cs="Arial"/>
        </w:rPr>
        <w:t xml:space="preserve"> set aside Judge Cox’s decision</w:t>
      </w:r>
      <w:r w:rsidR="00B17D09">
        <w:rPr>
          <w:rFonts w:ascii="Book Antiqua" w:hAnsi="Book Antiqua" w:cs="Arial"/>
        </w:rPr>
        <w:t>.</w:t>
      </w:r>
      <w:r w:rsidR="00945915">
        <w:rPr>
          <w:rFonts w:ascii="Book Antiqua" w:hAnsi="Book Antiqua" w:cs="Arial"/>
        </w:rPr>
        <w:t xml:space="preserve"> </w:t>
      </w:r>
      <w:r w:rsidR="00B17D09">
        <w:rPr>
          <w:rFonts w:ascii="Book Antiqua" w:hAnsi="Book Antiqua" w:cs="Arial"/>
        </w:rPr>
        <w:t xml:space="preserve"> I </w:t>
      </w:r>
      <w:r w:rsidR="00945915">
        <w:rPr>
          <w:rFonts w:ascii="Book Antiqua" w:hAnsi="Book Antiqua" w:cs="Arial"/>
        </w:rPr>
        <w:t>find that the grounds are made out.</w:t>
      </w:r>
    </w:p>
    <w:p w:rsidR="006B3213" w:rsidRPr="00B976E6" w:rsidRDefault="00B976E6" w:rsidP="00B976E6">
      <w:pPr>
        <w:spacing w:before="240"/>
        <w:jc w:val="both"/>
        <w:rPr>
          <w:rFonts w:ascii="Book Antiqua" w:hAnsi="Book Antiqua" w:cs="Arial"/>
          <w:b/>
          <w:u w:val="single"/>
        </w:rPr>
      </w:pPr>
      <w:r>
        <w:rPr>
          <w:rFonts w:ascii="Book Antiqua" w:hAnsi="Book Antiqua" w:cs="Arial"/>
          <w:b/>
          <w:u w:val="single"/>
        </w:rPr>
        <w:t>Remaking the Decision</w:t>
      </w:r>
      <w:r w:rsidR="00C7557E" w:rsidRPr="00B976E6">
        <w:rPr>
          <w:rFonts w:ascii="Book Antiqua" w:hAnsi="Book Antiqua" w:cs="Arial"/>
          <w:b/>
          <w:u w:val="single"/>
        </w:rPr>
        <w:t xml:space="preserve"> </w:t>
      </w:r>
    </w:p>
    <w:p w:rsidR="00C7557E" w:rsidRDefault="00C7557E" w:rsidP="00E943B7">
      <w:pPr>
        <w:numPr>
          <w:ilvl w:val="0"/>
          <w:numId w:val="3"/>
        </w:numPr>
        <w:spacing w:before="240"/>
        <w:jc w:val="both"/>
        <w:rPr>
          <w:rFonts w:ascii="Book Antiqua" w:hAnsi="Book Antiqua" w:cs="Arial"/>
        </w:rPr>
      </w:pPr>
      <w:r>
        <w:rPr>
          <w:rFonts w:ascii="Book Antiqua" w:hAnsi="Book Antiqua" w:cs="Arial"/>
        </w:rPr>
        <w:t xml:space="preserve">I find </w:t>
      </w:r>
      <w:r w:rsidR="00B976E6">
        <w:rPr>
          <w:rFonts w:ascii="Book Antiqua" w:hAnsi="Book Antiqua" w:cs="Arial"/>
        </w:rPr>
        <w:t xml:space="preserve">that </w:t>
      </w:r>
      <w:r>
        <w:rPr>
          <w:rFonts w:ascii="Book Antiqua" w:hAnsi="Book Antiqua" w:cs="Arial"/>
        </w:rPr>
        <w:t>I am in a position to remake the decision.</w:t>
      </w:r>
      <w:r w:rsidR="00B976E6">
        <w:rPr>
          <w:rFonts w:ascii="Book Antiqua" w:hAnsi="Book Antiqua" w:cs="Arial"/>
        </w:rPr>
        <w:t xml:space="preserve"> </w:t>
      </w:r>
      <w:r>
        <w:rPr>
          <w:rFonts w:ascii="Book Antiqua" w:hAnsi="Book Antiqua" w:cs="Arial"/>
        </w:rPr>
        <w:t xml:space="preserve"> I preserve the findings made by Judge Cox including the finding at [53] </w:t>
      </w:r>
      <w:r w:rsidR="00B976E6">
        <w:rPr>
          <w:rFonts w:ascii="Book Antiqua" w:hAnsi="Book Antiqua" w:cs="Arial"/>
        </w:rPr>
        <w:t xml:space="preserve">as </w:t>
      </w:r>
      <w:r>
        <w:rPr>
          <w:rFonts w:ascii="Book Antiqua" w:hAnsi="Book Antiqua" w:cs="Arial"/>
        </w:rPr>
        <w:t>set out in paragraph 1</w:t>
      </w:r>
      <w:r w:rsidR="00945915">
        <w:rPr>
          <w:rFonts w:ascii="Book Antiqua" w:hAnsi="Book Antiqua" w:cs="Arial"/>
        </w:rPr>
        <w:t>7</w:t>
      </w:r>
      <w:r>
        <w:rPr>
          <w:rFonts w:ascii="Book Antiqua" w:hAnsi="Book Antiqua" w:cs="Arial"/>
        </w:rPr>
        <w:t xml:space="preserve"> above. </w:t>
      </w:r>
      <w:r w:rsidR="00B976E6">
        <w:rPr>
          <w:rFonts w:ascii="Book Antiqua" w:hAnsi="Book Antiqua" w:cs="Arial"/>
        </w:rPr>
        <w:t xml:space="preserve"> </w:t>
      </w:r>
      <w:r w:rsidR="00FC156D">
        <w:rPr>
          <w:rFonts w:ascii="Book Antiqua" w:hAnsi="Book Antiqua" w:cs="Arial"/>
        </w:rPr>
        <w:t>In particular I preserve the finding that the Sponsor was employed as claimed and that he earned £19</w:t>
      </w:r>
      <w:r w:rsidR="00B976E6">
        <w:rPr>
          <w:rFonts w:ascii="Book Antiqua" w:hAnsi="Book Antiqua" w:cs="Arial"/>
        </w:rPr>
        <w:t>,</w:t>
      </w:r>
      <w:r w:rsidR="00FC156D">
        <w:rPr>
          <w:rFonts w:ascii="Book Antiqua" w:hAnsi="Book Antiqua" w:cs="Arial"/>
        </w:rPr>
        <w:t>00</w:t>
      </w:r>
      <w:r w:rsidR="00B976E6">
        <w:rPr>
          <w:rFonts w:ascii="Book Antiqua" w:hAnsi="Book Antiqua" w:cs="Arial"/>
        </w:rPr>
        <w:t>8</w:t>
      </w:r>
      <w:r w:rsidR="00FC156D">
        <w:rPr>
          <w:rFonts w:ascii="Book Antiqua" w:hAnsi="Book Antiqua" w:cs="Arial"/>
        </w:rPr>
        <w:t xml:space="preserve"> for the tax year 2014/15.</w:t>
      </w:r>
      <w:r w:rsidR="007C55CA">
        <w:rPr>
          <w:rFonts w:ascii="Book Antiqua" w:hAnsi="Book Antiqua" w:cs="Arial"/>
        </w:rPr>
        <w:t xml:space="preserve">  </w:t>
      </w:r>
      <w:r w:rsidR="00FC156D">
        <w:rPr>
          <w:rFonts w:ascii="Book Antiqua" w:hAnsi="Book Antiqua" w:cs="Arial"/>
        </w:rPr>
        <w:t xml:space="preserve">The accommodation </w:t>
      </w:r>
      <w:r w:rsidR="007C55CA">
        <w:rPr>
          <w:rFonts w:ascii="Book Antiqua" w:hAnsi="Book Antiqua" w:cs="Arial"/>
        </w:rPr>
        <w:t>requirement</w:t>
      </w:r>
      <w:r w:rsidR="00850B96">
        <w:rPr>
          <w:rFonts w:ascii="Book Antiqua" w:hAnsi="Book Antiqua" w:cs="Arial"/>
        </w:rPr>
        <w:t xml:space="preserve"> is satisfied. </w:t>
      </w:r>
      <w:r w:rsidR="00B976E6">
        <w:rPr>
          <w:rFonts w:ascii="Book Antiqua" w:hAnsi="Book Antiqua" w:cs="Arial"/>
        </w:rPr>
        <w:t xml:space="preserve"> </w:t>
      </w:r>
      <w:r w:rsidR="00850B96">
        <w:rPr>
          <w:rFonts w:ascii="Book Antiqua" w:hAnsi="Book Antiqua" w:cs="Arial"/>
        </w:rPr>
        <w:t>By reference to those</w:t>
      </w:r>
      <w:r>
        <w:rPr>
          <w:rFonts w:ascii="Book Antiqua" w:hAnsi="Book Antiqua" w:cs="Arial"/>
        </w:rPr>
        <w:t xml:space="preserve"> finding</w:t>
      </w:r>
      <w:r w:rsidR="00850B96">
        <w:rPr>
          <w:rFonts w:ascii="Book Antiqua" w:hAnsi="Book Antiqua" w:cs="Arial"/>
        </w:rPr>
        <w:t>s</w:t>
      </w:r>
      <w:r>
        <w:rPr>
          <w:rFonts w:ascii="Book Antiqua" w:hAnsi="Book Antiqua" w:cs="Arial"/>
        </w:rPr>
        <w:t xml:space="preserve"> I find that the correct approach is the one set out in </w:t>
      </w:r>
      <w:proofErr w:type="spellStart"/>
      <w:r w:rsidR="00B976E6" w:rsidRPr="00B976E6">
        <w:rPr>
          <w:rFonts w:ascii="Book Antiqua" w:hAnsi="Book Antiqua" w:cs="Arial"/>
          <w:b/>
          <w:u w:val="single"/>
        </w:rPr>
        <w:t>Razgar</w:t>
      </w:r>
      <w:proofErr w:type="spellEnd"/>
      <w:r>
        <w:rPr>
          <w:rFonts w:ascii="Book Antiqua" w:hAnsi="Book Antiqua" w:cs="Arial"/>
        </w:rPr>
        <w:t>.</w:t>
      </w:r>
      <w:r w:rsidR="004E70EB">
        <w:rPr>
          <w:rFonts w:ascii="Book Antiqua" w:hAnsi="Book Antiqua" w:cs="Arial"/>
        </w:rPr>
        <w:t xml:space="preserve"> </w:t>
      </w:r>
    </w:p>
    <w:p w:rsidR="00C7557E" w:rsidRDefault="005F1024" w:rsidP="00E943B7">
      <w:pPr>
        <w:numPr>
          <w:ilvl w:val="0"/>
          <w:numId w:val="3"/>
        </w:numPr>
        <w:spacing w:before="240"/>
        <w:jc w:val="both"/>
        <w:rPr>
          <w:rFonts w:ascii="Book Antiqua" w:hAnsi="Book Antiqua" w:cs="Arial"/>
        </w:rPr>
      </w:pPr>
      <w:r>
        <w:rPr>
          <w:rFonts w:ascii="Book Antiqua" w:hAnsi="Book Antiqua" w:cs="Arial"/>
        </w:rPr>
        <w:t>I find that Article 8 is clearly engaged in this case</w:t>
      </w:r>
      <w:r w:rsidR="007C55CA">
        <w:rPr>
          <w:rFonts w:ascii="Book Antiqua" w:hAnsi="Book Antiqua" w:cs="Arial"/>
        </w:rPr>
        <w:t xml:space="preserve"> </w:t>
      </w:r>
      <w:r>
        <w:rPr>
          <w:rFonts w:ascii="Book Antiqua" w:hAnsi="Book Antiqua" w:cs="Arial"/>
        </w:rPr>
        <w:t>and the issue before me is whether the interference with the Appellant and Sponsor’s family life is justified when considering the public interest in maintaining immigration control.</w:t>
      </w:r>
      <w:r w:rsidR="004E70EB">
        <w:rPr>
          <w:rFonts w:ascii="Book Antiqua" w:hAnsi="Book Antiqua" w:cs="Arial"/>
        </w:rPr>
        <w:t xml:space="preserve"> I keep in m</w:t>
      </w:r>
      <w:r w:rsidR="003B0F58">
        <w:rPr>
          <w:rFonts w:ascii="Book Antiqua" w:hAnsi="Book Antiqua" w:cs="Arial"/>
        </w:rPr>
        <w:t xml:space="preserve">ind the principles set out in </w:t>
      </w:r>
      <w:r w:rsidR="00DE3E66" w:rsidRPr="00945915">
        <w:rPr>
          <w:rFonts w:ascii="Book Antiqua" w:hAnsi="Book Antiqua" w:cs="Arial"/>
          <w:b/>
          <w:u w:val="single"/>
        </w:rPr>
        <w:t>Mostafa</w:t>
      </w:r>
      <w:r w:rsidR="00945915" w:rsidRPr="00945915">
        <w:rPr>
          <w:rFonts w:ascii="Book Antiqua" w:hAnsi="Book Antiqua" w:cs="Arial"/>
          <w:b/>
          <w:u w:val="single"/>
        </w:rPr>
        <w:t xml:space="preserve"> (Article 8 in entry clearance) [2015] UKUT 0261 (IAC)</w:t>
      </w:r>
      <w:r w:rsidR="00945915">
        <w:rPr>
          <w:rFonts w:ascii="Book Antiqua" w:hAnsi="Book Antiqua" w:cs="Arial"/>
        </w:rPr>
        <w:t>.</w:t>
      </w:r>
    </w:p>
    <w:p w:rsidR="00FC156D" w:rsidRDefault="005F1024" w:rsidP="00E943B7">
      <w:pPr>
        <w:numPr>
          <w:ilvl w:val="0"/>
          <w:numId w:val="3"/>
        </w:numPr>
        <w:spacing w:before="240"/>
        <w:jc w:val="both"/>
        <w:rPr>
          <w:rFonts w:ascii="Book Antiqua" w:hAnsi="Book Antiqua" w:cs="Arial"/>
        </w:rPr>
      </w:pPr>
      <w:r>
        <w:rPr>
          <w:rFonts w:ascii="Book Antiqua" w:hAnsi="Book Antiqua" w:cs="Arial"/>
        </w:rPr>
        <w:t xml:space="preserve">My starting point in this case is simply that in substance the Appellant meets the requirements of the immigration rules. </w:t>
      </w:r>
      <w:r w:rsidR="00B976E6">
        <w:rPr>
          <w:rFonts w:ascii="Book Antiqua" w:hAnsi="Book Antiqua" w:cs="Arial"/>
        </w:rPr>
        <w:t xml:space="preserve"> </w:t>
      </w:r>
      <w:r>
        <w:rPr>
          <w:rFonts w:ascii="Book Antiqua" w:hAnsi="Book Antiqua" w:cs="Arial"/>
        </w:rPr>
        <w:t>The judge’s finding that the omission in the Sponsor’s employer</w:t>
      </w:r>
      <w:r w:rsidR="00B976E6">
        <w:rPr>
          <w:rFonts w:ascii="Book Antiqua" w:hAnsi="Book Antiqua" w:cs="Arial"/>
        </w:rPr>
        <w:t>’</w:t>
      </w:r>
      <w:r>
        <w:rPr>
          <w:rFonts w:ascii="Book Antiqua" w:hAnsi="Book Antiqua" w:cs="Arial"/>
        </w:rPr>
        <w:t xml:space="preserve">s letter is a minor one is unchallenged. </w:t>
      </w:r>
      <w:r w:rsidR="00B976E6">
        <w:rPr>
          <w:rFonts w:ascii="Book Antiqua" w:hAnsi="Book Antiqua" w:cs="Arial"/>
        </w:rPr>
        <w:t xml:space="preserve"> </w:t>
      </w:r>
      <w:r>
        <w:rPr>
          <w:rFonts w:ascii="Book Antiqua" w:hAnsi="Book Antiqua" w:cs="Arial"/>
        </w:rPr>
        <w:t>The fact that the Appellant can meet the Ru</w:t>
      </w:r>
      <w:r w:rsidR="007C55CA">
        <w:rPr>
          <w:rFonts w:ascii="Book Antiqua" w:hAnsi="Book Antiqua" w:cs="Arial"/>
        </w:rPr>
        <w:t>les in substance if not in form</w:t>
      </w:r>
      <w:r>
        <w:rPr>
          <w:rFonts w:ascii="Book Antiqua" w:hAnsi="Book Antiqua" w:cs="Arial"/>
        </w:rPr>
        <w:t xml:space="preserve"> provides persuasive evidence in her favour. </w:t>
      </w:r>
      <w:r w:rsidR="00B976E6">
        <w:rPr>
          <w:rFonts w:ascii="Book Antiqua" w:hAnsi="Book Antiqua" w:cs="Arial"/>
        </w:rPr>
        <w:t xml:space="preserve"> </w:t>
      </w:r>
      <w:r>
        <w:rPr>
          <w:rFonts w:ascii="Book Antiqua" w:hAnsi="Book Antiqua" w:cs="Arial"/>
        </w:rPr>
        <w:t xml:space="preserve">It is hard to see therefore what justification there might be on </w:t>
      </w:r>
      <w:r w:rsidR="00FC156D">
        <w:rPr>
          <w:rFonts w:ascii="Book Antiqua" w:hAnsi="Book Antiqua" w:cs="Arial"/>
        </w:rPr>
        <w:t xml:space="preserve">public interest grounds for denying her entry. </w:t>
      </w:r>
      <w:r w:rsidR="00B976E6">
        <w:rPr>
          <w:rFonts w:ascii="Book Antiqua" w:hAnsi="Book Antiqua" w:cs="Arial"/>
        </w:rPr>
        <w:t xml:space="preserve"> </w:t>
      </w:r>
      <w:r w:rsidR="00FC156D">
        <w:rPr>
          <w:rFonts w:ascii="Book Antiqua" w:hAnsi="Book Antiqua" w:cs="Arial"/>
        </w:rPr>
        <w:t xml:space="preserve">In my judgment when </w:t>
      </w:r>
      <w:r w:rsidR="00B976E6">
        <w:rPr>
          <w:rFonts w:ascii="Book Antiqua" w:hAnsi="Book Antiqua" w:cs="Arial"/>
        </w:rPr>
        <w:t>weighing</w:t>
      </w:r>
      <w:r w:rsidR="00FC156D">
        <w:rPr>
          <w:rFonts w:ascii="Book Antiqua" w:hAnsi="Book Antiqua" w:cs="Arial"/>
        </w:rPr>
        <w:t xml:space="preserve"> matters</w:t>
      </w:r>
      <w:r w:rsidR="00B976E6">
        <w:rPr>
          <w:rFonts w:ascii="Book Antiqua" w:hAnsi="Book Antiqua" w:cs="Arial"/>
        </w:rPr>
        <w:t>,</w:t>
      </w:r>
      <w:r w:rsidR="00FC156D">
        <w:rPr>
          <w:rFonts w:ascii="Book Antiqua" w:hAnsi="Book Antiqua" w:cs="Arial"/>
        </w:rPr>
        <w:t xml:space="preserve"> </w:t>
      </w:r>
      <w:r w:rsidR="00B976E6">
        <w:rPr>
          <w:rFonts w:ascii="Book Antiqua" w:hAnsi="Book Antiqua" w:cs="Arial"/>
        </w:rPr>
        <w:t>the balance</w:t>
      </w:r>
      <w:r w:rsidR="00FC156D">
        <w:rPr>
          <w:rFonts w:ascii="Book Antiqua" w:hAnsi="Book Antiqua" w:cs="Arial"/>
        </w:rPr>
        <w:t xml:space="preserve"> tips in her favour. </w:t>
      </w:r>
      <w:r w:rsidR="00B976E6">
        <w:rPr>
          <w:rFonts w:ascii="Book Antiqua" w:hAnsi="Book Antiqua" w:cs="Arial"/>
        </w:rPr>
        <w:t xml:space="preserve"> </w:t>
      </w:r>
      <w:proofErr w:type="gramStart"/>
      <w:r w:rsidR="00FC156D">
        <w:rPr>
          <w:rFonts w:ascii="Book Antiqua" w:hAnsi="Book Antiqua" w:cs="Arial"/>
        </w:rPr>
        <w:t>Accordingly</w:t>
      </w:r>
      <w:proofErr w:type="gramEnd"/>
      <w:r w:rsidR="00FC156D">
        <w:rPr>
          <w:rFonts w:ascii="Book Antiqua" w:hAnsi="Book Antiqua" w:cs="Arial"/>
        </w:rPr>
        <w:t xml:space="preserve"> the Appellant’s appeal against the ECO</w:t>
      </w:r>
      <w:r w:rsidR="00B976E6">
        <w:rPr>
          <w:rFonts w:ascii="Book Antiqua" w:hAnsi="Book Antiqua" w:cs="Arial"/>
        </w:rPr>
        <w:t>’</w:t>
      </w:r>
      <w:r w:rsidR="00FC156D">
        <w:rPr>
          <w:rFonts w:ascii="Book Antiqua" w:hAnsi="Book Antiqua" w:cs="Arial"/>
        </w:rPr>
        <w:t>s decision refusing her entry is allowed.</w:t>
      </w:r>
    </w:p>
    <w:p w:rsidR="00B976E6" w:rsidRPr="00B976E6" w:rsidRDefault="005F1024" w:rsidP="00B976E6">
      <w:pPr>
        <w:spacing w:before="240"/>
        <w:jc w:val="both"/>
        <w:rPr>
          <w:rFonts w:ascii="Book Antiqua" w:hAnsi="Book Antiqua" w:cs="Arial"/>
          <w:b/>
          <w:u w:val="single"/>
        </w:rPr>
      </w:pPr>
      <w:r>
        <w:rPr>
          <w:rFonts w:ascii="Book Antiqua" w:hAnsi="Book Antiqua" w:cs="Arial"/>
        </w:rPr>
        <w:lastRenderedPageBreak/>
        <w:t xml:space="preserve"> </w:t>
      </w:r>
      <w:r w:rsidR="00B976E6">
        <w:rPr>
          <w:rFonts w:ascii="Book Antiqua" w:hAnsi="Book Antiqua" w:cs="Arial"/>
          <w:b/>
          <w:u w:val="single"/>
        </w:rPr>
        <w:t>Notice of Decision</w:t>
      </w:r>
      <w:r w:rsidR="00B976E6" w:rsidRPr="00B976E6">
        <w:rPr>
          <w:rFonts w:ascii="Book Antiqua" w:hAnsi="Book Antiqua" w:cs="Arial"/>
          <w:b/>
          <w:u w:val="single"/>
        </w:rPr>
        <w:t xml:space="preserve"> </w:t>
      </w:r>
    </w:p>
    <w:p w:rsidR="005F1024" w:rsidRDefault="00865016" w:rsidP="00B976E6">
      <w:pPr>
        <w:spacing w:before="240"/>
        <w:jc w:val="both"/>
        <w:rPr>
          <w:rFonts w:ascii="Book Antiqua" w:hAnsi="Book Antiqua" w:cs="Arial"/>
        </w:rPr>
      </w:pPr>
      <w:r>
        <w:rPr>
          <w:rFonts w:ascii="Book Antiqua" w:hAnsi="Book Antiqua" w:cs="Arial"/>
        </w:rPr>
        <w:t>The decision of the First-tier Tribunal promulgated on 8</w:t>
      </w:r>
      <w:r w:rsidRPr="00865016">
        <w:rPr>
          <w:rFonts w:ascii="Book Antiqua" w:hAnsi="Book Antiqua" w:cs="Arial"/>
          <w:vertAlign w:val="superscript"/>
        </w:rPr>
        <w:t>th</w:t>
      </w:r>
      <w:r>
        <w:rPr>
          <w:rFonts w:ascii="Book Antiqua" w:hAnsi="Book Antiqua" w:cs="Arial"/>
        </w:rPr>
        <w:t xml:space="preserve"> May 2017 is set aside for material error. </w:t>
      </w:r>
      <w:r w:rsidR="00475EAD">
        <w:rPr>
          <w:rFonts w:ascii="Book Antiqua" w:hAnsi="Book Antiqua" w:cs="Arial"/>
        </w:rPr>
        <w:t xml:space="preserve"> </w:t>
      </w:r>
      <w:r>
        <w:rPr>
          <w:rFonts w:ascii="Book Antiqua" w:hAnsi="Book Antiqua" w:cs="Arial"/>
        </w:rPr>
        <w:t>I remake the decision by allowing the appeal of Maryam Bibi</w:t>
      </w:r>
      <w:r w:rsidR="00A33523">
        <w:rPr>
          <w:rFonts w:ascii="Book Antiqua" w:hAnsi="Book Antiqua" w:cs="Arial"/>
        </w:rPr>
        <w:t xml:space="preserve"> against the ECO’s </w:t>
      </w:r>
      <w:r w:rsidR="00645CCF">
        <w:rPr>
          <w:rFonts w:ascii="Book Antiqua" w:hAnsi="Book Antiqua" w:cs="Arial"/>
        </w:rPr>
        <w:t>decision, on Human Rights grounds.</w:t>
      </w:r>
      <w:r>
        <w:rPr>
          <w:rFonts w:ascii="Book Antiqua" w:hAnsi="Book Antiqua" w:cs="Arial"/>
        </w:rPr>
        <w:t xml:space="preserve"> </w:t>
      </w:r>
      <w:r w:rsidR="00A33523">
        <w:rPr>
          <w:rFonts w:ascii="Book Antiqua" w:hAnsi="Book Antiqua" w:cs="Arial"/>
        </w:rPr>
        <w:t xml:space="preserve"> </w:t>
      </w:r>
    </w:p>
    <w:p w:rsidR="00475EAD" w:rsidRDefault="00475EAD" w:rsidP="00073E80">
      <w:pPr>
        <w:jc w:val="both"/>
        <w:rPr>
          <w:rFonts w:ascii="Book Antiqua" w:hAnsi="Book Antiqua" w:cs="Arial"/>
        </w:rPr>
      </w:pPr>
    </w:p>
    <w:p w:rsidR="00073E80" w:rsidRPr="00073E80" w:rsidRDefault="00073E80" w:rsidP="00073E80">
      <w:pPr>
        <w:jc w:val="both"/>
        <w:rPr>
          <w:rFonts w:ascii="Book Antiqua" w:hAnsi="Book Antiqua" w:cs="Arial"/>
        </w:rPr>
      </w:pPr>
      <w:r w:rsidRPr="00073E80">
        <w:rPr>
          <w:rFonts w:ascii="Book Antiqua" w:hAnsi="Book Antiqua" w:cs="Arial"/>
        </w:rPr>
        <w:t>No anonymity direction is made.</w:t>
      </w:r>
    </w:p>
    <w:p w:rsidR="00073E80" w:rsidRPr="00073E80" w:rsidRDefault="00073E80" w:rsidP="00073E80">
      <w:pPr>
        <w:jc w:val="both"/>
        <w:rPr>
          <w:rFonts w:ascii="Book Antiqua" w:hAnsi="Book Antiqua" w:cs="Arial"/>
        </w:rPr>
      </w:pPr>
    </w:p>
    <w:p w:rsidR="00073E80" w:rsidRPr="00C01D77" w:rsidRDefault="00073E80" w:rsidP="000369F5">
      <w:pPr>
        <w:tabs>
          <w:tab w:val="left" w:pos="2520"/>
        </w:tabs>
        <w:jc w:val="both"/>
        <w:rPr>
          <w:rFonts w:ascii="Book Antiqua" w:hAnsi="Book Antiqua" w:cs="Arial"/>
        </w:rPr>
      </w:pPr>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007C5551">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0C1A9F">
        <w:rPr>
          <w:rFonts w:ascii="Book Antiqua" w:hAnsi="Book Antiqua" w:cs="Arial"/>
        </w:rPr>
        <w:tab/>
      </w:r>
      <w:r w:rsidR="000C1A9F">
        <w:rPr>
          <w:rFonts w:ascii="Book Antiqua" w:hAnsi="Book Antiqua" w:cs="Arial"/>
        </w:rPr>
        <w:tab/>
        <w:t>30 June 2018</w:t>
      </w:r>
    </w:p>
    <w:p w:rsidR="001F2716" w:rsidRPr="00C01D77" w:rsidRDefault="001F2716" w:rsidP="000369F5">
      <w:pPr>
        <w:tabs>
          <w:tab w:val="left" w:pos="2520"/>
        </w:tabs>
        <w:jc w:val="both"/>
        <w:rPr>
          <w:rFonts w:ascii="Book Antiqua" w:hAnsi="Book Antiqua" w:cs="Arial"/>
        </w:rPr>
      </w:pPr>
    </w:p>
    <w:p w:rsidR="005B7789" w:rsidRDefault="00635C47" w:rsidP="000369F5">
      <w:pPr>
        <w:tabs>
          <w:tab w:val="left" w:pos="2520"/>
        </w:tabs>
        <w:jc w:val="both"/>
        <w:rPr>
          <w:rFonts w:ascii="Book Antiqua" w:hAnsi="Book Antiqua" w:cs="Arial"/>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r w:rsidR="006B6451" w:rsidRPr="00C01D77">
        <w:rPr>
          <w:rFonts w:ascii="Book Antiqua" w:hAnsi="Book Antiqua" w:cs="Arial"/>
        </w:rPr>
        <w:t xml:space="preserve"> </w:t>
      </w:r>
    </w:p>
    <w:p w:rsidR="00073E80" w:rsidRDefault="00073E80" w:rsidP="000369F5">
      <w:pPr>
        <w:tabs>
          <w:tab w:val="left" w:pos="2520"/>
        </w:tabs>
        <w:jc w:val="both"/>
        <w:rPr>
          <w:rFonts w:ascii="Book Antiqua" w:hAnsi="Book Antiqua" w:cs="Arial"/>
        </w:rPr>
      </w:pPr>
    </w:p>
    <w:p w:rsidR="00351E62" w:rsidRDefault="00351E62" w:rsidP="000369F5">
      <w:pPr>
        <w:tabs>
          <w:tab w:val="left" w:pos="2520"/>
        </w:tabs>
        <w:jc w:val="both"/>
        <w:rPr>
          <w:rFonts w:ascii="Book Antiqua" w:hAnsi="Book Antiqua" w:cs="Arial"/>
        </w:rPr>
      </w:pPr>
    </w:p>
    <w:p w:rsidR="00351E62" w:rsidRDefault="00351E62" w:rsidP="000369F5">
      <w:pPr>
        <w:tabs>
          <w:tab w:val="left" w:pos="2520"/>
        </w:tabs>
        <w:jc w:val="both"/>
        <w:rPr>
          <w:rFonts w:ascii="Book Antiqua" w:hAnsi="Book Antiqua" w:cs="Arial"/>
        </w:rPr>
      </w:pPr>
    </w:p>
    <w:p w:rsidR="00073E80" w:rsidRDefault="00073E80" w:rsidP="000369F5">
      <w:pPr>
        <w:tabs>
          <w:tab w:val="left" w:pos="2520"/>
        </w:tabs>
        <w:jc w:val="both"/>
        <w:rPr>
          <w:rFonts w:ascii="Book Antiqua" w:hAnsi="Book Antiqua" w:cs="Arial"/>
        </w:rPr>
      </w:pPr>
    </w:p>
    <w:p w:rsidR="00073E80" w:rsidRPr="00073E80" w:rsidRDefault="00073E80" w:rsidP="00073E80">
      <w:pPr>
        <w:jc w:val="both"/>
        <w:rPr>
          <w:rFonts w:ascii="Book Antiqua" w:hAnsi="Book Antiqua" w:cs="Arial"/>
          <w:b/>
          <w:u w:val="single"/>
        </w:rPr>
      </w:pPr>
      <w:r w:rsidRPr="00073E80">
        <w:rPr>
          <w:rFonts w:ascii="Book Antiqua" w:hAnsi="Book Antiqua" w:cs="Arial"/>
          <w:b/>
          <w:u w:val="single"/>
        </w:rPr>
        <w:t>TO THE RESPONDENT</w:t>
      </w:r>
    </w:p>
    <w:p w:rsidR="00073E80" w:rsidRPr="00073E80" w:rsidRDefault="00073E80" w:rsidP="00073E80">
      <w:pPr>
        <w:ind w:left="567" w:hanging="567"/>
        <w:jc w:val="both"/>
        <w:rPr>
          <w:rFonts w:ascii="Book Antiqua" w:hAnsi="Book Antiqua" w:cs="Arial"/>
        </w:rPr>
      </w:pPr>
      <w:r w:rsidRPr="00073E80">
        <w:rPr>
          <w:rFonts w:ascii="Book Antiqua" w:hAnsi="Book Antiqua" w:cs="Arial"/>
          <w:b/>
          <w:u w:val="single"/>
        </w:rPr>
        <w:t>FEE AWARD</w:t>
      </w:r>
    </w:p>
    <w:p w:rsidR="00073E80" w:rsidRPr="00073E80" w:rsidRDefault="00073E80" w:rsidP="00073E80">
      <w:pPr>
        <w:ind w:left="567" w:hanging="567"/>
        <w:jc w:val="both"/>
        <w:rPr>
          <w:rFonts w:ascii="Book Antiqua" w:hAnsi="Book Antiqua" w:cs="Arial"/>
        </w:rPr>
      </w:pPr>
    </w:p>
    <w:p w:rsidR="00073E80" w:rsidRDefault="00512C3A" w:rsidP="00073E80">
      <w:pPr>
        <w:jc w:val="both"/>
        <w:rPr>
          <w:rFonts w:ascii="Book Antiqua" w:hAnsi="Book Antiqua" w:cs="Arial"/>
        </w:rPr>
      </w:pPr>
      <w:r>
        <w:rPr>
          <w:rFonts w:ascii="Book Antiqua" w:hAnsi="Book Antiqua" w:cs="Arial"/>
        </w:rPr>
        <w:t>The First-tier Tribunal Judge made no fee award.  I see no reason to interfere with that finding and it stands.</w:t>
      </w:r>
    </w:p>
    <w:p w:rsidR="00073E80" w:rsidRDefault="00073E80" w:rsidP="00073E80">
      <w:pPr>
        <w:jc w:val="both"/>
        <w:rPr>
          <w:rFonts w:ascii="Book Antiqua" w:hAnsi="Book Antiqua" w:cs="Arial"/>
        </w:rPr>
      </w:pPr>
    </w:p>
    <w:p w:rsidR="00166634" w:rsidRDefault="00166634" w:rsidP="00073E80">
      <w:pPr>
        <w:jc w:val="both"/>
        <w:rPr>
          <w:rFonts w:ascii="Book Antiqua" w:hAnsi="Book Antiqua" w:cs="Arial"/>
        </w:rPr>
      </w:pPr>
    </w:p>
    <w:p w:rsidR="000C1A9F" w:rsidRPr="00C01D77" w:rsidRDefault="000C1A9F" w:rsidP="000C1A9F">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t>Date</w:t>
      </w:r>
      <w:r>
        <w:rPr>
          <w:rFonts w:ascii="Book Antiqua" w:hAnsi="Book Antiqua" w:cs="Arial"/>
        </w:rPr>
        <w:tab/>
      </w:r>
      <w:r>
        <w:rPr>
          <w:rFonts w:ascii="Book Antiqua" w:hAnsi="Book Antiqua" w:cs="Arial"/>
        </w:rPr>
        <w:tab/>
        <w:t>30 June 2018</w:t>
      </w:r>
    </w:p>
    <w:p w:rsidR="00073E80" w:rsidRPr="00C01D77" w:rsidRDefault="00073E80" w:rsidP="00073E80">
      <w:pPr>
        <w:tabs>
          <w:tab w:val="left" w:pos="2520"/>
        </w:tabs>
        <w:jc w:val="both"/>
        <w:rPr>
          <w:rFonts w:ascii="Book Antiqua" w:hAnsi="Book Antiqua" w:cs="Arial"/>
        </w:rPr>
      </w:pPr>
    </w:p>
    <w:p w:rsidR="00073E80" w:rsidRDefault="00635C47" w:rsidP="003E1D9C">
      <w:pPr>
        <w:tabs>
          <w:tab w:val="left" w:pos="2520"/>
        </w:tabs>
        <w:jc w:val="both"/>
        <w:rPr>
          <w:rFonts w:ascii="Book Antiqua" w:hAnsi="Book Antiqua" w:cs="Arial"/>
        </w:rPr>
      </w:pPr>
      <w:r>
        <w:rPr>
          <w:rFonts w:ascii="Book Antiqua" w:hAnsi="Book Antiqua" w:cs="Arial"/>
        </w:rPr>
        <w:t xml:space="preserve">Deputy </w:t>
      </w:r>
      <w:r w:rsidR="00073E80">
        <w:rPr>
          <w:rFonts w:ascii="Book Antiqua" w:hAnsi="Book Antiqua" w:cs="Arial"/>
        </w:rPr>
        <w:t>Upper Tribunal</w:t>
      </w:r>
      <w:r w:rsidR="00073E80" w:rsidRPr="00C01D77">
        <w:rPr>
          <w:rFonts w:ascii="Book Antiqua" w:hAnsi="Book Antiqua" w:cs="Arial"/>
        </w:rPr>
        <w:t xml:space="preserve"> Judge Roberts </w:t>
      </w:r>
    </w:p>
    <w:p w:rsidR="005B7789" w:rsidRPr="00C01D77" w:rsidRDefault="005B7789" w:rsidP="00196266">
      <w:pPr>
        <w:jc w:val="center"/>
        <w:rPr>
          <w:rFonts w:ascii="Book Antiqua" w:hAnsi="Book Antiqua" w:cs="Arial"/>
        </w:rPr>
      </w:pPr>
    </w:p>
    <w:sectPr w:rsidR="005B7789" w:rsidRPr="00C01D77"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CCC" w:rsidRDefault="00B22CCC">
      <w:r>
        <w:separator/>
      </w:r>
    </w:p>
  </w:endnote>
  <w:endnote w:type="continuationSeparator" w:id="0">
    <w:p w:rsidR="00B22CCC" w:rsidRDefault="00B22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altName w:val="Arial"/>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325D10" w:rsidP="00593795">
    <w:pPr>
      <w:pStyle w:val="Footer"/>
      <w:jc w:val="center"/>
      <w:rPr>
        <w:rFonts w:ascii="Book Antiqua" w:hAnsi="Book Antiqua" w:cs="Arial"/>
        <w:sz w:val="16"/>
        <w:szCs w:val="16"/>
      </w:rPr>
    </w:pPr>
    <w:r w:rsidRPr="00C01D77">
      <w:rPr>
        <w:rStyle w:val="PageNumber"/>
        <w:rFonts w:ascii="Book Antiqua" w:hAnsi="Book Antiqua" w:cs="Arial"/>
        <w:sz w:val="16"/>
        <w:szCs w:val="16"/>
      </w:rPr>
      <w:fldChar w:fldCharType="begin"/>
    </w:r>
    <w:r w:rsidR="00122BC1" w:rsidRPr="00C01D77">
      <w:rPr>
        <w:rStyle w:val="PageNumber"/>
        <w:rFonts w:ascii="Book Antiqua" w:hAnsi="Book Antiqua" w:cs="Arial"/>
        <w:sz w:val="16"/>
        <w:szCs w:val="16"/>
      </w:rPr>
      <w:instrText xml:space="preserve"> PAGE </w:instrText>
    </w:r>
    <w:r w:rsidRPr="00C01D77">
      <w:rPr>
        <w:rStyle w:val="PageNumber"/>
        <w:rFonts w:ascii="Book Antiqua" w:hAnsi="Book Antiqua" w:cs="Arial"/>
        <w:sz w:val="16"/>
        <w:szCs w:val="16"/>
      </w:rPr>
      <w:fldChar w:fldCharType="separate"/>
    </w:r>
    <w:r w:rsidR="008042B5">
      <w:rPr>
        <w:rStyle w:val="PageNumber"/>
        <w:rFonts w:ascii="Book Antiqua" w:hAnsi="Book Antiqua" w:cs="Arial"/>
        <w:noProof/>
        <w:sz w:val="16"/>
        <w:szCs w:val="16"/>
      </w:rPr>
      <w:t>6</w:t>
    </w:r>
    <w:r w:rsidRPr="00C01D77">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rsidP="00E51376">
    <w:pPr>
      <w:jc w:val="center"/>
      <w:rPr>
        <w:rFonts w:ascii="Book Antiqua" w:hAnsi="Book Antiqua" w:cs="Arial"/>
        <w:b/>
      </w:rPr>
    </w:pPr>
    <w:r w:rsidRPr="00C01D77">
      <w:rPr>
        <w:rFonts w:ascii="Book Antiqua" w:hAnsi="Book Antiqua" w:cs="Arial"/>
        <w:b/>
        <w:spacing w:val="-6"/>
      </w:rPr>
      <w:t>©</w:t>
    </w:r>
    <w:r w:rsidR="0029282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CCC" w:rsidRDefault="00B22CCC">
      <w:r>
        <w:separator/>
      </w:r>
    </w:p>
  </w:footnote>
  <w:footnote w:type="continuationSeparator" w:id="0">
    <w:p w:rsidR="00B22CCC" w:rsidRDefault="00B22C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rsidP="000369F5">
    <w:pPr>
      <w:pStyle w:val="Header"/>
      <w:tabs>
        <w:tab w:val="clear" w:pos="4153"/>
        <w:tab w:val="clear" w:pos="8306"/>
        <w:tab w:val="right" w:pos="9639"/>
      </w:tabs>
      <w:jc w:val="right"/>
      <w:rPr>
        <w:rFonts w:ascii="Book Antiqua" w:hAnsi="Book Antiqua" w:cs="Arial"/>
        <w:sz w:val="16"/>
        <w:szCs w:val="16"/>
      </w:rPr>
    </w:pPr>
    <w:r w:rsidRPr="00C01D77">
      <w:rPr>
        <w:rFonts w:ascii="Book Antiqua" w:hAnsi="Book Antiqua" w:cs="Arial"/>
        <w:sz w:val="16"/>
        <w:szCs w:val="16"/>
      </w:rPr>
      <w:t xml:space="preserve">Appeal Number: </w:t>
    </w:r>
    <w:r w:rsidR="00AB3123">
      <w:rPr>
        <w:rFonts w:ascii="Book Antiqua" w:hAnsi="Book Antiqua" w:cs="Arial"/>
        <w:sz w:val="16"/>
        <w:szCs w:val="16"/>
      </w:rPr>
      <w:t>HU/08789/2015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C9B15E1"/>
    <w:multiLevelType w:val="multilevel"/>
    <w:tmpl w:val="17CA066C"/>
    <w:lvl w:ilvl="0">
      <w:start w:val="1"/>
      <w:numFmt w:val="lowerRoman"/>
      <w:lvlText w:val="%1."/>
      <w:lvlJc w:val="right"/>
      <w:pPr>
        <w:tabs>
          <w:tab w:val="num" w:pos="1134"/>
        </w:tabs>
        <w:ind w:left="1134" w:hanging="567"/>
      </w:pPr>
      <w:rPr>
        <w:rFonts w:hint="default"/>
      </w:rPr>
    </w:lvl>
    <w:lvl w:ilvl="1">
      <w:start w:val="1"/>
      <w:numFmt w:val="lowerLetter"/>
      <w:lvlText w:val="(%2)"/>
      <w:lvlJc w:val="left"/>
      <w:pPr>
        <w:tabs>
          <w:tab w:val="num" w:pos="1701"/>
        </w:tabs>
        <w:ind w:left="1701" w:hanging="567"/>
      </w:pPr>
      <w:rPr>
        <w:rFonts w:hint="default"/>
      </w:rPr>
    </w:lvl>
    <w:lvl w:ilvl="2">
      <w:start w:val="1"/>
      <w:numFmt w:val="lowerRoman"/>
      <w:lvlText w:val="(%3)"/>
      <w:lvlJc w:val="left"/>
      <w:pPr>
        <w:tabs>
          <w:tab w:val="num" w:pos="2268"/>
        </w:tabs>
        <w:ind w:left="2268" w:hanging="567"/>
      </w:pPr>
      <w:rPr>
        <w:rFonts w:hint="default"/>
      </w:rPr>
    </w:lvl>
    <w:lvl w:ilvl="3">
      <w:start w:val="1"/>
      <w:numFmt w:val="decimal"/>
      <w:lvlText w:val="(%4)"/>
      <w:lvlJc w:val="left"/>
      <w:pPr>
        <w:tabs>
          <w:tab w:val="num" w:pos="2835"/>
        </w:tabs>
        <w:ind w:left="2835" w:hanging="567"/>
      </w:pPr>
      <w:rPr>
        <w:rFonts w:hint="default"/>
      </w:rPr>
    </w:lvl>
    <w:lvl w:ilvl="4">
      <w:start w:val="1"/>
      <w:numFmt w:val="lowerLetter"/>
      <w:lvlText w:val="(%5)"/>
      <w:lvlJc w:val="left"/>
      <w:pPr>
        <w:tabs>
          <w:tab w:val="num" w:pos="3402"/>
        </w:tabs>
        <w:ind w:left="3402" w:hanging="567"/>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6FA013D"/>
    <w:multiLevelType w:val="hybridMultilevel"/>
    <w:tmpl w:val="41F84B62"/>
    <w:lvl w:ilvl="0" w:tplc="BC86DE7E">
      <w:start w:val="1"/>
      <w:numFmt w:val="lowerRoman"/>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0E562B7"/>
    <w:multiLevelType w:val="hybridMultilevel"/>
    <w:tmpl w:val="AA761888"/>
    <w:lvl w:ilvl="0" w:tplc="BC86DE7E">
      <w:start w:val="1"/>
      <w:numFmt w:val="lowerRoman"/>
      <w:lvlText w:val="(%1)"/>
      <w:lvlJc w:val="left"/>
      <w:pPr>
        <w:ind w:left="1854" w:hanging="360"/>
      </w:pPr>
      <w:rPr>
        <w:rFonts w:hint="default"/>
      </w:r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0"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6"/>
  </w:num>
  <w:num w:numId="3">
    <w:abstractNumId w:val="2"/>
  </w:num>
  <w:num w:numId="4">
    <w:abstractNumId w:val="12"/>
  </w:num>
  <w:num w:numId="5">
    <w:abstractNumId w:val="22"/>
  </w:num>
  <w:num w:numId="6">
    <w:abstractNumId w:val="14"/>
  </w:num>
  <w:num w:numId="7">
    <w:abstractNumId w:val="21"/>
  </w:num>
  <w:num w:numId="8">
    <w:abstractNumId w:val="9"/>
  </w:num>
  <w:num w:numId="9">
    <w:abstractNumId w:val="7"/>
  </w:num>
  <w:num w:numId="10">
    <w:abstractNumId w:val="20"/>
  </w:num>
  <w:num w:numId="11">
    <w:abstractNumId w:val="18"/>
  </w:num>
  <w:num w:numId="12">
    <w:abstractNumId w:val="1"/>
  </w:num>
  <w:num w:numId="13">
    <w:abstractNumId w:val="17"/>
  </w:num>
  <w:num w:numId="14">
    <w:abstractNumId w:val="0"/>
  </w:num>
  <w:num w:numId="15">
    <w:abstractNumId w:val="4"/>
  </w:num>
  <w:num w:numId="16">
    <w:abstractNumId w:val="6"/>
  </w:num>
  <w:num w:numId="17">
    <w:abstractNumId w:val="15"/>
  </w:num>
  <w:num w:numId="18">
    <w:abstractNumId w:val="10"/>
  </w:num>
  <w:num w:numId="19">
    <w:abstractNumId w:val="11"/>
  </w:num>
  <w:num w:numId="20">
    <w:abstractNumId w:val="8"/>
  </w:num>
  <w:num w:numId="21">
    <w:abstractNumId w:val="13"/>
  </w:num>
  <w:num w:numId="22">
    <w:abstractNumId w:val="1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92A"/>
    <w:rsid w:val="00000621"/>
    <w:rsid w:val="00002AD1"/>
    <w:rsid w:val="000036C2"/>
    <w:rsid w:val="00021BDB"/>
    <w:rsid w:val="00033D3D"/>
    <w:rsid w:val="00036669"/>
    <w:rsid w:val="000369F5"/>
    <w:rsid w:val="00045030"/>
    <w:rsid w:val="00071A7E"/>
    <w:rsid w:val="00073E80"/>
    <w:rsid w:val="000746C0"/>
    <w:rsid w:val="00074D1D"/>
    <w:rsid w:val="00081E17"/>
    <w:rsid w:val="00092580"/>
    <w:rsid w:val="000B3B14"/>
    <w:rsid w:val="000B4B02"/>
    <w:rsid w:val="000C1A9F"/>
    <w:rsid w:val="000C5F01"/>
    <w:rsid w:val="000C7BD4"/>
    <w:rsid w:val="000D5D94"/>
    <w:rsid w:val="001165A7"/>
    <w:rsid w:val="00122AFB"/>
    <w:rsid w:val="00122BC1"/>
    <w:rsid w:val="00142900"/>
    <w:rsid w:val="00151BB7"/>
    <w:rsid w:val="00166634"/>
    <w:rsid w:val="00167D3A"/>
    <w:rsid w:val="00195C0E"/>
    <w:rsid w:val="00196266"/>
    <w:rsid w:val="001B79B8"/>
    <w:rsid w:val="001D7D80"/>
    <w:rsid w:val="001F2716"/>
    <w:rsid w:val="0020133A"/>
    <w:rsid w:val="00207229"/>
    <w:rsid w:val="00207617"/>
    <w:rsid w:val="00215199"/>
    <w:rsid w:val="0023648B"/>
    <w:rsid w:val="00257E33"/>
    <w:rsid w:val="00261413"/>
    <w:rsid w:val="002751A2"/>
    <w:rsid w:val="00283659"/>
    <w:rsid w:val="00290691"/>
    <w:rsid w:val="0029282D"/>
    <w:rsid w:val="002B7E5C"/>
    <w:rsid w:val="002C4E73"/>
    <w:rsid w:val="002D68BF"/>
    <w:rsid w:val="002F4374"/>
    <w:rsid w:val="00325D10"/>
    <w:rsid w:val="00336CBF"/>
    <w:rsid w:val="00351E62"/>
    <w:rsid w:val="003546C8"/>
    <w:rsid w:val="00362A47"/>
    <w:rsid w:val="003648C0"/>
    <w:rsid w:val="003A332D"/>
    <w:rsid w:val="003A7CF2"/>
    <w:rsid w:val="003B0F58"/>
    <w:rsid w:val="003C5CE5"/>
    <w:rsid w:val="003D3D9B"/>
    <w:rsid w:val="003E1D9C"/>
    <w:rsid w:val="003E267B"/>
    <w:rsid w:val="003E7CD1"/>
    <w:rsid w:val="003F7ED1"/>
    <w:rsid w:val="00402B9E"/>
    <w:rsid w:val="004067C4"/>
    <w:rsid w:val="00411C2F"/>
    <w:rsid w:val="00423932"/>
    <w:rsid w:val="004249CB"/>
    <w:rsid w:val="0044127D"/>
    <w:rsid w:val="00443AAC"/>
    <w:rsid w:val="004448DB"/>
    <w:rsid w:val="00446C9A"/>
    <w:rsid w:val="004560D3"/>
    <w:rsid w:val="0047262D"/>
    <w:rsid w:val="00475EAD"/>
    <w:rsid w:val="00477193"/>
    <w:rsid w:val="00486F1A"/>
    <w:rsid w:val="004A1848"/>
    <w:rsid w:val="004C17C1"/>
    <w:rsid w:val="004E70EB"/>
    <w:rsid w:val="004F3B8B"/>
    <w:rsid w:val="00507FEC"/>
    <w:rsid w:val="00510F0E"/>
    <w:rsid w:val="00512C3A"/>
    <w:rsid w:val="00540F93"/>
    <w:rsid w:val="00545777"/>
    <w:rsid w:val="005479E1"/>
    <w:rsid w:val="00551122"/>
    <w:rsid w:val="005570FD"/>
    <w:rsid w:val="005575EA"/>
    <w:rsid w:val="00573039"/>
    <w:rsid w:val="0057325E"/>
    <w:rsid w:val="0057790C"/>
    <w:rsid w:val="005852FE"/>
    <w:rsid w:val="00593795"/>
    <w:rsid w:val="005A75FF"/>
    <w:rsid w:val="005B7789"/>
    <w:rsid w:val="005D6B48"/>
    <w:rsid w:val="005E16F3"/>
    <w:rsid w:val="005F1024"/>
    <w:rsid w:val="00635C47"/>
    <w:rsid w:val="00645CCF"/>
    <w:rsid w:val="0065791C"/>
    <w:rsid w:val="00690690"/>
    <w:rsid w:val="00690B8A"/>
    <w:rsid w:val="006A7313"/>
    <w:rsid w:val="006B3213"/>
    <w:rsid w:val="006B6451"/>
    <w:rsid w:val="006D1DFA"/>
    <w:rsid w:val="006D506B"/>
    <w:rsid w:val="006D5EEF"/>
    <w:rsid w:val="006E3C90"/>
    <w:rsid w:val="00704B61"/>
    <w:rsid w:val="0072401A"/>
    <w:rsid w:val="007419A9"/>
    <w:rsid w:val="007421B9"/>
    <w:rsid w:val="00742A8D"/>
    <w:rsid w:val="0074504A"/>
    <w:rsid w:val="007552A9"/>
    <w:rsid w:val="007603F1"/>
    <w:rsid w:val="00761858"/>
    <w:rsid w:val="00767D59"/>
    <w:rsid w:val="00776E97"/>
    <w:rsid w:val="00780FD7"/>
    <w:rsid w:val="007912AD"/>
    <w:rsid w:val="007A6AED"/>
    <w:rsid w:val="007B0824"/>
    <w:rsid w:val="007B6BD8"/>
    <w:rsid w:val="007C5551"/>
    <w:rsid w:val="007C55CA"/>
    <w:rsid w:val="007D1C7D"/>
    <w:rsid w:val="007F63EA"/>
    <w:rsid w:val="008042B5"/>
    <w:rsid w:val="00815F98"/>
    <w:rsid w:val="00825478"/>
    <w:rsid w:val="008303B8"/>
    <w:rsid w:val="00833DCE"/>
    <w:rsid w:val="00850B96"/>
    <w:rsid w:val="00860BD8"/>
    <w:rsid w:val="00865016"/>
    <w:rsid w:val="00871D34"/>
    <w:rsid w:val="00874AD0"/>
    <w:rsid w:val="008773CC"/>
    <w:rsid w:val="008B270C"/>
    <w:rsid w:val="008C2FDB"/>
    <w:rsid w:val="008C3D3D"/>
    <w:rsid w:val="008C3F45"/>
    <w:rsid w:val="008D4131"/>
    <w:rsid w:val="008D7E59"/>
    <w:rsid w:val="008E0E06"/>
    <w:rsid w:val="008F1932"/>
    <w:rsid w:val="008F294D"/>
    <w:rsid w:val="009130E8"/>
    <w:rsid w:val="00921062"/>
    <w:rsid w:val="00945915"/>
    <w:rsid w:val="00966ECF"/>
    <w:rsid w:val="009727A3"/>
    <w:rsid w:val="009730A0"/>
    <w:rsid w:val="00973661"/>
    <w:rsid w:val="00987774"/>
    <w:rsid w:val="009A11E8"/>
    <w:rsid w:val="009A135C"/>
    <w:rsid w:val="009E57CE"/>
    <w:rsid w:val="009F5220"/>
    <w:rsid w:val="009F7C4D"/>
    <w:rsid w:val="00A12991"/>
    <w:rsid w:val="00A15234"/>
    <w:rsid w:val="00A201AB"/>
    <w:rsid w:val="00A262CE"/>
    <w:rsid w:val="00A31C8B"/>
    <w:rsid w:val="00A33523"/>
    <w:rsid w:val="00A40D60"/>
    <w:rsid w:val="00A53CEB"/>
    <w:rsid w:val="00A62E4B"/>
    <w:rsid w:val="00A845DC"/>
    <w:rsid w:val="00A97AEE"/>
    <w:rsid w:val="00AB3123"/>
    <w:rsid w:val="00AC5CF6"/>
    <w:rsid w:val="00AD7821"/>
    <w:rsid w:val="00AD7A85"/>
    <w:rsid w:val="00AE7547"/>
    <w:rsid w:val="00B024A4"/>
    <w:rsid w:val="00B02D2F"/>
    <w:rsid w:val="00B06BB6"/>
    <w:rsid w:val="00B144FA"/>
    <w:rsid w:val="00B17D09"/>
    <w:rsid w:val="00B20600"/>
    <w:rsid w:val="00B22CCC"/>
    <w:rsid w:val="00B30648"/>
    <w:rsid w:val="00B3524D"/>
    <w:rsid w:val="00B370C1"/>
    <w:rsid w:val="00B40F69"/>
    <w:rsid w:val="00B41F0E"/>
    <w:rsid w:val="00B46616"/>
    <w:rsid w:val="00B61205"/>
    <w:rsid w:val="00B617C4"/>
    <w:rsid w:val="00B626FA"/>
    <w:rsid w:val="00B7040A"/>
    <w:rsid w:val="00B86C3D"/>
    <w:rsid w:val="00B976E6"/>
    <w:rsid w:val="00BD087D"/>
    <w:rsid w:val="00BD10EA"/>
    <w:rsid w:val="00BD4196"/>
    <w:rsid w:val="00BE6907"/>
    <w:rsid w:val="00BF22CA"/>
    <w:rsid w:val="00BF292A"/>
    <w:rsid w:val="00C01D77"/>
    <w:rsid w:val="00C043CF"/>
    <w:rsid w:val="00C04AB9"/>
    <w:rsid w:val="00C22723"/>
    <w:rsid w:val="00C227D4"/>
    <w:rsid w:val="00C26032"/>
    <w:rsid w:val="00C265B0"/>
    <w:rsid w:val="00C345E1"/>
    <w:rsid w:val="00C4085E"/>
    <w:rsid w:val="00C61C08"/>
    <w:rsid w:val="00C7557E"/>
    <w:rsid w:val="00C90964"/>
    <w:rsid w:val="00CB6E35"/>
    <w:rsid w:val="00CE1A46"/>
    <w:rsid w:val="00CF253F"/>
    <w:rsid w:val="00CF56B4"/>
    <w:rsid w:val="00D140B4"/>
    <w:rsid w:val="00D20F09"/>
    <w:rsid w:val="00D22636"/>
    <w:rsid w:val="00D27F62"/>
    <w:rsid w:val="00D40FD9"/>
    <w:rsid w:val="00D53769"/>
    <w:rsid w:val="00D74AFC"/>
    <w:rsid w:val="00D85C13"/>
    <w:rsid w:val="00D91BE3"/>
    <w:rsid w:val="00D9308F"/>
    <w:rsid w:val="00D94AFC"/>
    <w:rsid w:val="00DA45B9"/>
    <w:rsid w:val="00DB70AE"/>
    <w:rsid w:val="00DB7231"/>
    <w:rsid w:val="00DD5071"/>
    <w:rsid w:val="00DD5C39"/>
    <w:rsid w:val="00DE26AF"/>
    <w:rsid w:val="00DE3E66"/>
    <w:rsid w:val="00DE7DB7"/>
    <w:rsid w:val="00DF0231"/>
    <w:rsid w:val="00E00A0A"/>
    <w:rsid w:val="00E07F57"/>
    <w:rsid w:val="00E333C1"/>
    <w:rsid w:val="00E50BCE"/>
    <w:rsid w:val="00E51376"/>
    <w:rsid w:val="00E61292"/>
    <w:rsid w:val="00E64C5E"/>
    <w:rsid w:val="00E76309"/>
    <w:rsid w:val="00E77C4D"/>
    <w:rsid w:val="00E81D01"/>
    <w:rsid w:val="00E943B7"/>
    <w:rsid w:val="00EA75B7"/>
    <w:rsid w:val="00EE45D8"/>
    <w:rsid w:val="00EE6C11"/>
    <w:rsid w:val="00F004CD"/>
    <w:rsid w:val="00F22EDA"/>
    <w:rsid w:val="00F33E0E"/>
    <w:rsid w:val="00F41153"/>
    <w:rsid w:val="00F44EF3"/>
    <w:rsid w:val="00F76EEB"/>
    <w:rsid w:val="00F92C21"/>
    <w:rsid w:val="00FB7E80"/>
    <w:rsid w:val="00FC156D"/>
    <w:rsid w:val="00FC28B0"/>
    <w:rsid w:val="00FE3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4:docId w14:val="4E59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06BB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3F7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07F3EE-B9C1-4ACE-8BCC-A8FE6EE34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2048</Words>
  <Characters>10157</Characters>
  <Application>Microsoft Office Word</Application>
  <DocSecurity>0</DocSecurity>
  <Lines>84</Lines>
  <Paragraphs>24</Paragraphs>
  <ScaleCrop>false</ScaleCrop>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2018-07-19T12:41:00Z</dcterms:created>
  <dcterms:modified xsi:type="dcterms:W3CDTF">2018-07-19T12:41:00Z</dcterms:modified>
</cp:coreProperties>
</file>