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0801C7"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640D" w:rsidRPr="00F97703" w:rsidRDefault="00F9640D" w:rsidP="00F9640D">
      <w:pPr>
        <w:rPr>
          <w:rFonts w:ascii="Book Antiqua" w:hAnsi="Book Antiqua" w:cs="Arial"/>
          <w:color w:val="000000"/>
          <w:sz w:val="16"/>
          <w:szCs w:val="16"/>
        </w:rPr>
      </w:pP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339BB" w:rsidRPr="00F97703" w:rsidRDefault="00933B65" w:rsidP="0063189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631896">
        <w:rPr>
          <w:rFonts w:ascii="Book Antiqua" w:hAnsi="Book Antiqua" w:cs="Arial"/>
          <w:color w:val="000000"/>
        </w:rPr>
        <w:t>H</w:t>
      </w:r>
      <w:bookmarkStart w:id="0" w:name="_GoBack"/>
      <w:bookmarkEnd w:id="0"/>
      <w:r w:rsidR="00631896">
        <w:rPr>
          <w:rFonts w:ascii="Book Antiqua" w:hAnsi="Book Antiqua" w:cs="Arial"/>
          <w:color w:val="000000"/>
        </w:rPr>
        <w:t>U/</w:t>
      </w:r>
      <w:r w:rsidR="007A45B8">
        <w:rPr>
          <w:rFonts w:ascii="Book Antiqua" w:hAnsi="Book Antiqua" w:cs="Arial"/>
          <w:color w:val="000000"/>
        </w:rPr>
        <w:t>08836/2015</w:t>
      </w:r>
    </w:p>
    <w:p w:rsidR="00933B65" w:rsidRDefault="00933B65" w:rsidP="00933B65">
      <w:pPr>
        <w:jc w:val="center"/>
        <w:rPr>
          <w:rFonts w:ascii="Book Antiqua" w:hAnsi="Book Antiqua" w:cs="Arial"/>
          <w:color w:val="000000"/>
        </w:rPr>
      </w:pPr>
    </w:p>
    <w:p w:rsidR="00F9640D" w:rsidRPr="00F97703" w:rsidRDefault="00F9640D" w:rsidP="00933B65">
      <w:pPr>
        <w:jc w:val="center"/>
        <w:rPr>
          <w:rFonts w:ascii="Book Antiqua" w:hAnsi="Book Antiqua" w:cs="Arial"/>
          <w:color w:val="000000"/>
        </w:rPr>
      </w:pPr>
    </w:p>
    <w:p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Default="00933B65" w:rsidP="00933B65">
      <w:pPr>
        <w:jc w:val="center"/>
        <w:rPr>
          <w:rFonts w:ascii="Book Antiqua" w:hAnsi="Book Antiqua" w:cs="Arial"/>
          <w:b/>
          <w:u w:val="single"/>
        </w:rPr>
      </w:pPr>
    </w:p>
    <w:p w:rsidR="00F9640D" w:rsidRPr="00F97703" w:rsidRDefault="00F9640D" w:rsidP="00933B65">
      <w:pPr>
        <w:jc w:val="center"/>
        <w:rPr>
          <w:rFonts w:ascii="Book Antiqua" w:hAnsi="Book Antiqua" w:cs="Arial"/>
          <w:b/>
          <w:u w:val="single"/>
        </w:rPr>
      </w:pPr>
    </w:p>
    <w:tbl>
      <w:tblPr>
        <w:tblW w:w="10260" w:type="dxa"/>
        <w:tblLook w:val="01E0" w:firstRow="1" w:lastRow="1" w:firstColumn="1" w:lastColumn="1" w:noHBand="0" w:noVBand="0"/>
      </w:tblPr>
      <w:tblGrid>
        <w:gridCol w:w="6314"/>
        <w:gridCol w:w="3946"/>
      </w:tblGrid>
      <w:tr w:rsidR="00933B65" w:rsidRPr="00E073AD" w:rsidTr="000801C7">
        <w:trPr>
          <w:trHeight w:val="323"/>
        </w:trPr>
        <w:tc>
          <w:tcPr>
            <w:tcW w:w="6314" w:type="dxa"/>
            <w:shd w:val="clear" w:color="auto" w:fill="auto"/>
          </w:tcPr>
          <w:p w:rsidR="00933B65" w:rsidRPr="00E073AD" w:rsidRDefault="00933B65" w:rsidP="000C0334">
            <w:pPr>
              <w:jc w:val="both"/>
              <w:rPr>
                <w:rFonts w:ascii="Book Antiqua" w:hAnsi="Book Antiqua" w:cs="Arial"/>
                <w:b/>
              </w:rPr>
            </w:pPr>
            <w:r w:rsidRPr="00E073AD">
              <w:rPr>
                <w:rFonts w:ascii="Book Antiqua" w:hAnsi="Book Antiqua" w:cs="Arial"/>
                <w:b/>
              </w:rPr>
              <w:t xml:space="preserve">Heard </w:t>
            </w:r>
            <w:r w:rsidR="001E76AB">
              <w:rPr>
                <w:rFonts w:ascii="Book Antiqua" w:hAnsi="Book Antiqua" w:cs="Arial"/>
                <w:b/>
              </w:rPr>
              <w:t>at Field House</w:t>
            </w:r>
          </w:p>
        </w:tc>
        <w:tc>
          <w:tcPr>
            <w:tcW w:w="3946" w:type="dxa"/>
            <w:shd w:val="clear" w:color="auto" w:fill="auto"/>
          </w:tcPr>
          <w:p w:rsidR="00933B65" w:rsidRPr="00E073AD" w:rsidRDefault="000801C7" w:rsidP="00E073AD">
            <w:pPr>
              <w:jc w:val="both"/>
              <w:rPr>
                <w:rFonts w:ascii="Book Antiqua" w:hAnsi="Book Antiqua" w:cs="Arial"/>
                <w:b/>
                <w:color w:val="000000"/>
              </w:rPr>
            </w:pPr>
            <w:r>
              <w:rPr>
                <w:rFonts w:ascii="Book Antiqua" w:hAnsi="Book Antiqua" w:cs="Arial"/>
                <w:b/>
                <w:color w:val="000000"/>
              </w:rPr>
              <w:t>Decision &amp; Reasons</w:t>
            </w:r>
            <w:r w:rsidR="00933B65" w:rsidRPr="00E073AD">
              <w:rPr>
                <w:rFonts w:ascii="Book Antiqua" w:hAnsi="Book Antiqua" w:cs="Arial"/>
                <w:b/>
                <w:color w:val="000000"/>
              </w:rPr>
              <w:t xml:space="preserve"> Promulgated</w:t>
            </w:r>
          </w:p>
        </w:tc>
      </w:tr>
      <w:tr w:rsidR="00933B65" w:rsidRPr="00E073AD" w:rsidTr="000801C7">
        <w:trPr>
          <w:trHeight w:val="323"/>
        </w:trPr>
        <w:tc>
          <w:tcPr>
            <w:tcW w:w="6314" w:type="dxa"/>
            <w:shd w:val="clear" w:color="auto" w:fill="auto"/>
          </w:tcPr>
          <w:p w:rsidR="00933B65" w:rsidRPr="00E073AD" w:rsidRDefault="00933B65" w:rsidP="006C7C57">
            <w:pPr>
              <w:jc w:val="both"/>
              <w:rPr>
                <w:rFonts w:ascii="Book Antiqua" w:hAnsi="Book Antiqua" w:cs="Arial"/>
                <w:b/>
              </w:rPr>
            </w:pPr>
            <w:r w:rsidRPr="00E073AD">
              <w:rPr>
                <w:rFonts w:ascii="Book Antiqua" w:hAnsi="Book Antiqua" w:cs="Arial"/>
                <w:b/>
              </w:rPr>
              <w:t xml:space="preserve">On </w:t>
            </w:r>
            <w:r w:rsidR="00930425">
              <w:rPr>
                <w:rFonts w:ascii="Book Antiqua" w:hAnsi="Book Antiqua" w:cs="Arial"/>
                <w:b/>
              </w:rPr>
              <w:t>1</w:t>
            </w:r>
            <w:r w:rsidR="007A45B8">
              <w:rPr>
                <w:rFonts w:ascii="Book Antiqua" w:hAnsi="Book Antiqua" w:cs="Arial"/>
                <w:b/>
              </w:rPr>
              <w:t>9 June</w:t>
            </w:r>
            <w:r w:rsidR="00930425">
              <w:rPr>
                <w:rFonts w:ascii="Book Antiqua" w:hAnsi="Book Antiqua" w:cs="Arial"/>
                <w:b/>
              </w:rPr>
              <w:t xml:space="preserve"> 2018</w:t>
            </w:r>
          </w:p>
        </w:tc>
        <w:tc>
          <w:tcPr>
            <w:tcW w:w="3946" w:type="dxa"/>
            <w:shd w:val="clear" w:color="auto" w:fill="auto"/>
          </w:tcPr>
          <w:p w:rsidR="00933B65" w:rsidRPr="00E073AD" w:rsidRDefault="000801C7" w:rsidP="00E073AD">
            <w:pPr>
              <w:jc w:val="both"/>
              <w:rPr>
                <w:rFonts w:ascii="Book Antiqua" w:hAnsi="Book Antiqua" w:cs="Arial"/>
                <w:b/>
              </w:rPr>
            </w:pPr>
            <w:r>
              <w:rPr>
                <w:rFonts w:ascii="Book Antiqua" w:hAnsi="Book Antiqua" w:cs="Arial"/>
                <w:b/>
              </w:rPr>
              <w:t>On 16 July 2018</w:t>
            </w:r>
          </w:p>
        </w:tc>
      </w:tr>
      <w:tr w:rsidR="00933B65" w:rsidRPr="00E073AD" w:rsidTr="000801C7">
        <w:trPr>
          <w:trHeight w:val="337"/>
        </w:trPr>
        <w:tc>
          <w:tcPr>
            <w:tcW w:w="6314" w:type="dxa"/>
            <w:shd w:val="clear" w:color="auto" w:fill="auto"/>
          </w:tcPr>
          <w:p w:rsidR="00933B65" w:rsidRPr="00E073AD" w:rsidRDefault="00933B65" w:rsidP="00E073AD">
            <w:pPr>
              <w:jc w:val="both"/>
              <w:rPr>
                <w:rFonts w:ascii="Book Antiqua" w:hAnsi="Book Antiqua" w:cs="Arial"/>
                <w:b/>
              </w:rPr>
            </w:pPr>
          </w:p>
        </w:tc>
        <w:tc>
          <w:tcPr>
            <w:tcW w:w="3946" w:type="dxa"/>
            <w:shd w:val="clear" w:color="auto" w:fill="auto"/>
          </w:tcPr>
          <w:p w:rsidR="00933B65" w:rsidRPr="00E073AD" w:rsidRDefault="00933B65" w:rsidP="00E073AD">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F9640D" w:rsidRPr="00F97703" w:rsidRDefault="00F9640D" w:rsidP="00746F45">
      <w:pPr>
        <w:jc w:val="center"/>
        <w:outlineLvl w:val="0"/>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7A45B8">
        <w:rPr>
          <w:rFonts w:ascii="Book Antiqua" w:hAnsi="Book Antiqua" w:cs="Arial"/>
          <w:b/>
          <w:color w:val="000000"/>
        </w:rPr>
        <w:t>PLIMMER</w:t>
      </w:r>
    </w:p>
    <w:p w:rsidR="00E468D9" w:rsidRDefault="00E468D9" w:rsidP="00933B65">
      <w:pPr>
        <w:jc w:val="center"/>
        <w:rPr>
          <w:rFonts w:ascii="Book Antiqua" w:hAnsi="Book Antiqua" w:cs="Arial"/>
          <w:b/>
        </w:rPr>
      </w:pPr>
    </w:p>
    <w:p w:rsidR="00F9640D" w:rsidRPr="00F97703" w:rsidRDefault="00F9640D"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4410A2" w:rsidRDefault="007A45B8" w:rsidP="00933B65">
      <w:pPr>
        <w:jc w:val="center"/>
        <w:rPr>
          <w:rFonts w:ascii="Book Antiqua" w:hAnsi="Book Antiqua" w:cs="Arial"/>
          <w:b/>
        </w:rPr>
      </w:pPr>
      <w:r>
        <w:rPr>
          <w:rFonts w:ascii="Book Antiqua" w:hAnsi="Book Antiqua" w:cs="Arial"/>
          <w:b/>
        </w:rPr>
        <w:t xml:space="preserve">JAGDEEP </w:t>
      </w:r>
      <w:r w:rsidR="00116B5B">
        <w:rPr>
          <w:rFonts w:ascii="Book Antiqua" w:hAnsi="Book Antiqua" w:cs="Arial"/>
          <w:b/>
        </w:rPr>
        <w:t>[</w:t>
      </w:r>
      <w:r>
        <w:rPr>
          <w:rFonts w:ascii="Book Antiqua" w:hAnsi="Book Antiqua" w:cs="Arial"/>
          <w:b/>
        </w:rPr>
        <w:t>S</w:t>
      </w:r>
      <w:r w:rsidR="00116B5B">
        <w:rPr>
          <w:rFonts w:ascii="Book Antiqua" w:hAnsi="Book Antiqua" w:cs="Arial"/>
          <w:b/>
        </w:rPr>
        <w: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C339BB" w:rsidRPr="00F97703" w:rsidRDefault="00223294" w:rsidP="00C339BB">
      <w:pPr>
        <w:jc w:val="center"/>
        <w:outlineLvl w:val="0"/>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F9640D" w:rsidRPr="00F97703" w:rsidRDefault="00F9640D" w:rsidP="00933B65">
      <w:pPr>
        <w:rPr>
          <w:rFonts w:ascii="Book Antiqua" w:hAnsi="Book Antiqua" w:cs="Arial"/>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7A45B8" w:rsidP="000C5D5F">
      <w:pPr>
        <w:tabs>
          <w:tab w:val="left" w:pos="2520"/>
        </w:tabs>
        <w:ind w:left="2160" w:hanging="2160"/>
        <w:outlineLvl w:val="0"/>
        <w:rPr>
          <w:rFonts w:ascii="Book Antiqua" w:hAnsi="Book Antiqua" w:cs="Arial"/>
        </w:rPr>
      </w:pPr>
      <w:r>
        <w:rPr>
          <w:rFonts w:ascii="Book Antiqua" w:hAnsi="Book Antiqua" w:cs="Arial"/>
        </w:rPr>
        <w:t>For the Appellant: Mr Collins</w:t>
      </w:r>
      <w:r w:rsidR="001E76AB">
        <w:rPr>
          <w:rFonts w:ascii="Book Antiqua" w:hAnsi="Book Antiqua" w:cs="Arial"/>
        </w:rPr>
        <w:t xml:space="preserve">, Counsel </w:t>
      </w:r>
    </w:p>
    <w:p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930425">
        <w:rPr>
          <w:rFonts w:ascii="Book Antiqua" w:hAnsi="Book Antiqua" w:cs="Arial"/>
        </w:rPr>
        <w:t xml:space="preserve">Mr </w:t>
      </w:r>
      <w:proofErr w:type="spellStart"/>
      <w:r w:rsidR="007A45B8">
        <w:rPr>
          <w:rFonts w:ascii="Book Antiqua" w:hAnsi="Book Antiqua" w:cs="Arial"/>
        </w:rPr>
        <w:t>Mandalia</w:t>
      </w:r>
      <w:proofErr w:type="spellEnd"/>
      <w:r w:rsidR="00D80E8E">
        <w:rPr>
          <w:rFonts w:ascii="Book Antiqua" w:hAnsi="Book Antiqua" w:cs="Arial"/>
        </w:rPr>
        <w:t xml:space="preserve">, </w:t>
      </w:r>
      <w:r w:rsidR="007A45B8">
        <w:rPr>
          <w:rFonts w:ascii="Book Antiqua" w:hAnsi="Book Antiqua" w:cs="Arial"/>
        </w:rPr>
        <w:t>Counsel</w:t>
      </w:r>
    </w:p>
    <w:p w:rsidR="00002486" w:rsidRDefault="00002486" w:rsidP="007A45B8">
      <w:pPr>
        <w:tabs>
          <w:tab w:val="left" w:pos="2520"/>
        </w:tabs>
        <w:rPr>
          <w:rFonts w:ascii="Book Antiqua" w:hAnsi="Book Antiqua" w:cs="Arial"/>
          <w:b/>
          <w:u w:val="single"/>
        </w:rPr>
      </w:pPr>
    </w:p>
    <w:p w:rsidR="00F9640D" w:rsidRDefault="00F9640D" w:rsidP="007A45B8">
      <w:pPr>
        <w:tabs>
          <w:tab w:val="left" w:pos="2520"/>
        </w:tabs>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02486" w:rsidRPr="007A45B8" w:rsidRDefault="00E43B9A" w:rsidP="007A45B8">
      <w:pPr>
        <w:tabs>
          <w:tab w:val="left" w:pos="567"/>
        </w:tabs>
        <w:jc w:val="both"/>
        <w:outlineLvl w:val="0"/>
        <w:rPr>
          <w:rFonts w:ascii="Book Antiqua" w:hAnsi="Book Antiqua" w:cs="Arial"/>
          <w:b/>
        </w:rPr>
      </w:pPr>
      <w:r>
        <w:rPr>
          <w:rFonts w:ascii="Book Antiqua" w:hAnsi="Book Antiqua" w:cs="Arial"/>
          <w:b/>
        </w:rPr>
        <w:tab/>
      </w:r>
    </w:p>
    <w:p w:rsidR="007A45B8" w:rsidRDefault="007A45B8" w:rsidP="009E1E98">
      <w:pPr>
        <w:numPr>
          <w:ilvl w:val="0"/>
          <w:numId w:val="5"/>
        </w:numPr>
        <w:tabs>
          <w:tab w:val="left" w:pos="567"/>
        </w:tabs>
        <w:jc w:val="both"/>
        <w:rPr>
          <w:rFonts w:ascii="Book Antiqua" w:hAnsi="Book Antiqua" w:cs="Arial"/>
        </w:rPr>
      </w:pPr>
      <w:r>
        <w:rPr>
          <w:rFonts w:ascii="Book Antiqua" w:hAnsi="Book Antiqua" w:cs="Arial"/>
        </w:rPr>
        <w:t xml:space="preserve">In a decision dated 30 August 2017 Upper Tribunal Judge Hanson found that the </w:t>
      </w:r>
      <w:r w:rsidR="00002486" w:rsidRPr="004E7C16">
        <w:rPr>
          <w:rFonts w:ascii="Book Antiqua" w:hAnsi="Book Antiqua" w:cs="Arial"/>
        </w:rPr>
        <w:t>First-Tier Tribunal</w:t>
      </w:r>
      <w:r>
        <w:rPr>
          <w:rFonts w:ascii="Book Antiqua" w:hAnsi="Book Antiqua" w:cs="Arial"/>
        </w:rPr>
        <w:t xml:space="preserve"> (‘FTT’) </w:t>
      </w:r>
      <w:r w:rsidR="00A305C0">
        <w:rPr>
          <w:rFonts w:ascii="Book Antiqua" w:hAnsi="Book Antiqua" w:cs="Arial"/>
        </w:rPr>
        <w:t>erred in law in</w:t>
      </w:r>
      <w:r>
        <w:rPr>
          <w:rFonts w:ascii="Book Antiqua" w:hAnsi="Book Antiqua" w:cs="Arial"/>
        </w:rPr>
        <w:t xml:space="preserve"> allowing the appellant’s appeal.  Judge Hanson concluded</w:t>
      </w:r>
      <w:r w:rsidR="00F6638D">
        <w:rPr>
          <w:rFonts w:ascii="Book Antiqua" w:hAnsi="Book Antiqua" w:cs="Arial"/>
        </w:rPr>
        <w:t>,</w:t>
      </w:r>
      <w:r>
        <w:rPr>
          <w:rFonts w:ascii="Book Antiqua" w:hAnsi="Book Antiqua" w:cs="Arial"/>
        </w:rPr>
        <w:t xml:space="preserve"> inter alia</w:t>
      </w:r>
      <w:r w:rsidR="00F6638D">
        <w:rPr>
          <w:rFonts w:ascii="Book Antiqua" w:hAnsi="Book Antiqua" w:cs="Arial"/>
        </w:rPr>
        <w:t>,</w:t>
      </w:r>
      <w:r>
        <w:rPr>
          <w:rFonts w:ascii="Book Antiqua" w:hAnsi="Book Antiqua" w:cs="Arial"/>
        </w:rPr>
        <w:t xml:space="preserve"> that the FTT failed to give adequate reasons for finding that the appellant provided an ‘innocent explanation’ for the events in 2012 wh</w:t>
      </w:r>
      <w:r w:rsidR="00F6638D">
        <w:rPr>
          <w:rFonts w:ascii="Book Antiqua" w:hAnsi="Book Antiqua" w:cs="Arial"/>
        </w:rPr>
        <w:t>erein</w:t>
      </w:r>
      <w:r>
        <w:rPr>
          <w:rFonts w:ascii="Book Antiqua" w:hAnsi="Book Antiqua" w:cs="Arial"/>
        </w:rPr>
        <w:t xml:space="preserve"> </w:t>
      </w:r>
      <w:r w:rsidR="00A32F1E">
        <w:rPr>
          <w:rFonts w:ascii="Book Antiqua" w:hAnsi="Book Antiqua" w:cs="Arial"/>
        </w:rPr>
        <w:t xml:space="preserve">he relied </w:t>
      </w:r>
      <w:r w:rsidR="006E6C12">
        <w:rPr>
          <w:rFonts w:ascii="Book Antiqua" w:hAnsi="Book Antiqua" w:cs="Arial"/>
        </w:rPr>
        <w:t>upon an</w:t>
      </w:r>
      <w:r>
        <w:rPr>
          <w:rFonts w:ascii="Book Antiqua" w:hAnsi="Book Antiqua" w:cs="Arial"/>
        </w:rPr>
        <w:t xml:space="preserve"> </w:t>
      </w:r>
      <w:r w:rsidR="00F30A03">
        <w:rPr>
          <w:rFonts w:ascii="Book Antiqua" w:hAnsi="Book Antiqua" w:cs="Arial"/>
        </w:rPr>
        <w:t>Educational Testing Service (‘ETS’) / Test of English for International Communication (‘</w:t>
      </w:r>
      <w:r>
        <w:rPr>
          <w:rFonts w:ascii="Book Antiqua" w:hAnsi="Book Antiqua" w:cs="Arial"/>
        </w:rPr>
        <w:t>TOEIC</w:t>
      </w:r>
      <w:r w:rsidR="00F30A03">
        <w:rPr>
          <w:rFonts w:ascii="Book Antiqua" w:hAnsi="Book Antiqua" w:cs="Arial"/>
        </w:rPr>
        <w:t>’)</w:t>
      </w:r>
      <w:r>
        <w:rPr>
          <w:rFonts w:ascii="Book Antiqua" w:hAnsi="Book Antiqua" w:cs="Arial"/>
        </w:rPr>
        <w:t xml:space="preserve"> certificate</w:t>
      </w:r>
      <w:r w:rsidR="00F30A03">
        <w:rPr>
          <w:rFonts w:ascii="Book Antiqua" w:hAnsi="Book Antiqua" w:cs="Arial"/>
        </w:rPr>
        <w:t xml:space="preserve"> (‘the 2012 certificate’)</w:t>
      </w:r>
      <w:r w:rsidR="00A32F1E">
        <w:rPr>
          <w:rFonts w:ascii="Book Antiqua" w:hAnsi="Book Antiqua" w:cs="Arial"/>
        </w:rPr>
        <w:t>.</w:t>
      </w:r>
      <w:r>
        <w:rPr>
          <w:rFonts w:ascii="Book Antiqua" w:hAnsi="Book Antiqua" w:cs="Arial"/>
        </w:rPr>
        <w:t xml:space="preserve">  </w:t>
      </w:r>
      <w:r w:rsidR="00002486" w:rsidRPr="004E7C16">
        <w:rPr>
          <w:rFonts w:ascii="Book Antiqua" w:hAnsi="Book Antiqua" w:cs="Arial"/>
        </w:rPr>
        <w:t xml:space="preserve"> </w:t>
      </w:r>
      <w:r>
        <w:rPr>
          <w:rFonts w:ascii="Book Antiqua" w:hAnsi="Book Antiqua" w:cs="Arial"/>
        </w:rPr>
        <w:t xml:space="preserve">Judge Hanson issued directions regarding the relevant evidence.  Both parties have </w:t>
      </w:r>
      <w:r>
        <w:rPr>
          <w:rFonts w:ascii="Book Antiqua" w:hAnsi="Book Antiqua" w:cs="Arial"/>
        </w:rPr>
        <w:lastRenderedPageBreak/>
        <w:t>complied with these directions</w:t>
      </w:r>
      <w:r w:rsidR="00A32F1E">
        <w:rPr>
          <w:rFonts w:ascii="Book Antiqua" w:hAnsi="Book Antiqua" w:cs="Arial"/>
        </w:rPr>
        <w:t xml:space="preserve"> and as a consequence</w:t>
      </w:r>
      <w:r w:rsidR="00A305C0">
        <w:rPr>
          <w:rFonts w:ascii="Book Antiqua" w:hAnsi="Book Antiqua" w:cs="Arial"/>
        </w:rPr>
        <w:t>,</w:t>
      </w:r>
      <w:r w:rsidR="00A32F1E">
        <w:rPr>
          <w:rFonts w:ascii="Book Antiqua" w:hAnsi="Book Antiqua" w:cs="Arial"/>
        </w:rPr>
        <w:t xml:space="preserve"> the issues before me have narrowed as set out below</w:t>
      </w:r>
      <w:r>
        <w:rPr>
          <w:rFonts w:ascii="Book Antiqua" w:hAnsi="Book Antiqua" w:cs="Arial"/>
        </w:rPr>
        <w:t>.</w:t>
      </w:r>
    </w:p>
    <w:p w:rsidR="007A45B8" w:rsidRDefault="007A45B8" w:rsidP="007A45B8">
      <w:pPr>
        <w:tabs>
          <w:tab w:val="left" w:pos="567"/>
        </w:tabs>
        <w:jc w:val="both"/>
        <w:rPr>
          <w:rFonts w:ascii="Book Antiqua" w:hAnsi="Book Antiqua" w:cs="Arial"/>
        </w:rPr>
      </w:pPr>
    </w:p>
    <w:p w:rsidR="007A45B8" w:rsidRPr="007A45B8" w:rsidRDefault="007A45B8" w:rsidP="007A45B8">
      <w:pPr>
        <w:tabs>
          <w:tab w:val="left" w:pos="567"/>
        </w:tabs>
        <w:jc w:val="both"/>
        <w:rPr>
          <w:rFonts w:ascii="Book Antiqua" w:hAnsi="Book Antiqua" w:cs="Arial"/>
          <w:b/>
        </w:rPr>
      </w:pPr>
      <w:r w:rsidRPr="007A45B8">
        <w:rPr>
          <w:rFonts w:ascii="Book Antiqua" w:hAnsi="Book Antiqua" w:cs="Arial"/>
          <w:b/>
        </w:rPr>
        <w:t xml:space="preserve">Immigration </w:t>
      </w:r>
      <w:r w:rsidR="00044954">
        <w:rPr>
          <w:rFonts w:ascii="Book Antiqua" w:hAnsi="Book Antiqua" w:cs="Arial"/>
          <w:b/>
        </w:rPr>
        <w:t xml:space="preserve">and procedural </w:t>
      </w:r>
      <w:r w:rsidRPr="007A45B8">
        <w:rPr>
          <w:rFonts w:ascii="Book Antiqua" w:hAnsi="Book Antiqua" w:cs="Arial"/>
          <w:b/>
        </w:rPr>
        <w:t>history</w:t>
      </w:r>
    </w:p>
    <w:p w:rsidR="007A45B8" w:rsidRDefault="007A45B8" w:rsidP="007A45B8">
      <w:pPr>
        <w:tabs>
          <w:tab w:val="left" w:pos="567"/>
        </w:tabs>
        <w:jc w:val="both"/>
        <w:rPr>
          <w:rFonts w:ascii="Book Antiqua" w:hAnsi="Book Antiqua" w:cs="Arial"/>
        </w:rPr>
      </w:pPr>
    </w:p>
    <w:p w:rsidR="007A45B8" w:rsidRPr="006E6C12" w:rsidRDefault="007A45B8" w:rsidP="006E6C12">
      <w:pPr>
        <w:numPr>
          <w:ilvl w:val="0"/>
          <w:numId w:val="5"/>
        </w:numPr>
        <w:tabs>
          <w:tab w:val="left" w:pos="567"/>
        </w:tabs>
        <w:jc w:val="both"/>
        <w:rPr>
          <w:rFonts w:ascii="Book Antiqua" w:hAnsi="Book Antiqua" w:cs="Arial"/>
        </w:rPr>
      </w:pPr>
      <w:r>
        <w:rPr>
          <w:rFonts w:ascii="Book Antiqua" w:hAnsi="Book Antiqua" w:cs="Arial"/>
        </w:rPr>
        <w:t>The appellant</w:t>
      </w:r>
      <w:r w:rsidR="00A32F1E">
        <w:rPr>
          <w:rFonts w:ascii="Book Antiqua" w:hAnsi="Book Antiqua" w:cs="Arial"/>
        </w:rPr>
        <w:t xml:space="preserve"> is a citizen of India.  He entered the UK lawfully as a student in 2009 and his leave as such was extended to expire on 23 August 2014.  However, on 11 June 2013 his sponsor college had </w:t>
      </w:r>
      <w:r w:rsidR="00EE0174">
        <w:rPr>
          <w:rFonts w:ascii="Book Antiqua" w:hAnsi="Book Antiqua" w:cs="Arial"/>
        </w:rPr>
        <w:t>its</w:t>
      </w:r>
      <w:r w:rsidR="00A32F1E">
        <w:rPr>
          <w:rFonts w:ascii="Book Antiqua" w:hAnsi="Book Antiqua" w:cs="Arial"/>
        </w:rPr>
        <w:t xml:space="preserve"> licence revoked</w:t>
      </w:r>
      <w:r w:rsidR="00DA0084">
        <w:rPr>
          <w:rFonts w:ascii="Book Antiqua" w:hAnsi="Book Antiqua" w:cs="Arial"/>
        </w:rPr>
        <w:t>.  His leave was curtailed but he was given 60</w:t>
      </w:r>
      <w:r w:rsidR="00A32F1E">
        <w:rPr>
          <w:rFonts w:ascii="Book Antiqua" w:hAnsi="Book Antiqua" w:cs="Arial"/>
        </w:rPr>
        <w:t xml:space="preserve"> days to find another college.  </w:t>
      </w:r>
      <w:r w:rsidR="00A305C0">
        <w:rPr>
          <w:rFonts w:ascii="Book Antiqua" w:hAnsi="Book Antiqua" w:cs="Arial"/>
        </w:rPr>
        <w:t>Prior to the curtailment date</w:t>
      </w:r>
      <w:r w:rsidR="00DA0084">
        <w:rPr>
          <w:rFonts w:ascii="Book Antiqua" w:hAnsi="Book Antiqua" w:cs="Arial"/>
        </w:rPr>
        <w:t xml:space="preserve"> of 11 August 2013</w:t>
      </w:r>
      <w:r w:rsidR="00A305C0">
        <w:rPr>
          <w:rFonts w:ascii="Book Antiqua" w:hAnsi="Book Antiqua" w:cs="Arial"/>
        </w:rPr>
        <w:t>,</w:t>
      </w:r>
      <w:r w:rsidR="00DA0084">
        <w:rPr>
          <w:rFonts w:ascii="Book Antiqua" w:hAnsi="Book Antiqua" w:cs="Arial"/>
        </w:rPr>
        <w:t xml:space="preserve"> the appellant made an application to remain as a student with a different sponsor but</w:t>
      </w:r>
      <w:r w:rsidR="00A32F1E">
        <w:rPr>
          <w:rFonts w:ascii="Book Antiqua" w:hAnsi="Book Antiqua" w:cs="Arial"/>
        </w:rPr>
        <w:t xml:space="preserve"> the respondent refused </w:t>
      </w:r>
      <w:r w:rsidR="00DA0084">
        <w:rPr>
          <w:rFonts w:ascii="Book Antiqua" w:hAnsi="Book Antiqua" w:cs="Arial"/>
        </w:rPr>
        <w:t>this application on 20 August 2013.  T</w:t>
      </w:r>
      <w:r w:rsidR="00A32F1E">
        <w:rPr>
          <w:rFonts w:ascii="Book Antiqua" w:hAnsi="Book Antiqua" w:cs="Arial"/>
        </w:rPr>
        <w:t xml:space="preserve">he appellant successfully appealed to the FTT.  </w:t>
      </w:r>
      <w:r w:rsidR="00A305C0">
        <w:rPr>
          <w:rFonts w:ascii="Book Antiqua" w:hAnsi="Book Antiqua" w:cs="Arial"/>
        </w:rPr>
        <w:t>The representatives before me did not mak</w:t>
      </w:r>
      <w:r w:rsidR="00DA0084">
        <w:rPr>
          <w:rFonts w:ascii="Book Antiqua" w:hAnsi="Book Antiqua" w:cs="Arial"/>
        </w:rPr>
        <w:t xml:space="preserve">e reference to this decision, which appears to be of historic relevance only.  </w:t>
      </w:r>
      <w:r w:rsidR="006E6C12">
        <w:rPr>
          <w:rFonts w:ascii="Book Antiqua" w:hAnsi="Book Antiqua" w:cs="Arial"/>
        </w:rPr>
        <w:t>After the promulgation of this</w:t>
      </w:r>
      <w:r w:rsidR="00A32F1E" w:rsidRPr="006E6C12">
        <w:rPr>
          <w:rFonts w:ascii="Book Antiqua" w:hAnsi="Book Antiqua" w:cs="Arial"/>
        </w:rPr>
        <w:t xml:space="preserve"> FTT decision, the respondent alleged he had information to support an allegation that the appellant had employed deception</w:t>
      </w:r>
      <w:r w:rsidR="00DA0084" w:rsidRPr="006E6C12">
        <w:rPr>
          <w:rFonts w:ascii="Book Antiqua" w:hAnsi="Book Antiqua" w:cs="Arial"/>
        </w:rPr>
        <w:t xml:space="preserve"> when </w:t>
      </w:r>
      <w:r w:rsidR="00A305C0" w:rsidRPr="006E6C12">
        <w:rPr>
          <w:rFonts w:ascii="Book Antiqua" w:hAnsi="Book Antiqua" w:cs="Arial"/>
        </w:rPr>
        <w:t xml:space="preserve">he </w:t>
      </w:r>
      <w:r w:rsidR="00DA0084" w:rsidRPr="006E6C12">
        <w:rPr>
          <w:rFonts w:ascii="Book Antiqua" w:hAnsi="Book Antiqua" w:cs="Arial"/>
        </w:rPr>
        <w:t xml:space="preserve">relied on an invalid TOEIC certificate to support an application </w:t>
      </w:r>
      <w:r w:rsidR="00A305C0" w:rsidRPr="006E6C12">
        <w:rPr>
          <w:rFonts w:ascii="Book Antiqua" w:hAnsi="Book Antiqua" w:cs="Arial"/>
        </w:rPr>
        <w:t>dated 13 Decemb</w:t>
      </w:r>
      <w:r w:rsidR="001537B6" w:rsidRPr="006E6C12">
        <w:rPr>
          <w:rFonts w:ascii="Book Antiqua" w:hAnsi="Book Antiqua" w:cs="Arial"/>
        </w:rPr>
        <w:t>er 2012</w:t>
      </w:r>
      <w:r w:rsidR="00A305C0" w:rsidRPr="006E6C12">
        <w:rPr>
          <w:rFonts w:ascii="Book Antiqua" w:hAnsi="Book Antiqua" w:cs="Arial"/>
        </w:rPr>
        <w:t xml:space="preserve">, </w:t>
      </w:r>
      <w:r w:rsidR="00DA0084" w:rsidRPr="006E6C12">
        <w:rPr>
          <w:rFonts w:ascii="Book Antiqua" w:hAnsi="Book Antiqua" w:cs="Arial"/>
        </w:rPr>
        <w:t>to extend his leave as a student</w:t>
      </w:r>
      <w:r w:rsidR="00A32F1E" w:rsidRPr="006E6C12">
        <w:rPr>
          <w:rFonts w:ascii="Book Antiqua" w:hAnsi="Book Antiqua" w:cs="Arial"/>
        </w:rPr>
        <w:t>.</w:t>
      </w:r>
      <w:r w:rsidR="00DA0084" w:rsidRPr="006E6C12">
        <w:rPr>
          <w:rFonts w:ascii="Book Antiqua" w:hAnsi="Book Antiqua" w:cs="Arial"/>
        </w:rPr>
        <w:t xml:space="preserve"> </w:t>
      </w:r>
      <w:r w:rsidR="001537B6" w:rsidRPr="006E6C12">
        <w:rPr>
          <w:rFonts w:ascii="Book Antiqua" w:hAnsi="Book Antiqua" w:cs="Arial"/>
        </w:rPr>
        <w:t xml:space="preserve"> The </w:t>
      </w:r>
      <w:r w:rsidR="006E6C12">
        <w:rPr>
          <w:rFonts w:ascii="Book Antiqua" w:hAnsi="Book Antiqua" w:cs="Arial"/>
        </w:rPr>
        <w:t>2012 certificate was issued to the appellant after he claimed to have sat the ETS</w:t>
      </w:r>
      <w:r w:rsidR="001537B6" w:rsidRPr="006E6C12">
        <w:rPr>
          <w:rFonts w:ascii="Book Antiqua" w:hAnsi="Book Antiqua" w:cs="Arial"/>
        </w:rPr>
        <w:t xml:space="preserve"> TOEIC on 22 August 2012 at Synergy Business College of London (‘SBC’).</w:t>
      </w:r>
      <w:r w:rsidR="00DA0084" w:rsidRPr="006E6C12">
        <w:rPr>
          <w:rFonts w:ascii="Book Antiqua" w:hAnsi="Book Antiqua" w:cs="Arial"/>
        </w:rPr>
        <w:t xml:space="preserve"> Th</w:t>
      </w:r>
      <w:r w:rsidR="006E6C12">
        <w:rPr>
          <w:rFonts w:ascii="Book Antiqua" w:hAnsi="Book Antiqua" w:cs="Arial"/>
        </w:rPr>
        <w:t>e decision that the appellant employed deception</w:t>
      </w:r>
      <w:r w:rsidR="00DA0084" w:rsidRPr="006E6C12">
        <w:rPr>
          <w:rFonts w:ascii="Book Antiqua" w:hAnsi="Book Antiqua" w:cs="Arial"/>
        </w:rPr>
        <w:t xml:space="preserve"> resulted in </w:t>
      </w:r>
      <w:r w:rsidR="0005710A">
        <w:rPr>
          <w:rFonts w:ascii="Book Antiqua" w:hAnsi="Book Antiqua" w:cs="Arial"/>
        </w:rPr>
        <w:t>the r</w:t>
      </w:r>
      <w:r w:rsidR="006349E9">
        <w:rPr>
          <w:rFonts w:ascii="Book Antiqua" w:hAnsi="Book Antiqua" w:cs="Arial"/>
        </w:rPr>
        <w:t xml:space="preserve">espondent issuing </w:t>
      </w:r>
      <w:r w:rsidR="00DA0084" w:rsidRPr="006E6C12">
        <w:rPr>
          <w:rFonts w:ascii="Book Antiqua" w:hAnsi="Book Antiqua" w:cs="Arial"/>
        </w:rPr>
        <w:t>a decision to remove the appellant dated 5 February 2015.  This decision was not challenged and the appellant remained in the UK as an overstayer.</w:t>
      </w:r>
    </w:p>
    <w:p w:rsidR="00DA0084" w:rsidRDefault="00DA0084" w:rsidP="00DA0084">
      <w:pPr>
        <w:tabs>
          <w:tab w:val="left" w:pos="567"/>
        </w:tabs>
        <w:ind w:left="927"/>
        <w:jc w:val="both"/>
        <w:rPr>
          <w:rFonts w:ascii="Book Antiqua" w:hAnsi="Book Antiqua" w:cs="Arial"/>
        </w:rPr>
      </w:pPr>
    </w:p>
    <w:p w:rsidR="007A45B8" w:rsidRDefault="00DA0084" w:rsidP="00A305C0">
      <w:pPr>
        <w:numPr>
          <w:ilvl w:val="0"/>
          <w:numId w:val="5"/>
        </w:numPr>
        <w:tabs>
          <w:tab w:val="left" w:pos="567"/>
        </w:tabs>
        <w:jc w:val="both"/>
        <w:rPr>
          <w:rFonts w:ascii="Book Antiqua" w:hAnsi="Book Antiqua" w:cs="Arial"/>
        </w:rPr>
      </w:pPr>
      <w:r>
        <w:rPr>
          <w:rFonts w:ascii="Book Antiqua" w:hAnsi="Book Antiqua" w:cs="Arial"/>
        </w:rPr>
        <w:t xml:space="preserve">On 20 May 2015 the appellant submitted a human rights application in which he placed reliance upon a relationship with a British citizen, M and her two British citizen A </w:t>
      </w:r>
      <w:r w:rsidR="00F30A03">
        <w:rPr>
          <w:rFonts w:ascii="Book Antiqua" w:hAnsi="Book Antiqua" w:cs="Arial"/>
        </w:rPr>
        <w:t xml:space="preserve">(born in 2004, and now aged 14) </w:t>
      </w:r>
      <w:r>
        <w:rPr>
          <w:rFonts w:ascii="Book Antiqua" w:hAnsi="Book Antiqua" w:cs="Arial"/>
        </w:rPr>
        <w:t>and B</w:t>
      </w:r>
      <w:r w:rsidR="0005710A">
        <w:rPr>
          <w:rFonts w:ascii="Book Antiqua" w:hAnsi="Book Antiqua" w:cs="Arial"/>
        </w:rPr>
        <w:t xml:space="preserve"> (born in 2006</w:t>
      </w:r>
      <w:r w:rsidR="00F30A03">
        <w:rPr>
          <w:rFonts w:ascii="Book Antiqua" w:hAnsi="Book Antiqua" w:cs="Arial"/>
        </w:rPr>
        <w:t>, and now aged 12)</w:t>
      </w:r>
      <w:r>
        <w:rPr>
          <w:rFonts w:ascii="Book Antiqua" w:hAnsi="Book Antiqua" w:cs="Arial"/>
        </w:rPr>
        <w:t>.  The application form asserted that they</w:t>
      </w:r>
      <w:r w:rsidR="00F30A03">
        <w:rPr>
          <w:rFonts w:ascii="Book Antiqua" w:hAnsi="Book Antiqua" w:cs="Arial"/>
        </w:rPr>
        <w:t xml:space="preserve"> commenced living as a family un</w:t>
      </w:r>
      <w:r>
        <w:rPr>
          <w:rFonts w:ascii="Book Antiqua" w:hAnsi="Book Antiqua" w:cs="Arial"/>
        </w:rPr>
        <w:t>it in March 2012, i.e. at a time when the appellant was in the UK lawfully as a student.  This application was refused in a decision dated 20 August 2015, in which the respondent</w:t>
      </w:r>
      <w:r w:rsidR="00A305C0">
        <w:rPr>
          <w:rFonts w:ascii="Book Antiqua" w:hAnsi="Book Antiqua" w:cs="Arial"/>
        </w:rPr>
        <w:t xml:space="preserve"> alleged that the 2012 certificate was fraudulently obtained and the appellant used deception in placing reliance upon it.  The respondent was satisfied that the appellant’s presence was not conducive to the public good because his conduct made it undesirable to permit him to remain in the UK.  The application was therefore refused for the following reasons: (</w:t>
      </w:r>
      <w:proofErr w:type="spellStart"/>
      <w:r w:rsidR="00A305C0">
        <w:rPr>
          <w:rFonts w:ascii="Book Antiqua" w:hAnsi="Book Antiqua" w:cs="Arial"/>
        </w:rPr>
        <w:t>i</w:t>
      </w:r>
      <w:proofErr w:type="spellEnd"/>
      <w:r w:rsidR="00A305C0">
        <w:rPr>
          <w:rFonts w:ascii="Book Antiqua" w:hAnsi="Book Antiqua" w:cs="Arial"/>
        </w:rPr>
        <w:t>) the appellant did not meet the ‘suitability’ requirements under paragraph S-LTR 1.6 of the Immigration Rules; (ii) the appellant did not meet the requirements of 276ADE; (iii) the appellant’s relationship with M and her children did not constitute ‘exceptional circumstances’ for the purposes of Article 8.</w:t>
      </w:r>
    </w:p>
    <w:p w:rsidR="00F30A03" w:rsidRDefault="00F30A03" w:rsidP="00F30A03">
      <w:pPr>
        <w:tabs>
          <w:tab w:val="left" w:pos="567"/>
        </w:tabs>
        <w:ind w:left="927"/>
        <w:jc w:val="both"/>
        <w:rPr>
          <w:rFonts w:ascii="Book Antiqua" w:hAnsi="Book Antiqua" w:cs="Arial"/>
        </w:rPr>
      </w:pPr>
    </w:p>
    <w:p w:rsidR="00F30A03" w:rsidRDefault="00F30A03" w:rsidP="00A305C0">
      <w:pPr>
        <w:numPr>
          <w:ilvl w:val="0"/>
          <w:numId w:val="5"/>
        </w:numPr>
        <w:tabs>
          <w:tab w:val="left" w:pos="567"/>
        </w:tabs>
        <w:jc w:val="both"/>
        <w:rPr>
          <w:rFonts w:ascii="Book Antiqua" w:hAnsi="Book Antiqua" w:cs="Arial"/>
        </w:rPr>
      </w:pPr>
      <w:r>
        <w:rPr>
          <w:rFonts w:ascii="Book Antiqua" w:hAnsi="Book Antiqua" w:cs="Arial"/>
        </w:rPr>
        <w:t>In a decision</w:t>
      </w:r>
      <w:r w:rsidR="0005710A">
        <w:rPr>
          <w:rFonts w:ascii="Book Antiqua" w:hAnsi="Book Antiqua" w:cs="Arial"/>
        </w:rPr>
        <w:t xml:space="preserve"> promulgated on 30 November 2017</w:t>
      </w:r>
      <w:r w:rsidR="006349E9">
        <w:rPr>
          <w:rFonts w:ascii="Book Antiqua" w:hAnsi="Book Antiqua" w:cs="Arial"/>
        </w:rPr>
        <w:t>,</w:t>
      </w:r>
      <w:r>
        <w:rPr>
          <w:rFonts w:ascii="Book Antiqua" w:hAnsi="Book Antiqua" w:cs="Arial"/>
        </w:rPr>
        <w:t xml:space="preserve"> the FTT acknowledged a concession on the part of the respondent that the appellant enjoyed a long standing and genuine relationship with M and her children.  Having considered the appellant’s oral evidence, the FTT accepted that the appellant was a credible witness and did not employ deception as alleged.  The FTT concluded that the appellant was able to meet EX1(b) and EX2 of the Immigration Rules, given his relationship with M and her children.  It is also noteworthy that the FTT accepted </w:t>
      </w:r>
      <w:r>
        <w:rPr>
          <w:rFonts w:ascii="Book Antiqua" w:hAnsi="Book Antiqua" w:cs="Arial"/>
        </w:rPr>
        <w:lastRenderedPageBreak/>
        <w:t>that it was clear from the evidence that the financial and English language requirements were met</w:t>
      </w:r>
      <w:r w:rsidR="00044954">
        <w:rPr>
          <w:rFonts w:ascii="Book Antiqua" w:hAnsi="Book Antiqua" w:cs="Arial"/>
        </w:rPr>
        <w:t>: M’s business income was way in excess of £18600 per annum.</w:t>
      </w:r>
    </w:p>
    <w:p w:rsidR="00044954" w:rsidRDefault="00044954" w:rsidP="00044954">
      <w:pPr>
        <w:pStyle w:val="ListParagraph"/>
        <w:rPr>
          <w:rFonts w:ascii="Book Antiqua" w:hAnsi="Book Antiqua" w:cs="Arial"/>
        </w:rPr>
      </w:pPr>
    </w:p>
    <w:p w:rsidR="00044954" w:rsidRDefault="00044954" w:rsidP="00A305C0">
      <w:pPr>
        <w:numPr>
          <w:ilvl w:val="0"/>
          <w:numId w:val="5"/>
        </w:numPr>
        <w:tabs>
          <w:tab w:val="left" w:pos="567"/>
        </w:tabs>
        <w:jc w:val="both"/>
        <w:rPr>
          <w:rFonts w:ascii="Book Antiqua" w:hAnsi="Book Antiqua" w:cs="Arial"/>
        </w:rPr>
      </w:pPr>
      <w:r>
        <w:rPr>
          <w:rFonts w:ascii="Book Antiqua" w:hAnsi="Book Antiqua" w:cs="Arial"/>
        </w:rPr>
        <w:t>As set above, Judge Hanson set aside the FTT decision but expressly preserved the findings made pursuant to the respondent’s concession.</w:t>
      </w:r>
    </w:p>
    <w:p w:rsidR="00044954" w:rsidRDefault="00044954" w:rsidP="00044954">
      <w:pPr>
        <w:pStyle w:val="ListParagraph"/>
        <w:rPr>
          <w:rFonts w:ascii="Book Antiqua" w:hAnsi="Book Antiqua" w:cs="Arial"/>
        </w:rPr>
      </w:pPr>
    </w:p>
    <w:p w:rsidR="00044954" w:rsidRPr="00A305C0" w:rsidRDefault="00044954" w:rsidP="00A305C0">
      <w:pPr>
        <w:numPr>
          <w:ilvl w:val="0"/>
          <w:numId w:val="5"/>
        </w:numPr>
        <w:tabs>
          <w:tab w:val="left" w:pos="567"/>
        </w:tabs>
        <w:jc w:val="both"/>
        <w:rPr>
          <w:rFonts w:ascii="Book Antiqua" w:hAnsi="Book Antiqua" w:cs="Arial"/>
        </w:rPr>
      </w:pPr>
      <w:r>
        <w:rPr>
          <w:rFonts w:ascii="Book Antiqua" w:hAnsi="Book Antiqua" w:cs="Arial"/>
        </w:rPr>
        <w:t>The matter now comes before me to re-make the decision.</w:t>
      </w:r>
    </w:p>
    <w:p w:rsidR="007A45B8" w:rsidRDefault="007A45B8" w:rsidP="007A45B8">
      <w:pPr>
        <w:tabs>
          <w:tab w:val="left" w:pos="567"/>
        </w:tabs>
        <w:jc w:val="both"/>
        <w:rPr>
          <w:rFonts w:ascii="Book Antiqua" w:hAnsi="Book Antiqua" w:cs="Arial"/>
        </w:rPr>
      </w:pPr>
    </w:p>
    <w:p w:rsidR="007A45B8" w:rsidRPr="007A45B8" w:rsidRDefault="007A45B8" w:rsidP="007A45B8">
      <w:pPr>
        <w:tabs>
          <w:tab w:val="left" w:pos="567"/>
        </w:tabs>
        <w:jc w:val="both"/>
        <w:rPr>
          <w:rFonts w:ascii="Book Antiqua" w:hAnsi="Book Antiqua" w:cs="Arial"/>
          <w:b/>
        </w:rPr>
      </w:pPr>
      <w:r w:rsidRPr="007A45B8">
        <w:rPr>
          <w:rFonts w:ascii="Book Antiqua" w:hAnsi="Book Antiqua" w:cs="Arial"/>
          <w:b/>
        </w:rPr>
        <w:t>Issues in dispute</w:t>
      </w:r>
    </w:p>
    <w:p w:rsidR="007A45B8" w:rsidRDefault="007A45B8" w:rsidP="007A45B8">
      <w:pPr>
        <w:tabs>
          <w:tab w:val="left" w:pos="567"/>
        </w:tabs>
        <w:jc w:val="both"/>
        <w:rPr>
          <w:rFonts w:ascii="Book Antiqua" w:hAnsi="Book Antiqua" w:cs="Arial"/>
        </w:rPr>
      </w:pPr>
    </w:p>
    <w:p w:rsidR="009E7A66" w:rsidRDefault="007A45B8" w:rsidP="009E7A66">
      <w:pPr>
        <w:numPr>
          <w:ilvl w:val="0"/>
          <w:numId w:val="5"/>
        </w:numPr>
        <w:tabs>
          <w:tab w:val="left" w:pos="567"/>
        </w:tabs>
        <w:jc w:val="both"/>
        <w:rPr>
          <w:rFonts w:ascii="Book Antiqua" w:hAnsi="Book Antiqua" w:cs="Arial"/>
        </w:rPr>
      </w:pPr>
      <w:r>
        <w:rPr>
          <w:rFonts w:ascii="Book Antiqua" w:hAnsi="Book Antiqua" w:cs="Arial"/>
        </w:rPr>
        <w:t>At the beginni</w:t>
      </w:r>
      <w:r w:rsidR="00044954">
        <w:rPr>
          <w:rFonts w:ascii="Book Antiqua" w:hAnsi="Book Antiqua" w:cs="Arial"/>
        </w:rPr>
        <w:t>ng of the hearing both representatives</w:t>
      </w:r>
      <w:r>
        <w:rPr>
          <w:rFonts w:ascii="Book Antiqua" w:hAnsi="Book Antiqua" w:cs="Arial"/>
        </w:rPr>
        <w:t xml:space="preserve"> agreed that the issues had been narrowed</w:t>
      </w:r>
      <w:r w:rsidR="009E7A66">
        <w:rPr>
          <w:rFonts w:ascii="Book Antiqua" w:hAnsi="Book Antiqua" w:cs="Arial"/>
        </w:rPr>
        <w:t>.  In particular, the pa</w:t>
      </w:r>
      <w:r w:rsidR="00044954">
        <w:rPr>
          <w:rFonts w:ascii="Book Antiqua" w:hAnsi="Book Antiqua" w:cs="Arial"/>
        </w:rPr>
        <w:t>rties agreed with the following matters set out below.</w:t>
      </w:r>
    </w:p>
    <w:p w:rsidR="00044954" w:rsidRDefault="00044954"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t xml:space="preserve">There were three stages to be followed when determining whether deception was employed - see </w:t>
      </w:r>
      <w:proofErr w:type="spellStart"/>
      <w:r w:rsidR="00247D70" w:rsidRPr="00247D70">
        <w:rPr>
          <w:rFonts w:ascii="Book Antiqua" w:hAnsi="Book Antiqua" w:cs="Arial"/>
          <w:u w:val="single"/>
        </w:rPr>
        <w:t>Majumder</w:t>
      </w:r>
      <w:proofErr w:type="spellEnd"/>
      <w:r w:rsidRPr="00247D70">
        <w:rPr>
          <w:rFonts w:ascii="Book Antiqua" w:hAnsi="Book Antiqua" w:cs="Arial"/>
          <w:u w:val="single"/>
        </w:rPr>
        <w:t xml:space="preserve"> &amp; </w:t>
      </w:r>
      <w:proofErr w:type="spellStart"/>
      <w:r w:rsidRPr="00247D70">
        <w:rPr>
          <w:rFonts w:ascii="Book Antiqua" w:hAnsi="Book Antiqua" w:cs="Arial"/>
          <w:u w:val="single"/>
        </w:rPr>
        <w:t>Qadir</w:t>
      </w:r>
      <w:proofErr w:type="spellEnd"/>
      <w:r w:rsidRPr="00247D70">
        <w:rPr>
          <w:rFonts w:ascii="Book Antiqua" w:hAnsi="Book Antiqua" w:cs="Arial"/>
          <w:u w:val="single"/>
        </w:rPr>
        <w:t xml:space="preserve"> v SSHD</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1167</w:t>
      </w:r>
      <w:r w:rsidR="00247D70">
        <w:rPr>
          <w:rFonts w:ascii="Book Antiqua" w:hAnsi="Book Antiqua" w:cs="Arial"/>
        </w:rPr>
        <w:t>: (</w:t>
      </w:r>
      <w:proofErr w:type="spellStart"/>
      <w:r w:rsidR="00247D70">
        <w:rPr>
          <w:rFonts w:ascii="Book Antiqua" w:hAnsi="Book Antiqua" w:cs="Arial"/>
        </w:rPr>
        <w:t>i</w:t>
      </w:r>
      <w:proofErr w:type="spellEnd"/>
      <w:r w:rsidR="00247D70">
        <w:rPr>
          <w:rFonts w:ascii="Book Antiqua" w:hAnsi="Book Antiqua" w:cs="Arial"/>
        </w:rPr>
        <w:t>) has the respondent met the burden of ide</w:t>
      </w:r>
      <w:r w:rsidR="006349E9">
        <w:rPr>
          <w:rFonts w:ascii="Book Antiqua" w:hAnsi="Book Antiqua" w:cs="Arial"/>
        </w:rPr>
        <w:t>ntifying evidence that the 2012</w:t>
      </w:r>
      <w:r w:rsidR="00247D70">
        <w:rPr>
          <w:rFonts w:ascii="Book Antiqua" w:hAnsi="Book Antiqua" w:cs="Arial"/>
        </w:rPr>
        <w:t xml:space="preserve"> certificate was obtained by </w:t>
      </w:r>
      <w:proofErr w:type="gramStart"/>
      <w:r w:rsidR="00247D70">
        <w:rPr>
          <w:rFonts w:ascii="Book Antiqua" w:hAnsi="Book Antiqua" w:cs="Arial"/>
        </w:rPr>
        <w:t>deception?;</w:t>
      </w:r>
      <w:proofErr w:type="gramEnd"/>
      <w:r w:rsidR="00247D70">
        <w:rPr>
          <w:rFonts w:ascii="Book Antiqua" w:hAnsi="Book Antiqua" w:cs="Arial"/>
        </w:rPr>
        <w:t xml:space="preserve"> (ii) has the appellant satisfied the evidential burden of raising an innocent explanation?; (iii) if so, has the respondent met the legal burden of showing that deception in fact took place?</w:t>
      </w:r>
    </w:p>
    <w:p w:rsidR="00247D70" w:rsidRDefault="00247D70"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t xml:space="preserve">In this particular case the </w:t>
      </w:r>
      <w:r w:rsidR="00044954">
        <w:rPr>
          <w:rFonts w:ascii="Book Antiqua" w:hAnsi="Book Antiqua" w:cs="Arial"/>
        </w:rPr>
        <w:t>respondent</w:t>
      </w:r>
      <w:r w:rsidR="009E7A66">
        <w:rPr>
          <w:rFonts w:ascii="Book Antiqua" w:hAnsi="Book Antiqua" w:cs="Arial"/>
        </w:rPr>
        <w:t xml:space="preserve"> displaced the burden of establishing prima facie deception on the part of the appellant in relation to the </w:t>
      </w:r>
      <w:r>
        <w:rPr>
          <w:rFonts w:ascii="Book Antiqua" w:hAnsi="Book Antiqua" w:cs="Arial"/>
        </w:rPr>
        <w:t xml:space="preserve">2012 </w:t>
      </w:r>
      <w:r w:rsidR="009E7A66">
        <w:rPr>
          <w:rFonts w:ascii="Book Antiqua" w:hAnsi="Book Antiqua" w:cs="Arial"/>
        </w:rPr>
        <w:t>certificate</w:t>
      </w:r>
      <w:r>
        <w:rPr>
          <w:rFonts w:ascii="Book Antiqua" w:hAnsi="Book Antiqua" w:cs="Arial"/>
        </w:rPr>
        <w:t>.  On the face of it, this gave the appellant a very high speaking score following a test taken on 22 August 2012.  I have been provided with both generic and specific evidence to support the clear view that the certificate was invalid.  I need not rehearse that evidence because the appellant expressly accepted that having received the relevant ETS voice recording in compliance with Judge Hanson’s directions, the voice linked to the 2012 certificate is not his.</w:t>
      </w:r>
    </w:p>
    <w:p w:rsidR="00DE7067" w:rsidRDefault="00DE7067"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t>The consideration of the appellant’s explanation is i</w:t>
      </w:r>
      <w:r w:rsidR="006349E9">
        <w:rPr>
          <w:rFonts w:ascii="Book Antiqua" w:hAnsi="Book Antiqua" w:cs="Arial"/>
        </w:rPr>
        <w:t>ntrinsically fact-sensitive (see</w:t>
      </w:r>
      <w:r>
        <w:rPr>
          <w:rFonts w:ascii="Book Antiqua" w:hAnsi="Book Antiqua" w:cs="Arial"/>
        </w:rPr>
        <w:t xml:space="preserve"> </w:t>
      </w:r>
      <w:r>
        <w:rPr>
          <w:rFonts w:ascii="Book Antiqua" w:hAnsi="Book Antiqua" w:cs="Arial"/>
          <w:u w:val="single"/>
        </w:rPr>
        <w:t>MA (ETS</w:t>
      </w:r>
      <w:r w:rsidR="006349E9">
        <w:rPr>
          <w:rFonts w:ascii="Book Antiqua" w:hAnsi="Book Antiqua" w:cs="Arial"/>
          <w:u w:val="single"/>
        </w:rPr>
        <w:t xml:space="preserve"> </w:t>
      </w:r>
      <w:r>
        <w:rPr>
          <w:rFonts w:ascii="Book Antiqua" w:hAnsi="Book Antiqua" w:cs="Arial"/>
          <w:u w:val="single"/>
        </w:rPr>
        <w:t>-</w:t>
      </w:r>
      <w:r w:rsidR="006349E9">
        <w:rPr>
          <w:rFonts w:ascii="Book Antiqua" w:hAnsi="Book Antiqua" w:cs="Arial"/>
          <w:u w:val="single"/>
        </w:rPr>
        <w:t xml:space="preserve"> </w:t>
      </w:r>
      <w:r>
        <w:rPr>
          <w:rFonts w:ascii="Book Antiqua" w:hAnsi="Book Antiqua" w:cs="Arial"/>
          <w:u w:val="single"/>
        </w:rPr>
        <w:t>TOEIC testing)</w:t>
      </w:r>
      <w:r>
        <w:rPr>
          <w:rFonts w:ascii="Book Antiqua" w:hAnsi="Book Antiqua" w:cs="Arial"/>
        </w:rPr>
        <w:t xml:space="preserve"> [2016] UKUT 00450 (IAC)</w:t>
      </w:r>
      <w:r w:rsidR="006349E9">
        <w:rPr>
          <w:rFonts w:ascii="Book Antiqua" w:hAnsi="Book Antiqua" w:cs="Arial"/>
        </w:rPr>
        <w:t>)</w:t>
      </w:r>
      <w:r>
        <w:rPr>
          <w:rFonts w:ascii="Book Antiqua" w:hAnsi="Book Antiqua" w:cs="Arial"/>
        </w:rPr>
        <w:t xml:space="preserve"> and for me to determine having considered all the relevant evidence in the round</w:t>
      </w:r>
      <w:r w:rsidR="007910CB">
        <w:rPr>
          <w:rFonts w:ascii="Book Antiqua" w:hAnsi="Book Antiqua" w:cs="Arial"/>
        </w:rPr>
        <w:t>.</w:t>
      </w:r>
    </w:p>
    <w:p w:rsidR="007910CB" w:rsidRDefault="007910CB"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t>The 2012 certificate is invalid because it relies upon a voice recording that is not the appellant’s.  This can be explained in one of two ways: use of a proxy or deliberate manipulation by a third party.</w:t>
      </w:r>
    </w:p>
    <w:p w:rsidR="00DE7067" w:rsidRDefault="007053F4"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t>If I am</w:t>
      </w:r>
      <w:r w:rsidR="009E7A66">
        <w:rPr>
          <w:rFonts w:ascii="Book Antiqua" w:hAnsi="Book Antiqua" w:cs="Arial"/>
        </w:rPr>
        <w:t xml:space="preserve"> satisfied that the appellant </w:t>
      </w:r>
      <w:r w:rsidR="00DE7067">
        <w:rPr>
          <w:rFonts w:ascii="Book Antiqua" w:hAnsi="Book Antiqua" w:cs="Arial"/>
        </w:rPr>
        <w:t xml:space="preserve">did not exercise deception then his appeal under Article 8 falls to be allowed for the reasons explained by the FTT.  In </w:t>
      </w:r>
      <w:r w:rsidR="00B9620A">
        <w:rPr>
          <w:rFonts w:ascii="Book Antiqua" w:hAnsi="Book Antiqua" w:cs="Arial"/>
        </w:rPr>
        <w:t>short,</w:t>
      </w:r>
      <w:r w:rsidR="00DE7067">
        <w:rPr>
          <w:rFonts w:ascii="Book Antiqua" w:hAnsi="Book Antiqua" w:cs="Arial"/>
        </w:rPr>
        <w:t xml:space="preserve"> he is able to meet the Immigration Rules and the children’s best interests strongly support the continuation of the family unit in the UK</w:t>
      </w:r>
      <w:r w:rsidR="006349E9">
        <w:rPr>
          <w:rFonts w:ascii="Book Antiqua" w:hAnsi="Book Antiqua" w:cs="Arial"/>
        </w:rPr>
        <w:t>, such that his removal would constitute a disproportionate breach of Article 8</w:t>
      </w:r>
      <w:r w:rsidR="00DE7067">
        <w:rPr>
          <w:rFonts w:ascii="Book Antiqua" w:hAnsi="Book Antiqua" w:cs="Arial"/>
        </w:rPr>
        <w:t>.</w:t>
      </w:r>
    </w:p>
    <w:p w:rsidR="009E7A66" w:rsidRDefault="00DE7067"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lastRenderedPageBreak/>
        <w:t xml:space="preserve">If I am satisfied that the appellant used </w:t>
      </w:r>
      <w:r w:rsidR="007053F4">
        <w:rPr>
          <w:rFonts w:ascii="Book Antiqua" w:hAnsi="Book Antiqua" w:cs="Arial"/>
        </w:rPr>
        <w:t>deception, then he is</w:t>
      </w:r>
      <w:r w:rsidR="009E7A66">
        <w:rPr>
          <w:rFonts w:ascii="Book Antiqua" w:hAnsi="Book Antiqua" w:cs="Arial"/>
        </w:rPr>
        <w:t xml:space="preserve"> unable to meet the Immigration Rules because he </w:t>
      </w:r>
      <w:r w:rsidR="007053F4">
        <w:rPr>
          <w:rFonts w:ascii="Book Antiqua" w:hAnsi="Book Antiqua" w:cs="Arial"/>
        </w:rPr>
        <w:t>cannot meet</w:t>
      </w:r>
      <w:r w:rsidR="009E7A66">
        <w:rPr>
          <w:rFonts w:ascii="Book Antiqua" w:hAnsi="Book Antiqua" w:cs="Arial"/>
        </w:rPr>
        <w:t xml:space="preserve"> the relevant ‘suitability’ requirements</w:t>
      </w:r>
      <w:r>
        <w:rPr>
          <w:rFonts w:ascii="Book Antiqua" w:hAnsi="Book Antiqua" w:cs="Arial"/>
        </w:rPr>
        <w:t xml:space="preserve"> or the requirements of 276ADE</w:t>
      </w:r>
      <w:r w:rsidR="006349E9">
        <w:rPr>
          <w:rFonts w:ascii="Book Antiqua" w:hAnsi="Book Antiqua" w:cs="Arial"/>
        </w:rPr>
        <w:t>,</w:t>
      </w:r>
      <w:r>
        <w:rPr>
          <w:rFonts w:ascii="Book Antiqua" w:hAnsi="Book Antiqua" w:cs="Arial"/>
        </w:rPr>
        <w:t xml:space="preserve"> </w:t>
      </w:r>
      <w:r w:rsidR="006349E9">
        <w:rPr>
          <w:rFonts w:ascii="Book Antiqua" w:hAnsi="Book Antiqua" w:cs="Arial"/>
        </w:rPr>
        <w:t xml:space="preserve">but Article 8 </w:t>
      </w:r>
      <w:r w:rsidR="007053F4">
        <w:rPr>
          <w:rFonts w:ascii="Book Antiqua" w:hAnsi="Book Antiqua" w:cs="Arial"/>
        </w:rPr>
        <w:t>must be considered</w:t>
      </w:r>
      <w:r w:rsidR="009E7A66">
        <w:rPr>
          <w:rFonts w:ascii="Book Antiqua" w:hAnsi="Book Antiqua" w:cs="Arial"/>
        </w:rPr>
        <w:t>.</w:t>
      </w:r>
    </w:p>
    <w:p w:rsidR="007667F0" w:rsidRDefault="007053F4" w:rsidP="009E1E98">
      <w:pPr>
        <w:numPr>
          <w:ilvl w:val="0"/>
          <w:numId w:val="5"/>
        </w:numPr>
        <w:tabs>
          <w:tab w:val="left" w:pos="567"/>
        </w:tabs>
        <w:jc w:val="both"/>
        <w:rPr>
          <w:rFonts w:ascii="Book Antiqua" w:hAnsi="Book Antiqua" w:cs="Arial"/>
        </w:rPr>
      </w:pPr>
      <w:r>
        <w:rPr>
          <w:rFonts w:ascii="Book Antiqua" w:hAnsi="Book Antiqua" w:cs="Arial"/>
        </w:rPr>
        <w:t>In addressing Article 8, the parties agreed that the concession at [11] of the FTT decision</w:t>
      </w:r>
      <w:r w:rsidR="007667F0">
        <w:rPr>
          <w:rFonts w:ascii="Book Antiqua" w:hAnsi="Book Antiqua" w:cs="Arial"/>
        </w:rPr>
        <w:t xml:space="preserve"> together with all the relevant evidence, was such that it is agreed that:</w:t>
      </w:r>
    </w:p>
    <w:p w:rsidR="007667F0" w:rsidRDefault="007667F0"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t>The appellant and M are in a long-standing genuine and subsisting relationship akin to marriage;</w:t>
      </w:r>
    </w:p>
    <w:p w:rsidR="007667F0" w:rsidRDefault="007667F0"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t>The appellant has been playing a genuine and significant role in the upbringing of A and B, M’s British citizen children</w:t>
      </w:r>
      <w:r w:rsidR="006349E9">
        <w:rPr>
          <w:rFonts w:ascii="Book Antiqua" w:hAnsi="Book Antiqua" w:cs="Arial"/>
        </w:rPr>
        <w:t>, and has the requisite parental relationship with them as a step-father</w:t>
      </w:r>
      <w:r>
        <w:rPr>
          <w:rFonts w:ascii="Book Antiqua" w:hAnsi="Book Antiqua" w:cs="Arial"/>
        </w:rPr>
        <w:t>;</w:t>
      </w:r>
    </w:p>
    <w:p w:rsidR="007667F0" w:rsidRDefault="007667F0"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t xml:space="preserve">A and B continue to have a close and significant relationship with their </w:t>
      </w:r>
      <w:r w:rsidR="006349E9">
        <w:rPr>
          <w:rFonts w:ascii="Book Antiqua" w:hAnsi="Book Antiqua" w:cs="Arial"/>
        </w:rPr>
        <w:t xml:space="preserve">biological </w:t>
      </w:r>
      <w:r>
        <w:rPr>
          <w:rFonts w:ascii="Book Antiqua" w:hAnsi="Book Antiqua" w:cs="Arial"/>
        </w:rPr>
        <w:t>father and paternal grandparents, based in the UK.</w:t>
      </w:r>
    </w:p>
    <w:p w:rsidR="00DE7067" w:rsidRDefault="00DE7067" w:rsidP="00F9640D">
      <w:pPr>
        <w:numPr>
          <w:ilvl w:val="2"/>
          <w:numId w:val="5"/>
        </w:numPr>
        <w:tabs>
          <w:tab w:val="left" w:pos="567"/>
        </w:tabs>
        <w:spacing w:before="120" w:after="120"/>
        <w:ind w:left="2127" w:hanging="709"/>
        <w:jc w:val="both"/>
        <w:rPr>
          <w:rFonts w:ascii="Book Antiqua" w:hAnsi="Book Antiqua" w:cs="Arial"/>
        </w:rPr>
      </w:pPr>
      <w:r>
        <w:rPr>
          <w:rFonts w:ascii="Book Antiqua" w:hAnsi="Book Antiqua" w:cs="Arial"/>
        </w:rPr>
        <w:t>As British citizens, A and B are not expected to leave the UK.</w:t>
      </w:r>
    </w:p>
    <w:p w:rsidR="007667F0" w:rsidRPr="00DE7067" w:rsidRDefault="007667F0" w:rsidP="007667F0">
      <w:pPr>
        <w:tabs>
          <w:tab w:val="left" w:pos="567"/>
        </w:tabs>
        <w:jc w:val="both"/>
        <w:rPr>
          <w:rFonts w:ascii="Book Antiqua" w:hAnsi="Book Antiqua" w:cs="Arial"/>
          <w:b/>
        </w:rPr>
      </w:pPr>
      <w:r w:rsidRPr="00DE7067">
        <w:rPr>
          <w:rFonts w:ascii="Book Antiqua" w:hAnsi="Book Antiqua" w:cs="Arial"/>
          <w:b/>
        </w:rPr>
        <w:t>Oral evidence</w:t>
      </w:r>
    </w:p>
    <w:p w:rsidR="007667F0" w:rsidRDefault="007667F0" w:rsidP="007667F0">
      <w:pPr>
        <w:tabs>
          <w:tab w:val="left" w:pos="567"/>
        </w:tabs>
        <w:jc w:val="both"/>
        <w:rPr>
          <w:rFonts w:ascii="Book Antiqua" w:hAnsi="Book Antiqua" w:cs="Arial"/>
        </w:rPr>
      </w:pPr>
      <w:r>
        <w:rPr>
          <w:rFonts w:ascii="Book Antiqua" w:hAnsi="Book Antiqua" w:cs="Arial"/>
        </w:rPr>
        <w:t xml:space="preserve"> </w:t>
      </w:r>
    </w:p>
    <w:p w:rsidR="007667F0" w:rsidRDefault="007667F0" w:rsidP="009E1E98">
      <w:pPr>
        <w:numPr>
          <w:ilvl w:val="0"/>
          <w:numId w:val="5"/>
        </w:numPr>
        <w:tabs>
          <w:tab w:val="left" w:pos="567"/>
        </w:tabs>
        <w:jc w:val="both"/>
        <w:rPr>
          <w:rFonts w:ascii="Book Antiqua" w:hAnsi="Book Antiqua" w:cs="Arial"/>
        </w:rPr>
      </w:pPr>
      <w:r>
        <w:rPr>
          <w:rFonts w:ascii="Book Antiqua" w:hAnsi="Book Antiqua" w:cs="Arial"/>
        </w:rPr>
        <w:t>I heard evidence from the appellant and M</w:t>
      </w:r>
      <w:r w:rsidR="001C6228">
        <w:rPr>
          <w:rFonts w:ascii="Book Antiqua" w:hAnsi="Book Antiqua" w:cs="Arial"/>
        </w:rPr>
        <w:t>.  They each relied upon two witness statements</w:t>
      </w:r>
      <w:r>
        <w:rPr>
          <w:rFonts w:ascii="Book Antiqua" w:hAnsi="Book Antiqua" w:cs="Arial"/>
        </w:rPr>
        <w:t xml:space="preserve">, </w:t>
      </w:r>
      <w:r w:rsidR="001C6228">
        <w:rPr>
          <w:rFonts w:ascii="Book Antiqua" w:hAnsi="Book Antiqua" w:cs="Arial"/>
        </w:rPr>
        <w:t xml:space="preserve">and </w:t>
      </w:r>
      <w:r>
        <w:rPr>
          <w:rFonts w:ascii="Book Antiqua" w:hAnsi="Book Antiqua" w:cs="Arial"/>
        </w:rPr>
        <w:t xml:space="preserve">were both </w:t>
      </w:r>
      <w:r w:rsidR="00DE7067">
        <w:rPr>
          <w:rFonts w:ascii="Book Antiqua" w:hAnsi="Book Antiqua" w:cs="Arial"/>
        </w:rPr>
        <w:t xml:space="preserve">closely </w:t>
      </w:r>
      <w:r>
        <w:rPr>
          <w:rFonts w:ascii="Book Antiqua" w:hAnsi="Book Antiqua" w:cs="Arial"/>
        </w:rPr>
        <w:t xml:space="preserve">cross-examined by Mr </w:t>
      </w:r>
      <w:proofErr w:type="spellStart"/>
      <w:r>
        <w:rPr>
          <w:rFonts w:ascii="Book Antiqua" w:hAnsi="Book Antiqua" w:cs="Arial"/>
        </w:rPr>
        <w:t>Mandalia</w:t>
      </w:r>
      <w:proofErr w:type="spellEnd"/>
      <w:r>
        <w:rPr>
          <w:rFonts w:ascii="Book Antiqua" w:hAnsi="Book Antiqua" w:cs="Arial"/>
        </w:rPr>
        <w:t>.</w:t>
      </w:r>
      <w:r w:rsidR="00DE7067">
        <w:rPr>
          <w:rFonts w:ascii="Book Antiqua" w:hAnsi="Book Antiqua" w:cs="Arial"/>
        </w:rPr>
        <w:t xml:space="preserve">  I refer to this evidence in more detail, when making my findings below.</w:t>
      </w:r>
    </w:p>
    <w:p w:rsidR="007667F0" w:rsidRDefault="007667F0" w:rsidP="007667F0">
      <w:pPr>
        <w:tabs>
          <w:tab w:val="left" w:pos="567"/>
        </w:tabs>
        <w:jc w:val="both"/>
        <w:rPr>
          <w:rFonts w:ascii="Book Antiqua" w:hAnsi="Book Antiqua" w:cs="Arial"/>
        </w:rPr>
      </w:pPr>
    </w:p>
    <w:p w:rsidR="007667F0" w:rsidRPr="00DE7067" w:rsidRDefault="007667F0" w:rsidP="007667F0">
      <w:pPr>
        <w:tabs>
          <w:tab w:val="left" w:pos="567"/>
        </w:tabs>
        <w:jc w:val="both"/>
        <w:rPr>
          <w:rFonts w:ascii="Book Antiqua" w:hAnsi="Book Antiqua" w:cs="Arial"/>
          <w:b/>
        </w:rPr>
      </w:pPr>
      <w:r w:rsidRPr="00DE7067">
        <w:rPr>
          <w:rFonts w:ascii="Book Antiqua" w:hAnsi="Book Antiqua" w:cs="Arial"/>
          <w:b/>
        </w:rPr>
        <w:t>Submissions</w:t>
      </w:r>
    </w:p>
    <w:p w:rsidR="007667F0" w:rsidRDefault="007667F0" w:rsidP="007667F0">
      <w:pPr>
        <w:tabs>
          <w:tab w:val="left" w:pos="567"/>
        </w:tabs>
        <w:jc w:val="both"/>
        <w:rPr>
          <w:rFonts w:ascii="Book Antiqua" w:hAnsi="Book Antiqua" w:cs="Arial"/>
        </w:rPr>
      </w:pPr>
      <w:r>
        <w:rPr>
          <w:rFonts w:ascii="Book Antiqua" w:hAnsi="Book Antiqua" w:cs="Arial"/>
        </w:rPr>
        <w:t xml:space="preserve"> </w:t>
      </w:r>
    </w:p>
    <w:p w:rsidR="00E75834" w:rsidRPr="0035473C" w:rsidRDefault="007667F0" w:rsidP="0035473C">
      <w:pPr>
        <w:numPr>
          <w:ilvl w:val="0"/>
          <w:numId w:val="5"/>
        </w:numPr>
        <w:tabs>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Mandalia</w:t>
      </w:r>
      <w:proofErr w:type="spellEnd"/>
      <w:r w:rsidR="00DE7067">
        <w:rPr>
          <w:rFonts w:ascii="Book Antiqua" w:hAnsi="Book Antiqua" w:cs="Arial"/>
        </w:rPr>
        <w:t xml:space="preserve"> invited me to find that the appellant provided wholly unreliable oral evidence in material respects and failed to discharge the evidential burden of providing an innocent explanation for the 2012 certificate.  </w:t>
      </w:r>
      <w:r w:rsidR="0035473C">
        <w:rPr>
          <w:rFonts w:ascii="Book Antiqua" w:hAnsi="Book Antiqua" w:cs="Arial"/>
        </w:rPr>
        <w:t xml:space="preserve">Mr </w:t>
      </w:r>
      <w:proofErr w:type="spellStart"/>
      <w:r w:rsidR="0035473C">
        <w:rPr>
          <w:rFonts w:ascii="Book Antiqua" w:hAnsi="Book Antiqua" w:cs="Arial"/>
        </w:rPr>
        <w:t>Mandalia</w:t>
      </w:r>
      <w:proofErr w:type="spellEnd"/>
      <w:r w:rsidR="0035473C">
        <w:rPr>
          <w:rFonts w:ascii="Book Antiqua" w:hAnsi="Book Antiqua" w:cs="Arial"/>
        </w:rPr>
        <w:t xml:space="preserve"> submitted that the evidence developed and changed over time and was in any event vague.  </w:t>
      </w:r>
      <w:r w:rsidR="007910CB" w:rsidRPr="0035473C">
        <w:rPr>
          <w:rFonts w:ascii="Book Antiqua" w:hAnsi="Book Antiqua" w:cs="Arial"/>
        </w:rPr>
        <w:t xml:space="preserve"> </w:t>
      </w:r>
      <w:r w:rsidR="0035473C">
        <w:rPr>
          <w:rFonts w:ascii="Book Antiqua" w:hAnsi="Book Antiqua" w:cs="Arial"/>
        </w:rPr>
        <w:t xml:space="preserve">He </w:t>
      </w:r>
      <w:r w:rsidR="007910CB" w:rsidRPr="0035473C">
        <w:rPr>
          <w:rFonts w:ascii="Book Antiqua" w:hAnsi="Book Antiqua" w:cs="Arial"/>
        </w:rPr>
        <w:t xml:space="preserve">asked me to note the conclusions in the </w:t>
      </w:r>
      <w:r w:rsidR="00E75834" w:rsidRPr="0035473C">
        <w:rPr>
          <w:rFonts w:ascii="Book Antiqua" w:hAnsi="Book Antiqua" w:cs="Arial"/>
        </w:rPr>
        <w:t>Kroll report dated 26 July 2016 that there was no evidence to support a claim that the</w:t>
      </w:r>
      <w:r w:rsidR="006349E9">
        <w:rPr>
          <w:rFonts w:ascii="Book Antiqua" w:hAnsi="Book Antiqua" w:cs="Arial"/>
        </w:rPr>
        <w:t xml:space="preserve"> process leading to the</w:t>
      </w:r>
      <w:r w:rsidR="00E75834" w:rsidRPr="0035473C">
        <w:rPr>
          <w:rFonts w:ascii="Book Antiqua" w:hAnsi="Book Antiqua" w:cs="Arial"/>
        </w:rPr>
        <w:t xml:space="preserve"> 2012 certificate was subject to deliberate manipulation, and as such can only be explained by the use of a proxy.  He reminded me of the evidence of Rebecca Collins to the effect that this could well involve the appellant attending the test centre as a registered candidate but allowing another</w:t>
      </w:r>
      <w:r w:rsidR="006349E9">
        <w:rPr>
          <w:rFonts w:ascii="Book Antiqua" w:hAnsi="Book Antiqua" w:cs="Arial"/>
        </w:rPr>
        <w:t>, a ‘fake sitter’,</w:t>
      </w:r>
      <w:r w:rsidR="00E75834" w:rsidRPr="0035473C">
        <w:rPr>
          <w:rFonts w:ascii="Book Antiqua" w:hAnsi="Book Antiqua" w:cs="Arial"/>
        </w:rPr>
        <w:t xml:space="preserve"> to take the test on his behalf.</w:t>
      </w:r>
    </w:p>
    <w:p w:rsidR="00E75834" w:rsidRDefault="00E75834" w:rsidP="00E75834">
      <w:pPr>
        <w:tabs>
          <w:tab w:val="left" w:pos="567"/>
        </w:tabs>
        <w:ind w:left="927"/>
        <w:jc w:val="both"/>
        <w:rPr>
          <w:rFonts w:ascii="Book Antiqua" w:hAnsi="Book Antiqua" w:cs="Arial"/>
        </w:rPr>
      </w:pPr>
    </w:p>
    <w:p w:rsidR="00B62670" w:rsidRDefault="00E75834" w:rsidP="00B62670">
      <w:pPr>
        <w:numPr>
          <w:ilvl w:val="0"/>
          <w:numId w:val="5"/>
        </w:numPr>
        <w:tabs>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Mandalia</w:t>
      </w:r>
      <w:proofErr w:type="spellEnd"/>
      <w:r w:rsidR="006349E9">
        <w:rPr>
          <w:rFonts w:ascii="Book Antiqua" w:hAnsi="Book Antiqua" w:cs="Arial"/>
        </w:rPr>
        <w:t xml:space="preserve"> submitted that a finding of deception in these circumstances i</w:t>
      </w:r>
      <w:r w:rsidR="00DE7067">
        <w:rPr>
          <w:rFonts w:ascii="Book Antiqua" w:hAnsi="Book Antiqua" w:cs="Arial"/>
        </w:rPr>
        <w:t>s of such serio</w:t>
      </w:r>
      <w:r>
        <w:rPr>
          <w:rFonts w:ascii="Book Antiqua" w:hAnsi="Book Antiqua" w:cs="Arial"/>
        </w:rPr>
        <w:t>usness and significance that the appellant’s</w:t>
      </w:r>
      <w:r w:rsidR="00DE7067">
        <w:rPr>
          <w:rFonts w:ascii="Book Antiqua" w:hAnsi="Book Antiqua" w:cs="Arial"/>
        </w:rPr>
        <w:t xml:space="preserve"> removal would not be </w:t>
      </w:r>
      <w:r w:rsidR="001537B6">
        <w:rPr>
          <w:rFonts w:ascii="Book Antiqua" w:hAnsi="Book Antiqua" w:cs="Arial"/>
        </w:rPr>
        <w:t>disproportionate for the purposes of Article 8</w:t>
      </w:r>
      <w:r>
        <w:rPr>
          <w:rFonts w:ascii="Book Antiqua" w:hAnsi="Book Antiqua" w:cs="Arial"/>
        </w:rPr>
        <w:t>, even when balanced against the family life with M and her children, and their best interests</w:t>
      </w:r>
      <w:r w:rsidR="001537B6">
        <w:rPr>
          <w:rFonts w:ascii="Book Antiqua" w:hAnsi="Book Antiqua" w:cs="Arial"/>
        </w:rPr>
        <w:t>.</w:t>
      </w:r>
      <w:r w:rsidR="00B62670">
        <w:rPr>
          <w:rFonts w:ascii="Book Antiqua" w:hAnsi="Book Antiqua" w:cs="Arial"/>
        </w:rPr>
        <w:t xml:space="preserve">  Mr </w:t>
      </w:r>
      <w:proofErr w:type="spellStart"/>
      <w:r w:rsidR="00B62670">
        <w:rPr>
          <w:rFonts w:ascii="Book Antiqua" w:hAnsi="Book Antiqua" w:cs="Arial"/>
        </w:rPr>
        <w:t>Mandalia</w:t>
      </w:r>
      <w:proofErr w:type="spellEnd"/>
      <w:r w:rsidR="00B62670">
        <w:rPr>
          <w:rFonts w:ascii="Book Antiqua" w:hAnsi="Book Antiqua" w:cs="Arial"/>
        </w:rPr>
        <w:t xml:space="preserve"> made it clear that he accepted that the appellant has a genuine and subsisting relationship with A and B, qualifying children by virtue of being British citizens.  He a</w:t>
      </w:r>
      <w:r w:rsidR="00E2585E">
        <w:rPr>
          <w:rFonts w:ascii="Book Antiqua" w:hAnsi="Book Antiqua" w:cs="Arial"/>
        </w:rPr>
        <w:t>lso acknowledged that there was</w:t>
      </w:r>
      <w:r w:rsidR="00B62670">
        <w:rPr>
          <w:rFonts w:ascii="Book Antiqua" w:hAnsi="Book Antiqua" w:cs="Arial"/>
        </w:rPr>
        <w:t xml:space="preserve"> no expectation that A and B or their mother M to leave the UK.  He however submitted that the public interest clearly requires the appellant’s removal should I find that he has employed deception in the manner alleged.</w:t>
      </w:r>
    </w:p>
    <w:p w:rsidR="001537B6" w:rsidRPr="00E2585E" w:rsidRDefault="001537B6" w:rsidP="00E2585E">
      <w:pPr>
        <w:tabs>
          <w:tab w:val="left" w:pos="567"/>
        </w:tabs>
        <w:ind w:left="927"/>
        <w:jc w:val="both"/>
        <w:rPr>
          <w:rFonts w:ascii="Book Antiqua" w:hAnsi="Book Antiqua" w:cs="Arial"/>
        </w:rPr>
      </w:pPr>
    </w:p>
    <w:p w:rsidR="00E75834" w:rsidRDefault="007667F0" w:rsidP="009E1E98">
      <w:pPr>
        <w:numPr>
          <w:ilvl w:val="0"/>
          <w:numId w:val="5"/>
        </w:numPr>
        <w:tabs>
          <w:tab w:val="left" w:pos="567"/>
        </w:tabs>
        <w:jc w:val="both"/>
        <w:rPr>
          <w:rFonts w:ascii="Book Antiqua" w:hAnsi="Book Antiqua" w:cs="Arial"/>
        </w:rPr>
      </w:pPr>
      <w:r>
        <w:rPr>
          <w:rFonts w:ascii="Book Antiqua" w:hAnsi="Book Antiqua" w:cs="Arial"/>
        </w:rPr>
        <w:lastRenderedPageBreak/>
        <w:t xml:space="preserve">Mr Collins </w:t>
      </w:r>
      <w:r w:rsidR="001537B6">
        <w:rPr>
          <w:rFonts w:ascii="Book Antiqua" w:hAnsi="Book Antiqua" w:cs="Arial"/>
        </w:rPr>
        <w:t>relied upon his skel</w:t>
      </w:r>
      <w:r w:rsidR="00E75834">
        <w:rPr>
          <w:rFonts w:ascii="Book Antiqua" w:hAnsi="Book Antiqua" w:cs="Arial"/>
        </w:rPr>
        <w:t xml:space="preserve">eton argument.  He highlighted </w:t>
      </w:r>
      <w:r w:rsidR="001537B6">
        <w:rPr>
          <w:rFonts w:ascii="Book Antiqua" w:hAnsi="Book Antiqua" w:cs="Arial"/>
        </w:rPr>
        <w:t>photographs placing the appellant at the test centre and asked me to take into account the passage of time that may have adversely impacted upon his memory of events in 2012</w:t>
      </w:r>
      <w:r w:rsidR="00E75834">
        <w:rPr>
          <w:rFonts w:ascii="Book Antiqua" w:hAnsi="Book Antiqua" w:cs="Arial"/>
        </w:rPr>
        <w:t xml:space="preserve"> as well as the unanswered questions and uncertainties relating to TOEIC procedures as summarised at [47] of </w:t>
      </w:r>
      <w:r w:rsidR="00E75834" w:rsidRPr="00E75834">
        <w:rPr>
          <w:rFonts w:ascii="Book Antiqua" w:hAnsi="Book Antiqua" w:cs="Arial"/>
          <w:u w:val="single"/>
        </w:rPr>
        <w:t>MA (ETS)</w:t>
      </w:r>
      <w:r w:rsidR="001537B6">
        <w:rPr>
          <w:rFonts w:ascii="Book Antiqua" w:hAnsi="Book Antiqua" w:cs="Arial"/>
        </w:rPr>
        <w:t xml:space="preserve">.  </w:t>
      </w:r>
    </w:p>
    <w:p w:rsidR="00E75834" w:rsidRDefault="00E75834" w:rsidP="00E75834">
      <w:pPr>
        <w:pStyle w:val="ListParagraph"/>
        <w:rPr>
          <w:rFonts w:ascii="Book Antiqua" w:hAnsi="Book Antiqua" w:cs="Arial"/>
        </w:rPr>
      </w:pPr>
    </w:p>
    <w:p w:rsidR="00B9620A" w:rsidRDefault="001537B6" w:rsidP="009E1E98">
      <w:pPr>
        <w:numPr>
          <w:ilvl w:val="0"/>
          <w:numId w:val="5"/>
        </w:numPr>
        <w:tabs>
          <w:tab w:val="left" w:pos="567"/>
        </w:tabs>
        <w:jc w:val="both"/>
        <w:rPr>
          <w:rFonts w:ascii="Book Antiqua" w:hAnsi="Book Antiqua" w:cs="Arial"/>
        </w:rPr>
      </w:pPr>
      <w:r>
        <w:rPr>
          <w:rFonts w:ascii="Book Antiqua" w:hAnsi="Book Antiqua" w:cs="Arial"/>
        </w:rPr>
        <w:t xml:space="preserve">Mr Collins submitted that even if I found that deception on the appellant’s part established, I must still go on to address Article 8 and was obliged to determine this in the appellant’s favour in order to properly give effect to </w:t>
      </w:r>
      <w:r w:rsidR="00E75834">
        <w:rPr>
          <w:rFonts w:ascii="Book Antiqua" w:hAnsi="Book Antiqua" w:cs="Arial"/>
        </w:rPr>
        <w:t>section 117</w:t>
      </w:r>
      <w:proofErr w:type="gramStart"/>
      <w:r w:rsidR="00E75834">
        <w:rPr>
          <w:rFonts w:ascii="Book Antiqua" w:hAnsi="Book Antiqua" w:cs="Arial"/>
        </w:rPr>
        <w:t>B(</w:t>
      </w:r>
      <w:proofErr w:type="gramEnd"/>
      <w:r w:rsidR="00E75834">
        <w:rPr>
          <w:rFonts w:ascii="Book Antiqua" w:hAnsi="Book Antiqua" w:cs="Arial"/>
        </w:rPr>
        <w:t xml:space="preserve">6) of </w:t>
      </w:r>
      <w:r>
        <w:rPr>
          <w:rFonts w:ascii="Book Antiqua" w:hAnsi="Book Antiqua" w:cs="Arial"/>
        </w:rPr>
        <w:t xml:space="preserve">the </w:t>
      </w:r>
      <w:r w:rsidRPr="00C64390">
        <w:rPr>
          <w:rFonts w:ascii="Book Antiqua" w:hAnsi="Book Antiqua" w:cs="Arial"/>
        </w:rPr>
        <w:t>Nationality, Immigration and Asylum Act 2002</w:t>
      </w:r>
      <w:r>
        <w:rPr>
          <w:rFonts w:ascii="Book Antiqua" w:hAnsi="Book Antiqua" w:cs="Arial"/>
        </w:rPr>
        <w:t xml:space="preserve"> (‘the 2002 Act’) and </w:t>
      </w:r>
      <w:r w:rsidRPr="001537B6">
        <w:rPr>
          <w:rFonts w:ascii="Book Antiqua" w:hAnsi="Book Antiqua" w:cs="Arial"/>
          <w:u w:val="single"/>
        </w:rPr>
        <w:t>MA (Pakistan) v SSHD</w:t>
      </w:r>
      <w:r>
        <w:rPr>
          <w:rFonts w:ascii="Book Antiqua" w:hAnsi="Book Antiqua" w:cs="Arial"/>
        </w:rPr>
        <w:t xml:space="preserve"> [2017] </w:t>
      </w:r>
      <w:proofErr w:type="spellStart"/>
      <w:r>
        <w:rPr>
          <w:rFonts w:ascii="Book Antiqua" w:hAnsi="Book Antiqua" w:cs="Arial"/>
        </w:rPr>
        <w:t>Imm</w:t>
      </w:r>
      <w:proofErr w:type="spellEnd"/>
      <w:r>
        <w:rPr>
          <w:rFonts w:ascii="Book Antiqua" w:hAnsi="Book Antiqua" w:cs="Arial"/>
        </w:rPr>
        <w:t xml:space="preserve"> AR 53; [2016] EWCA </w:t>
      </w:r>
      <w:proofErr w:type="spellStart"/>
      <w:r>
        <w:rPr>
          <w:rFonts w:ascii="Book Antiqua" w:hAnsi="Book Antiqua" w:cs="Arial"/>
        </w:rPr>
        <w:t>Civ</w:t>
      </w:r>
      <w:proofErr w:type="spellEnd"/>
      <w:r>
        <w:rPr>
          <w:rFonts w:ascii="Book Antiqua" w:hAnsi="Book Antiqua" w:cs="Arial"/>
        </w:rPr>
        <w:t xml:space="preserve"> 705.</w:t>
      </w:r>
      <w:r w:rsidR="0035473C">
        <w:rPr>
          <w:rFonts w:ascii="Book Antiqua" w:hAnsi="Book Antiqua" w:cs="Arial"/>
        </w:rPr>
        <w:t xml:space="preserve">  </w:t>
      </w:r>
    </w:p>
    <w:p w:rsidR="00B9620A" w:rsidRDefault="00B9620A" w:rsidP="00B9620A">
      <w:pPr>
        <w:pStyle w:val="ListParagraph"/>
        <w:rPr>
          <w:rFonts w:ascii="Book Antiqua" w:hAnsi="Book Antiqua" w:cs="Arial"/>
        </w:rPr>
      </w:pPr>
    </w:p>
    <w:p w:rsidR="007667F0" w:rsidRDefault="0035473C" w:rsidP="009E1E98">
      <w:pPr>
        <w:numPr>
          <w:ilvl w:val="0"/>
          <w:numId w:val="5"/>
        </w:numPr>
        <w:tabs>
          <w:tab w:val="left" w:pos="567"/>
        </w:tabs>
        <w:jc w:val="both"/>
        <w:rPr>
          <w:rFonts w:ascii="Book Antiqua" w:hAnsi="Book Antiqua" w:cs="Arial"/>
        </w:rPr>
      </w:pPr>
      <w:r>
        <w:rPr>
          <w:rFonts w:ascii="Book Antiqua" w:hAnsi="Book Antiqua" w:cs="Arial"/>
        </w:rPr>
        <w:t xml:space="preserve">I invited </w:t>
      </w:r>
      <w:r w:rsidR="00B9620A">
        <w:rPr>
          <w:rFonts w:ascii="Book Antiqua" w:hAnsi="Book Antiqua" w:cs="Arial"/>
        </w:rPr>
        <w:t>both representatives</w:t>
      </w:r>
      <w:r>
        <w:rPr>
          <w:rFonts w:ascii="Book Antiqua" w:hAnsi="Book Antiqua" w:cs="Arial"/>
        </w:rPr>
        <w:t xml:space="preserve"> to explain the role of deception, if I found this </w:t>
      </w:r>
      <w:r w:rsidR="008D08BB">
        <w:rPr>
          <w:rFonts w:ascii="Book Antiqua" w:hAnsi="Book Antiqua" w:cs="Arial"/>
        </w:rPr>
        <w:t xml:space="preserve">to be </w:t>
      </w:r>
      <w:r>
        <w:rPr>
          <w:rFonts w:ascii="Book Antiqua" w:hAnsi="Book Antiqua" w:cs="Arial"/>
        </w:rPr>
        <w:t>established</w:t>
      </w:r>
      <w:r w:rsidR="008D08BB">
        <w:rPr>
          <w:rFonts w:ascii="Book Antiqua" w:hAnsi="Book Antiqua" w:cs="Arial"/>
        </w:rPr>
        <w:t>,</w:t>
      </w:r>
      <w:r>
        <w:rPr>
          <w:rFonts w:ascii="Book Antiqua" w:hAnsi="Book Antiqua" w:cs="Arial"/>
        </w:rPr>
        <w:t xml:space="preserve"> when applying s</w:t>
      </w:r>
      <w:r w:rsidR="00B9620A">
        <w:rPr>
          <w:rFonts w:ascii="Book Antiqua" w:hAnsi="Book Antiqua" w:cs="Arial"/>
        </w:rPr>
        <w:t>ection 117</w:t>
      </w:r>
      <w:proofErr w:type="gramStart"/>
      <w:r w:rsidR="00B9620A">
        <w:rPr>
          <w:rFonts w:ascii="Book Antiqua" w:hAnsi="Book Antiqua" w:cs="Arial"/>
        </w:rPr>
        <w:t>B(</w:t>
      </w:r>
      <w:proofErr w:type="gramEnd"/>
      <w:r w:rsidR="00B9620A">
        <w:rPr>
          <w:rFonts w:ascii="Book Antiqua" w:hAnsi="Book Antiqua" w:cs="Arial"/>
        </w:rPr>
        <w:t>6).  They agreed</w:t>
      </w:r>
      <w:r>
        <w:rPr>
          <w:rFonts w:ascii="Book Antiqua" w:hAnsi="Book Antiqua" w:cs="Arial"/>
        </w:rPr>
        <w:t xml:space="preserve"> that deception was a relevant factor to take into account</w:t>
      </w:r>
      <w:r w:rsidR="00B9620A">
        <w:rPr>
          <w:rFonts w:ascii="Book Antiqua" w:hAnsi="Book Antiqua" w:cs="Arial"/>
        </w:rPr>
        <w:t>.  Mr Collins invited me to find</w:t>
      </w:r>
      <w:r>
        <w:rPr>
          <w:rFonts w:ascii="Book Antiqua" w:hAnsi="Book Antiqua" w:cs="Arial"/>
        </w:rPr>
        <w:t xml:space="preserve"> that it was outweighed by the family life and the children’s best interests</w:t>
      </w:r>
      <w:r w:rsidR="00B9620A">
        <w:rPr>
          <w:rFonts w:ascii="Book Antiqua" w:hAnsi="Book Antiqua" w:cs="Arial"/>
        </w:rPr>
        <w:t xml:space="preserve">, and Mr </w:t>
      </w:r>
      <w:proofErr w:type="spellStart"/>
      <w:r w:rsidR="00B9620A">
        <w:rPr>
          <w:rFonts w:ascii="Book Antiqua" w:hAnsi="Book Antiqua" w:cs="Arial"/>
        </w:rPr>
        <w:t>Mandalia</w:t>
      </w:r>
      <w:proofErr w:type="spellEnd"/>
      <w:r w:rsidR="00B9620A">
        <w:rPr>
          <w:rFonts w:ascii="Book Antiqua" w:hAnsi="Book Antiqua" w:cs="Arial"/>
        </w:rPr>
        <w:t xml:space="preserve"> submitted that it was not outweighed in this case.</w:t>
      </w:r>
    </w:p>
    <w:p w:rsidR="001537B6" w:rsidRDefault="001537B6" w:rsidP="001537B6">
      <w:pPr>
        <w:tabs>
          <w:tab w:val="left" w:pos="567"/>
        </w:tabs>
        <w:jc w:val="both"/>
        <w:rPr>
          <w:rFonts w:ascii="Book Antiqua" w:hAnsi="Book Antiqua" w:cs="Arial"/>
        </w:rPr>
      </w:pPr>
    </w:p>
    <w:p w:rsidR="007667F0" w:rsidRDefault="007667F0" w:rsidP="009E1E98">
      <w:pPr>
        <w:numPr>
          <w:ilvl w:val="0"/>
          <w:numId w:val="5"/>
        </w:numPr>
        <w:tabs>
          <w:tab w:val="left" w:pos="567"/>
        </w:tabs>
        <w:jc w:val="both"/>
        <w:rPr>
          <w:rFonts w:ascii="Book Antiqua" w:hAnsi="Book Antiqua" w:cs="Arial"/>
        </w:rPr>
      </w:pPr>
      <w:r>
        <w:rPr>
          <w:rFonts w:ascii="Book Antiqua" w:hAnsi="Book Antiqua" w:cs="Arial"/>
        </w:rPr>
        <w:t>At the end of submissions</w:t>
      </w:r>
      <w:r w:rsidR="001537B6">
        <w:rPr>
          <w:rFonts w:ascii="Book Antiqua" w:hAnsi="Book Antiqua" w:cs="Arial"/>
        </w:rPr>
        <w:t>,</w:t>
      </w:r>
      <w:r>
        <w:rPr>
          <w:rFonts w:ascii="Book Antiqua" w:hAnsi="Book Antiqua" w:cs="Arial"/>
        </w:rPr>
        <w:t xml:space="preserve"> I reserved my decision, which I now provide with reasons. I first address the deception issue before turning to an assessment of Article 8.</w:t>
      </w:r>
    </w:p>
    <w:p w:rsidR="007667F0" w:rsidRDefault="007667F0" w:rsidP="007667F0">
      <w:pPr>
        <w:tabs>
          <w:tab w:val="left" w:pos="567"/>
        </w:tabs>
        <w:jc w:val="both"/>
        <w:rPr>
          <w:rFonts w:ascii="Book Antiqua" w:hAnsi="Book Antiqua" w:cs="Arial"/>
        </w:rPr>
      </w:pPr>
    </w:p>
    <w:p w:rsidR="007667F0" w:rsidRPr="001537B6" w:rsidRDefault="007667F0" w:rsidP="007667F0">
      <w:pPr>
        <w:tabs>
          <w:tab w:val="left" w:pos="567"/>
        </w:tabs>
        <w:jc w:val="both"/>
        <w:rPr>
          <w:rFonts w:ascii="Book Antiqua" w:hAnsi="Book Antiqua" w:cs="Arial"/>
          <w:b/>
        </w:rPr>
      </w:pPr>
      <w:r w:rsidRPr="001537B6">
        <w:rPr>
          <w:rFonts w:ascii="Book Antiqua" w:hAnsi="Book Antiqua" w:cs="Arial"/>
          <w:b/>
        </w:rPr>
        <w:t>Deception</w:t>
      </w:r>
    </w:p>
    <w:p w:rsidR="007667F0" w:rsidRDefault="007667F0" w:rsidP="007667F0">
      <w:pPr>
        <w:tabs>
          <w:tab w:val="left" w:pos="567"/>
        </w:tabs>
        <w:jc w:val="both"/>
        <w:rPr>
          <w:rFonts w:ascii="Book Antiqua" w:hAnsi="Book Antiqua" w:cs="Arial"/>
        </w:rPr>
      </w:pPr>
    </w:p>
    <w:p w:rsidR="006029B1" w:rsidRDefault="007667F0" w:rsidP="006029B1">
      <w:pPr>
        <w:numPr>
          <w:ilvl w:val="0"/>
          <w:numId w:val="5"/>
        </w:numPr>
        <w:tabs>
          <w:tab w:val="left" w:pos="567"/>
        </w:tabs>
        <w:jc w:val="both"/>
        <w:rPr>
          <w:rFonts w:ascii="Book Antiqua" w:hAnsi="Book Antiqua" w:cs="Arial"/>
        </w:rPr>
      </w:pPr>
      <w:r>
        <w:rPr>
          <w:rFonts w:ascii="Book Antiqua" w:hAnsi="Book Antiqua" w:cs="Arial"/>
        </w:rPr>
        <w:t>I do not accept the appellant provided a credible account of the circumstances surrounding his TOEIC test at SBC.  I have taken all the evidence into account and considered it in the round before reaching the conclusion that I do not accept that the appellant has provided an innocent explanation.</w:t>
      </w:r>
      <w:r w:rsidR="006029B1">
        <w:rPr>
          <w:rFonts w:ascii="Book Antiqua" w:hAnsi="Book Antiqua" w:cs="Arial"/>
        </w:rPr>
        <w:t xml:space="preserve">  </w:t>
      </w:r>
      <w:r w:rsidRPr="006029B1">
        <w:rPr>
          <w:rFonts w:ascii="Book Antiqua" w:hAnsi="Book Antiqua" w:cs="Arial"/>
        </w:rPr>
        <w:t>There are a number of factors that tell in the appellant’s favour</w:t>
      </w:r>
      <w:r w:rsidR="006029B1">
        <w:rPr>
          <w:rFonts w:ascii="Book Antiqua" w:hAnsi="Book Antiqua" w:cs="Arial"/>
        </w:rPr>
        <w:t>, but I only attach limited weight to these for the reasons I set out below</w:t>
      </w:r>
      <w:r w:rsidRPr="006029B1">
        <w:rPr>
          <w:rFonts w:ascii="Book Antiqua" w:hAnsi="Book Antiqua" w:cs="Arial"/>
        </w:rPr>
        <w:t>.</w:t>
      </w:r>
      <w:r w:rsidR="006029B1" w:rsidRPr="006029B1">
        <w:rPr>
          <w:rFonts w:ascii="Book Antiqua" w:hAnsi="Book Antiqua" w:cs="Arial"/>
        </w:rPr>
        <w:t xml:space="preserve">  </w:t>
      </w:r>
    </w:p>
    <w:p w:rsidR="006029B1" w:rsidRPr="006029B1" w:rsidRDefault="006029B1" w:rsidP="006029B1">
      <w:pPr>
        <w:tabs>
          <w:tab w:val="left" w:pos="567"/>
        </w:tabs>
        <w:ind w:left="927"/>
        <w:jc w:val="both"/>
        <w:rPr>
          <w:rFonts w:ascii="Book Antiqua" w:hAnsi="Book Antiqua" w:cs="Arial"/>
        </w:rPr>
      </w:pPr>
    </w:p>
    <w:p w:rsidR="005B119B" w:rsidRDefault="006029B1" w:rsidP="009E1E98">
      <w:pPr>
        <w:numPr>
          <w:ilvl w:val="0"/>
          <w:numId w:val="5"/>
        </w:numPr>
        <w:tabs>
          <w:tab w:val="left" w:pos="567"/>
        </w:tabs>
        <w:jc w:val="both"/>
        <w:rPr>
          <w:rFonts w:ascii="Book Antiqua" w:hAnsi="Book Antiqua" w:cs="Arial"/>
        </w:rPr>
      </w:pPr>
      <w:r>
        <w:rPr>
          <w:rFonts w:ascii="Book Antiqua" w:hAnsi="Book Antiqua" w:cs="Arial"/>
        </w:rPr>
        <w:t xml:space="preserve">First, </w:t>
      </w:r>
      <w:r w:rsidR="00E75834">
        <w:rPr>
          <w:rFonts w:ascii="Book Antiqua" w:hAnsi="Book Antiqua" w:cs="Arial"/>
        </w:rPr>
        <w:t>the appellant provided photographs and copies of google maps that placed him very near the SBC test centre.  These were not dated.  The appellant was unable to clearly explain why he was unable to link the photographs to a specific date.  He claimed that the ‘</w:t>
      </w:r>
      <w:proofErr w:type="spellStart"/>
      <w:r w:rsidR="00D63529">
        <w:rPr>
          <w:rFonts w:ascii="Book Antiqua" w:hAnsi="Book Antiqua" w:cs="Arial"/>
        </w:rPr>
        <w:t>I</w:t>
      </w:r>
      <w:r w:rsidR="00E75834">
        <w:rPr>
          <w:rFonts w:ascii="Book Antiqua" w:hAnsi="Book Antiqua" w:cs="Arial"/>
        </w:rPr>
        <w:t>phone</w:t>
      </w:r>
      <w:proofErr w:type="spellEnd"/>
      <w:r w:rsidR="00E75834">
        <w:rPr>
          <w:rFonts w:ascii="Book Antiqua" w:hAnsi="Book Antiqua" w:cs="Arial"/>
        </w:rPr>
        <w:t xml:space="preserve">’ </w:t>
      </w:r>
      <w:r w:rsidR="001C6228">
        <w:rPr>
          <w:rFonts w:ascii="Book Antiqua" w:hAnsi="Book Antiqua" w:cs="Arial"/>
        </w:rPr>
        <w:t xml:space="preserve">and computer </w:t>
      </w:r>
      <w:r w:rsidR="00D63529">
        <w:rPr>
          <w:rFonts w:ascii="Book Antiqua" w:hAnsi="Book Antiqua" w:cs="Arial"/>
        </w:rPr>
        <w:t xml:space="preserve">used to transfer the photographs from the phone </w:t>
      </w:r>
      <w:r w:rsidR="001C6228">
        <w:rPr>
          <w:rFonts w:ascii="Book Antiqua" w:hAnsi="Book Antiqua" w:cs="Arial"/>
        </w:rPr>
        <w:t>that was used, were</w:t>
      </w:r>
      <w:r w:rsidR="00E75834">
        <w:rPr>
          <w:rFonts w:ascii="Book Antiqua" w:hAnsi="Book Antiqua" w:cs="Arial"/>
        </w:rPr>
        <w:t xml:space="preserve"> unable to do this</w:t>
      </w:r>
      <w:r w:rsidR="001C6228">
        <w:rPr>
          <w:rFonts w:ascii="Book Antiqua" w:hAnsi="Book Antiqua" w:cs="Arial"/>
        </w:rPr>
        <w:t>, but provided no evidence to support this surprising assertion</w:t>
      </w:r>
      <w:r w:rsidR="00E75834">
        <w:rPr>
          <w:rFonts w:ascii="Book Antiqua" w:hAnsi="Book Antiqua" w:cs="Arial"/>
        </w:rPr>
        <w:t>.</w:t>
      </w:r>
      <w:r w:rsidR="001C6228">
        <w:rPr>
          <w:rFonts w:ascii="Book Antiqua" w:hAnsi="Book Antiqua" w:cs="Arial"/>
        </w:rPr>
        <w:t xml:space="preserve">  </w:t>
      </w:r>
      <w:r w:rsidR="005B119B">
        <w:rPr>
          <w:rFonts w:ascii="Book Antiqua" w:hAnsi="Book Antiqua" w:cs="Arial"/>
        </w:rPr>
        <w:t xml:space="preserve">  The appellant provided these photographs for the hearing before me but was unable to explain, when pressed by Mr </w:t>
      </w:r>
      <w:proofErr w:type="spellStart"/>
      <w:r w:rsidR="005B119B">
        <w:rPr>
          <w:rFonts w:ascii="Book Antiqua" w:hAnsi="Book Antiqua" w:cs="Arial"/>
        </w:rPr>
        <w:t>Mandalia</w:t>
      </w:r>
      <w:proofErr w:type="spellEnd"/>
      <w:r w:rsidR="008D08BB">
        <w:rPr>
          <w:rFonts w:ascii="Book Antiqua" w:hAnsi="Book Antiqua" w:cs="Arial"/>
        </w:rPr>
        <w:t>,</w:t>
      </w:r>
      <w:r w:rsidR="005B119B">
        <w:rPr>
          <w:rFonts w:ascii="Book Antiqua" w:hAnsi="Book Antiqua" w:cs="Arial"/>
        </w:rPr>
        <w:t xml:space="preserve"> why he did not rely on these before the FTT.</w:t>
      </w:r>
    </w:p>
    <w:p w:rsidR="005B119B" w:rsidRDefault="005B119B" w:rsidP="005B119B">
      <w:pPr>
        <w:pStyle w:val="ListParagraph"/>
        <w:rPr>
          <w:rFonts w:ascii="Book Antiqua" w:hAnsi="Book Antiqua" w:cs="Arial"/>
        </w:rPr>
      </w:pPr>
    </w:p>
    <w:p w:rsidR="00E75834" w:rsidRDefault="001C6228" w:rsidP="009E1E98">
      <w:pPr>
        <w:numPr>
          <w:ilvl w:val="0"/>
          <w:numId w:val="5"/>
        </w:numPr>
        <w:tabs>
          <w:tab w:val="left" w:pos="567"/>
        </w:tabs>
        <w:jc w:val="both"/>
        <w:rPr>
          <w:rFonts w:ascii="Book Antiqua" w:hAnsi="Book Antiqua" w:cs="Arial"/>
        </w:rPr>
      </w:pPr>
      <w:r>
        <w:rPr>
          <w:rFonts w:ascii="Book Antiqua" w:hAnsi="Book Antiqua" w:cs="Arial"/>
        </w:rPr>
        <w:t xml:space="preserve">The appellant highlighted that the photograph on the 2012 certificate was consistent with his appearance in the photographs he produced: similar shirt collar, no beard or turban (when the appellant appeared before me he had a beard and turban).  I acknowledge these consistencies in appearance however if the appellant wished to provide evidence to support a false claim that he was present at the test centre, he would have taken the necessary steps to make the photographs appear </w:t>
      </w:r>
      <w:r>
        <w:rPr>
          <w:rFonts w:ascii="Book Antiqua" w:hAnsi="Book Antiqua" w:cs="Arial"/>
        </w:rPr>
        <w:lastRenderedPageBreak/>
        <w:t>persuasive.  In any event, the appellant’s ‘innocent explanation’ needs to go further than mere presence at the test centre on 22 August 2018, given the evidence I have summarised above from Rebecca Collins.</w:t>
      </w:r>
    </w:p>
    <w:p w:rsidR="00E75834" w:rsidRDefault="00E75834" w:rsidP="00E75834">
      <w:pPr>
        <w:pStyle w:val="ListParagraph"/>
        <w:rPr>
          <w:rFonts w:ascii="Book Antiqua" w:hAnsi="Book Antiqua" w:cs="Arial"/>
        </w:rPr>
      </w:pPr>
    </w:p>
    <w:p w:rsidR="006029B1" w:rsidRDefault="001C6228" w:rsidP="009E1E98">
      <w:pPr>
        <w:numPr>
          <w:ilvl w:val="0"/>
          <w:numId w:val="5"/>
        </w:numPr>
        <w:tabs>
          <w:tab w:val="left" w:pos="567"/>
        </w:tabs>
        <w:jc w:val="both"/>
        <w:rPr>
          <w:rFonts w:ascii="Book Antiqua" w:hAnsi="Book Antiqua" w:cs="Arial"/>
        </w:rPr>
      </w:pPr>
      <w:r>
        <w:rPr>
          <w:rFonts w:ascii="Book Antiqua" w:hAnsi="Book Antiqua" w:cs="Arial"/>
        </w:rPr>
        <w:t xml:space="preserve">Second, </w:t>
      </w:r>
      <w:r w:rsidR="006029B1">
        <w:rPr>
          <w:rFonts w:ascii="Book Antiqua" w:hAnsi="Book Antiqua" w:cs="Arial"/>
        </w:rPr>
        <w:t>M provided credible, reliable evidence but the support she was able to p</w:t>
      </w:r>
      <w:r w:rsidR="001537B6">
        <w:rPr>
          <w:rFonts w:ascii="Book Antiqua" w:hAnsi="Book Antiqua" w:cs="Arial"/>
        </w:rPr>
        <w:t>rovide in relation</w:t>
      </w:r>
      <w:r w:rsidR="006029B1">
        <w:rPr>
          <w:rFonts w:ascii="Book Antiqua" w:hAnsi="Book Antiqua" w:cs="Arial"/>
        </w:rPr>
        <w:t xml:space="preserve"> to the appellant’s </w:t>
      </w:r>
      <w:r w:rsidR="001537B6">
        <w:rPr>
          <w:rFonts w:ascii="Book Antiqua" w:hAnsi="Book Antiqua" w:cs="Arial"/>
        </w:rPr>
        <w:t xml:space="preserve">TOEIC test </w:t>
      </w:r>
      <w:r w:rsidR="006029B1">
        <w:rPr>
          <w:rFonts w:ascii="Book Antiqua" w:hAnsi="Book Antiqua" w:cs="Arial"/>
        </w:rPr>
        <w:t xml:space="preserve">was inherently limited. </w:t>
      </w:r>
      <w:r w:rsidR="00DE08A5">
        <w:rPr>
          <w:rFonts w:ascii="Book Antiqua" w:hAnsi="Book Antiqua" w:cs="Arial"/>
        </w:rPr>
        <w:t>The most she was able to say is that she was shown p</w:t>
      </w:r>
      <w:r w:rsidR="006029B1">
        <w:rPr>
          <w:rFonts w:ascii="Book Antiqua" w:hAnsi="Book Antiqua" w:cs="Arial"/>
        </w:rPr>
        <w:t>hotographs</w:t>
      </w:r>
      <w:r w:rsidR="00DE08A5">
        <w:rPr>
          <w:rFonts w:ascii="Book Antiqua" w:hAnsi="Book Antiqua" w:cs="Arial"/>
        </w:rPr>
        <w:t xml:space="preserve"> on the appellant’s phone but could not recall when</w:t>
      </w:r>
      <w:r w:rsidR="006029B1">
        <w:rPr>
          <w:rFonts w:ascii="Book Antiqua" w:hAnsi="Book Antiqua" w:cs="Arial"/>
        </w:rPr>
        <w:t xml:space="preserve">. </w:t>
      </w:r>
      <w:r w:rsidR="00DE08A5">
        <w:rPr>
          <w:rFonts w:ascii="Book Antiqua" w:hAnsi="Book Antiqua" w:cs="Arial"/>
        </w:rPr>
        <w:t xml:space="preserve"> To her credit, M did not</w:t>
      </w:r>
      <w:r w:rsidR="006029B1">
        <w:rPr>
          <w:rFonts w:ascii="Book Antiqua" w:hAnsi="Book Antiqua" w:cs="Arial"/>
        </w:rPr>
        <w:t xml:space="preserve"> exaggerate. She understood that </w:t>
      </w:r>
      <w:r w:rsidR="00DE08A5">
        <w:rPr>
          <w:rFonts w:ascii="Book Antiqua" w:hAnsi="Book Antiqua" w:cs="Arial"/>
        </w:rPr>
        <w:t>t</w:t>
      </w:r>
      <w:r w:rsidR="006029B1">
        <w:rPr>
          <w:rFonts w:ascii="Book Antiqua" w:hAnsi="Book Antiqua" w:cs="Arial"/>
        </w:rPr>
        <w:t>he</w:t>
      </w:r>
      <w:r w:rsidR="00DE08A5">
        <w:rPr>
          <w:rFonts w:ascii="Book Antiqua" w:hAnsi="Book Antiqua" w:cs="Arial"/>
        </w:rPr>
        <w:t xml:space="preserve"> appellant</w:t>
      </w:r>
      <w:r w:rsidR="006029B1">
        <w:rPr>
          <w:rFonts w:ascii="Book Antiqua" w:hAnsi="Book Antiqua" w:cs="Arial"/>
        </w:rPr>
        <w:t xml:space="preserve"> had to complete a test but was unable to offer any more detail because at the time they were not living together.  I pause here to note that the more recent statements suggest that they started living together in Christmas 2013 when it was actually Christmas 2012.  I accept this was a genuine error.</w:t>
      </w:r>
    </w:p>
    <w:p w:rsidR="00DE08A5" w:rsidRDefault="00DE08A5" w:rsidP="00DE08A5">
      <w:pPr>
        <w:tabs>
          <w:tab w:val="left" w:pos="567"/>
        </w:tabs>
        <w:jc w:val="both"/>
        <w:rPr>
          <w:rFonts w:ascii="Book Antiqua" w:hAnsi="Book Antiqua" w:cs="Arial"/>
        </w:rPr>
      </w:pPr>
    </w:p>
    <w:p w:rsidR="006029B1" w:rsidRDefault="001C6228" w:rsidP="009E1E98">
      <w:pPr>
        <w:numPr>
          <w:ilvl w:val="0"/>
          <w:numId w:val="5"/>
        </w:numPr>
        <w:tabs>
          <w:tab w:val="left" w:pos="567"/>
        </w:tabs>
        <w:jc w:val="both"/>
        <w:rPr>
          <w:rFonts w:ascii="Book Antiqua" w:hAnsi="Book Antiqua" w:cs="Arial"/>
        </w:rPr>
      </w:pPr>
      <w:r>
        <w:rPr>
          <w:rFonts w:ascii="Book Antiqua" w:hAnsi="Book Antiqua" w:cs="Arial"/>
        </w:rPr>
        <w:t>Third</w:t>
      </w:r>
      <w:r w:rsidR="006029B1">
        <w:rPr>
          <w:rFonts w:ascii="Book Antiqua" w:hAnsi="Book Antiqua" w:cs="Arial"/>
        </w:rPr>
        <w:t xml:space="preserve">, </w:t>
      </w:r>
      <w:r w:rsidR="00DE08A5">
        <w:rPr>
          <w:rFonts w:ascii="Book Antiqua" w:hAnsi="Book Antiqua" w:cs="Arial"/>
        </w:rPr>
        <w:t>I acknowledge that the appellant</w:t>
      </w:r>
      <w:r w:rsidR="006029B1">
        <w:rPr>
          <w:rFonts w:ascii="Book Antiqua" w:hAnsi="Book Antiqua" w:cs="Arial"/>
        </w:rPr>
        <w:t xml:space="preserve"> studied in English</w:t>
      </w:r>
      <w:r w:rsidR="00DE08A5">
        <w:rPr>
          <w:rFonts w:ascii="Book Antiqua" w:hAnsi="Book Antiqua" w:cs="Arial"/>
        </w:rPr>
        <w:t xml:space="preserve"> from his arrival in 2009</w:t>
      </w:r>
      <w:r w:rsidR="006029B1">
        <w:rPr>
          <w:rFonts w:ascii="Book Antiqua" w:hAnsi="Book Antiqua" w:cs="Arial"/>
        </w:rPr>
        <w:t>.</w:t>
      </w:r>
      <w:r w:rsidR="00DE08A5">
        <w:rPr>
          <w:rFonts w:ascii="Book Antiqua" w:hAnsi="Book Antiqua" w:cs="Arial"/>
        </w:rPr>
        <w:t xml:space="preserve">  This does not give any reliable indicator that his English-</w:t>
      </w:r>
      <w:r w:rsidR="00DE08A5" w:rsidRPr="007910CB">
        <w:rPr>
          <w:rFonts w:ascii="Book Antiqua" w:hAnsi="Book Antiqua" w:cs="Arial"/>
          <w:u w:val="single"/>
        </w:rPr>
        <w:t>speaking</w:t>
      </w:r>
      <w:r w:rsidR="00DE08A5">
        <w:rPr>
          <w:rFonts w:ascii="Book Antiqua" w:hAnsi="Book Antiqua" w:cs="Arial"/>
        </w:rPr>
        <w:t xml:space="preserve"> ability met the requisite requirements or that he believed it would do.  In any event, as pointed out in </w:t>
      </w:r>
      <w:r w:rsidR="00DE08A5" w:rsidRPr="00DE08A5">
        <w:rPr>
          <w:rFonts w:ascii="Book Antiqua" w:hAnsi="Book Antiqua" w:cs="Arial"/>
          <w:u w:val="single"/>
        </w:rPr>
        <w:t>MA (ETS)</w:t>
      </w:r>
      <w:r w:rsidR="00DE08A5" w:rsidRPr="00DE08A5">
        <w:rPr>
          <w:rFonts w:ascii="Book Antiqua" w:hAnsi="Book Antiqua" w:cs="Arial"/>
        </w:rPr>
        <w:t xml:space="preserve"> at [57] there is a range of reasons why those proficient in English may engage in TOEIC fraud.</w:t>
      </w:r>
    </w:p>
    <w:p w:rsidR="007910CB" w:rsidRDefault="007910CB" w:rsidP="007910CB">
      <w:pPr>
        <w:tabs>
          <w:tab w:val="left" w:pos="567"/>
        </w:tabs>
        <w:jc w:val="both"/>
        <w:rPr>
          <w:rFonts w:ascii="Book Antiqua" w:hAnsi="Book Antiqua" w:cs="Arial"/>
        </w:rPr>
      </w:pPr>
    </w:p>
    <w:p w:rsidR="006029B1" w:rsidRDefault="001C6228" w:rsidP="009E1E98">
      <w:pPr>
        <w:numPr>
          <w:ilvl w:val="0"/>
          <w:numId w:val="5"/>
        </w:numPr>
        <w:tabs>
          <w:tab w:val="left" w:pos="567"/>
        </w:tabs>
        <w:jc w:val="both"/>
        <w:rPr>
          <w:rFonts w:ascii="Book Antiqua" w:hAnsi="Book Antiqua" w:cs="Arial"/>
        </w:rPr>
      </w:pPr>
      <w:r>
        <w:rPr>
          <w:rFonts w:ascii="Book Antiqua" w:hAnsi="Book Antiqua" w:cs="Arial"/>
        </w:rPr>
        <w:t>Fourth</w:t>
      </w:r>
      <w:r w:rsidR="006029B1">
        <w:rPr>
          <w:rFonts w:ascii="Book Antiqua" w:hAnsi="Book Antiqua" w:cs="Arial"/>
        </w:rPr>
        <w:t xml:space="preserve">, the appellant’s English ability when giving evidence before me was very good.  However, this offers very limited assistance as to the quality of his </w:t>
      </w:r>
      <w:r w:rsidR="008D08BB">
        <w:rPr>
          <w:rFonts w:ascii="Book Antiqua" w:hAnsi="Book Antiqua" w:cs="Arial"/>
        </w:rPr>
        <w:t xml:space="preserve">English </w:t>
      </w:r>
      <w:r w:rsidR="007910CB">
        <w:rPr>
          <w:rFonts w:ascii="Book Antiqua" w:hAnsi="Book Antiqua" w:cs="Arial"/>
        </w:rPr>
        <w:t>nearly six</w:t>
      </w:r>
      <w:r w:rsidR="006029B1">
        <w:rPr>
          <w:rFonts w:ascii="Book Antiqua" w:hAnsi="Book Antiqua" w:cs="Arial"/>
        </w:rPr>
        <w:t xml:space="preserve"> years ago.</w:t>
      </w:r>
    </w:p>
    <w:p w:rsidR="007910CB" w:rsidRDefault="007910CB" w:rsidP="007910CB">
      <w:pPr>
        <w:tabs>
          <w:tab w:val="left" w:pos="567"/>
        </w:tabs>
        <w:jc w:val="both"/>
        <w:rPr>
          <w:rFonts w:ascii="Book Antiqua" w:hAnsi="Book Antiqua" w:cs="Arial"/>
        </w:rPr>
      </w:pPr>
    </w:p>
    <w:p w:rsidR="004E7C16" w:rsidRDefault="001C6228" w:rsidP="009E1E98">
      <w:pPr>
        <w:numPr>
          <w:ilvl w:val="0"/>
          <w:numId w:val="5"/>
        </w:numPr>
        <w:tabs>
          <w:tab w:val="left" w:pos="567"/>
        </w:tabs>
        <w:jc w:val="both"/>
        <w:rPr>
          <w:rFonts w:ascii="Book Antiqua" w:hAnsi="Book Antiqua" w:cs="Arial"/>
        </w:rPr>
      </w:pPr>
      <w:r>
        <w:rPr>
          <w:rFonts w:ascii="Book Antiqua" w:hAnsi="Book Antiqua" w:cs="Arial"/>
        </w:rPr>
        <w:t>Fifth</w:t>
      </w:r>
      <w:r w:rsidR="006029B1">
        <w:rPr>
          <w:rFonts w:ascii="Book Antiqua" w:hAnsi="Book Antiqua" w:cs="Arial"/>
        </w:rPr>
        <w:t xml:space="preserve">, </w:t>
      </w:r>
      <w:r w:rsidR="007910CB">
        <w:rPr>
          <w:rFonts w:ascii="Book Antiqua" w:hAnsi="Book Antiqua" w:cs="Arial"/>
        </w:rPr>
        <w:t xml:space="preserve">I acknowledge that </w:t>
      </w:r>
      <w:r w:rsidR="006029B1">
        <w:rPr>
          <w:rFonts w:ascii="Book Antiqua" w:hAnsi="Book Antiqua" w:cs="Arial"/>
        </w:rPr>
        <w:t>the FTT regarded the appellant to be a credible witness able to recall in great detail the setting and format of the English test.</w:t>
      </w:r>
      <w:r w:rsidR="004E7C16">
        <w:rPr>
          <w:rFonts w:ascii="Book Antiqua" w:hAnsi="Book Antiqua" w:cs="Arial"/>
        </w:rPr>
        <w:t xml:space="preserve"> </w:t>
      </w:r>
      <w:r w:rsidR="007910CB">
        <w:rPr>
          <w:rFonts w:ascii="Book Antiqua" w:hAnsi="Book Antiqua" w:cs="Arial"/>
        </w:rPr>
        <w:t xml:space="preserve"> That finding has not been preserved.  In any event it was made in the absence of significant evidence: the voice on the relevant voice recording is accepted not to be the appellant’s voice.  In addition, I heard lengthy and extensive oral evidence during the course of probing cross-examination from Counsel.  The extent of the cross-examination conducted by the presenting officer before the FTT is unclear. </w:t>
      </w:r>
    </w:p>
    <w:p w:rsidR="001225AD" w:rsidRDefault="001225AD" w:rsidP="001225AD">
      <w:pPr>
        <w:tabs>
          <w:tab w:val="left" w:pos="567"/>
        </w:tabs>
        <w:ind w:left="927"/>
        <w:jc w:val="both"/>
        <w:rPr>
          <w:rFonts w:ascii="Book Antiqua" w:hAnsi="Book Antiqua" w:cs="Arial"/>
        </w:rPr>
      </w:pPr>
    </w:p>
    <w:p w:rsidR="006029B1" w:rsidRDefault="001C6228" w:rsidP="009E1E98">
      <w:pPr>
        <w:numPr>
          <w:ilvl w:val="0"/>
          <w:numId w:val="5"/>
        </w:numPr>
        <w:tabs>
          <w:tab w:val="left" w:pos="567"/>
        </w:tabs>
        <w:jc w:val="both"/>
        <w:rPr>
          <w:rFonts w:ascii="Book Antiqua" w:hAnsi="Book Antiqua" w:cs="Arial"/>
        </w:rPr>
      </w:pPr>
      <w:r>
        <w:rPr>
          <w:rFonts w:ascii="Book Antiqua" w:hAnsi="Book Antiqua" w:cs="Arial"/>
        </w:rPr>
        <w:t>On the other hand, I have</w:t>
      </w:r>
      <w:r w:rsidR="006029B1">
        <w:rPr>
          <w:rFonts w:ascii="Book Antiqua" w:hAnsi="Book Antiqua" w:cs="Arial"/>
        </w:rPr>
        <w:t xml:space="preserve"> significant concerns regarding the vagueness of the appellant’s evidence when pressed by Mr </w:t>
      </w:r>
      <w:proofErr w:type="spellStart"/>
      <w:r w:rsidR="006029B1">
        <w:rPr>
          <w:rFonts w:ascii="Book Antiqua" w:hAnsi="Book Antiqua" w:cs="Arial"/>
        </w:rPr>
        <w:t>Mandalia</w:t>
      </w:r>
      <w:proofErr w:type="spellEnd"/>
      <w:r w:rsidR="006029B1">
        <w:rPr>
          <w:rFonts w:ascii="Book Antiqua" w:hAnsi="Book Antiqua" w:cs="Arial"/>
        </w:rPr>
        <w:t xml:space="preserve"> on why he chose the particular test centre he did and the arrangements that were made to sit the test.  I was also struck by the appellant’s vague description of events on the day itself.  I acknowledge that the FTT formed a different view</w:t>
      </w:r>
      <w:r>
        <w:rPr>
          <w:rFonts w:ascii="Book Antiqua" w:hAnsi="Book Antiqua" w:cs="Arial"/>
        </w:rPr>
        <w:t xml:space="preserve"> on this but as I have already observed, i</w:t>
      </w:r>
      <w:r w:rsidR="006029B1">
        <w:rPr>
          <w:rFonts w:ascii="Book Antiqua" w:hAnsi="Book Antiqua" w:cs="Arial"/>
        </w:rPr>
        <w:t>t may well be that the FTT did not have the ben</w:t>
      </w:r>
      <w:r>
        <w:rPr>
          <w:rFonts w:ascii="Book Antiqua" w:hAnsi="Book Antiqua" w:cs="Arial"/>
        </w:rPr>
        <w:t>e</w:t>
      </w:r>
      <w:r w:rsidR="006029B1">
        <w:rPr>
          <w:rFonts w:ascii="Book Antiqua" w:hAnsi="Book Antiqua" w:cs="Arial"/>
        </w:rPr>
        <w:t xml:space="preserve">fit of the careful and probing cross-examination conducted by Mr </w:t>
      </w:r>
      <w:proofErr w:type="spellStart"/>
      <w:r w:rsidR="006029B1">
        <w:rPr>
          <w:rFonts w:ascii="Book Antiqua" w:hAnsi="Book Antiqua" w:cs="Arial"/>
        </w:rPr>
        <w:t>Mandalia</w:t>
      </w:r>
      <w:proofErr w:type="spellEnd"/>
      <w:r w:rsidR="006029B1">
        <w:rPr>
          <w:rFonts w:ascii="Book Antiqua" w:hAnsi="Book Antiqua" w:cs="Arial"/>
        </w:rPr>
        <w:t>.</w:t>
      </w:r>
      <w:r w:rsidR="00417318">
        <w:rPr>
          <w:rFonts w:ascii="Book Antiqua" w:hAnsi="Book Antiqua" w:cs="Arial"/>
        </w:rPr>
        <w:t xml:space="preserve">  I acknowledge that the appellant was being questioned about events that took place six years ago but </w:t>
      </w:r>
      <w:proofErr w:type="gramStart"/>
      <w:r w:rsidR="00417318">
        <w:rPr>
          <w:rFonts w:ascii="Book Antiqua" w:hAnsi="Book Antiqua" w:cs="Arial"/>
        </w:rPr>
        <w:t>he  has</w:t>
      </w:r>
      <w:proofErr w:type="gramEnd"/>
      <w:r w:rsidR="00417318">
        <w:rPr>
          <w:rFonts w:ascii="Book Antiqua" w:hAnsi="Book Antiqua" w:cs="Arial"/>
        </w:rPr>
        <w:t xml:space="preserve"> revisited these events in two witness statements since and taken the opportunity to reflect upon what happened over a sustained </w:t>
      </w:r>
      <w:r w:rsidR="00B9620A">
        <w:rPr>
          <w:rFonts w:ascii="Book Antiqua" w:hAnsi="Book Antiqua" w:cs="Arial"/>
        </w:rPr>
        <w:t>period</w:t>
      </w:r>
      <w:r w:rsidR="00417318">
        <w:rPr>
          <w:rFonts w:ascii="Book Antiqua" w:hAnsi="Book Antiqua" w:cs="Arial"/>
        </w:rPr>
        <w:t>.</w:t>
      </w:r>
    </w:p>
    <w:p w:rsidR="006029B1" w:rsidRDefault="006029B1" w:rsidP="006029B1">
      <w:pPr>
        <w:pStyle w:val="ListParagraph"/>
        <w:rPr>
          <w:rFonts w:ascii="Book Antiqua" w:hAnsi="Book Antiqua" w:cs="Arial"/>
        </w:rPr>
      </w:pPr>
    </w:p>
    <w:p w:rsidR="00D63529" w:rsidRDefault="001C6228" w:rsidP="009E1E98">
      <w:pPr>
        <w:numPr>
          <w:ilvl w:val="0"/>
          <w:numId w:val="5"/>
        </w:numPr>
        <w:tabs>
          <w:tab w:val="left" w:pos="567"/>
        </w:tabs>
        <w:jc w:val="both"/>
        <w:rPr>
          <w:rFonts w:ascii="Book Antiqua" w:hAnsi="Book Antiqua" w:cs="Arial"/>
        </w:rPr>
      </w:pPr>
      <w:r>
        <w:rPr>
          <w:rFonts w:ascii="Book Antiqua" w:hAnsi="Book Antiqua" w:cs="Arial"/>
        </w:rPr>
        <w:t>The SBC test-centre is located in Canary Wharf.  At the relevant time the appellant resided in Coventry</w:t>
      </w:r>
      <w:r w:rsidR="00D63529">
        <w:rPr>
          <w:rFonts w:ascii="Book Antiqua" w:hAnsi="Book Antiqua" w:cs="Arial"/>
        </w:rPr>
        <w:t xml:space="preserve">.  In his second witness statement he explained that he travelled by car at 5.30am from Coventry.  The journey took some three hours.  The appellant was unable to clearly or cogently explain why he chose a test centre so far away </w:t>
      </w:r>
      <w:r w:rsidR="00D63529">
        <w:rPr>
          <w:rFonts w:ascii="Book Antiqua" w:hAnsi="Book Antiqua" w:cs="Arial"/>
        </w:rPr>
        <w:lastRenderedPageBreak/>
        <w:t xml:space="preserve">from his home, and which would have been time-consuming and expensive.  The appellant claimed that a friend recommended SBC because of another friend’s positive experience when sitting the TOEIC there.  I do not accept this explanation.  It is vague and unconvincing.  The appellant was unable to explain why he carried out no independent enquiries regarding test centres closer to his home and why he considered no other college than SBC.  I also regard it to be incredible that the appellant simply took the advice without asking any questions of his friend.  When pressed by Mr </w:t>
      </w:r>
      <w:proofErr w:type="spellStart"/>
      <w:r w:rsidR="00D63529">
        <w:rPr>
          <w:rFonts w:ascii="Book Antiqua" w:hAnsi="Book Antiqua" w:cs="Arial"/>
        </w:rPr>
        <w:t>Mandalia</w:t>
      </w:r>
      <w:proofErr w:type="spellEnd"/>
      <w:r w:rsidR="00D63529">
        <w:rPr>
          <w:rFonts w:ascii="Book Antiqua" w:hAnsi="Book Antiqua" w:cs="Arial"/>
        </w:rPr>
        <w:t xml:space="preserve"> as to </w:t>
      </w:r>
      <w:r w:rsidR="005B119B">
        <w:rPr>
          <w:rFonts w:ascii="Book Antiqua" w:hAnsi="Book Antiqua" w:cs="Arial"/>
        </w:rPr>
        <w:t>whether he asked basic questions about the experience of taking the test at SBC he said that he could not recall and then said maybe he did, before then saying maybe his friend just mentioned that the test was done there, implying that this was sufficient.</w:t>
      </w:r>
    </w:p>
    <w:p w:rsidR="00D63529" w:rsidRDefault="00D63529" w:rsidP="00D63529">
      <w:pPr>
        <w:pStyle w:val="ListParagraph"/>
        <w:rPr>
          <w:rFonts w:ascii="Book Antiqua" w:hAnsi="Book Antiqua" w:cs="Arial"/>
        </w:rPr>
      </w:pPr>
    </w:p>
    <w:p w:rsidR="00CA519A" w:rsidRDefault="00D63529" w:rsidP="00CA519A">
      <w:pPr>
        <w:numPr>
          <w:ilvl w:val="0"/>
          <w:numId w:val="5"/>
        </w:numPr>
        <w:tabs>
          <w:tab w:val="left" w:pos="567"/>
        </w:tabs>
        <w:jc w:val="both"/>
        <w:rPr>
          <w:rFonts w:ascii="Book Antiqua" w:hAnsi="Book Antiqua" w:cs="Arial"/>
        </w:rPr>
      </w:pPr>
      <w:r>
        <w:rPr>
          <w:rFonts w:ascii="Book Antiqua" w:hAnsi="Book Antiqua" w:cs="Arial"/>
        </w:rPr>
        <w:t>The appellant also provided no independent supporting evidence to corroborate his claim that he made the decision to use the SBC upon the advice of a friend.  The appellant explained that he was unable to contact the friend because he lost contact with him when he moved from Coventry to Leamington.</w:t>
      </w:r>
      <w:r w:rsidR="005B119B">
        <w:rPr>
          <w:rFonts w:ascii="Book Antiqua" w:hAnsi="Book Antiqua" w:cs="Arial"/>
        </w:rPr>
        <w:t xml:space="preserve">  There was also a degree of confusion on the appellant’s part as to when he moved from Coventry to Leamington, in order to reside there with M and her children.  Having heard credible evidence from M, I accept this took place in Christmas 2012.  However, the appellant’s human rights application form clearly states at A16</w:t>
      </w:r>
      <w:r w:rsidR="00CA519A">
        <w:rPr>
          <w:rFonts w:ascii="Book Antiqua" w:hAnsi="Book Antiqua" w:cs="Arial"/>
        </w:rPr>
        <w:t xml:space="preserve"> that they started living together in March 2012.  The appellant accepted that the form was inaccurate in this respect.  This reflects poorly on the appellant’s general credibility.  He was clearly prepared to misrepresent the date he started living with M in </w:t>
      </w:r>
      <w:r w:rsidR="001F7964">
        <w:rPr>
          <w:rFonts w:ascii="Book Antiqua" w:hAnsi="Book Antiqua" w:cs="Arial"/>
        </w:rPr>
        <w:t xml:space="preserve">the application form in </w:t>
      </w:r>
      <w:r w:rsidR="00CA519A">
        <w:rPr>
          <w:rFonts w:ascii="Book Antiqua" w:hAnsi="Book Antiqua" w:cs="Arial"/>
        </w:rPr>
        <w:t>order to attempt to show a longer period of livin</w:t>
      </w:r>
      <w:r w:rsidR="001F7964">
        <w:rPr>
          <w:rFonts w:ascii="Book Antiqua" w:hAnsi="Book Antiqua" w:cs="Arial"/>
        </w:rPr>
        <w:t xml:space="preserve">g together.  The appellant also stated in the application form at A29 that he had no contact with his immediate family in India, since leaving India in 2009.  Yet, when cross-examined by Mr </w:t>
      </w:r>
      <w:proofErr w:type="spellStart"/>
      <w:r w:rsidR="001F7964">
        <w:rPr>
          <w:rFonts w:ascii="Book Antiqua" w:hAnsi="Book Antiqua" w:cs="Arial"/>
        </w:rPr>
        <w:t>Mandalia</w:t>
      </w:r>
      <w:proofErr w:type="spellEnd"/>
      <w:r w:rsidR="001F7964">
        <w:rPr>
          <w:rFonts w:ascii="Book Antiqua" w:hAnsi="Book Antiqua" w:cs="Arial"/>
        </w:rPr>
        <w:t>, he said that he spoke to his family after he met M.  In addition, when giving</w:t>
      </w:r>
      <w:r w:rsidR="00CA519A">
        <w:rPr>
          <w:rFonts w:ascii="Book Antiqua" w:hAnsi="Book Antiqua" w:cs="Arial"/>
        </w:rPr>
        <w:t xml:space="preserve"> evidence regarding the children’s relationship with their father, the appellant sought to minimise that relationship, with a view to bolstering the importance of his relationship with the children.  The appellant claimed that the children </w:t>
      </w:r>
      <w:r w:rsidR="0035473C">
        <w:rPr>
          <w:rFonts w:ascii="Book Antiqua" w:hAnsi="Book Antiqua" w:cs="Arial"/>
        </w:rPr>
        <w:t>“very often” complained about seeing</w:t>
      </w:r>
      <w:r w:rsidR="00CA519A">
        <w:rPr>
          <w:rFonts w:ascii="Book Antiqua" w:hAnsi="Book Antiqua" w:cs="Arial"/>
        </w:rPr>
        <w:t xml:space="preserve"> </w:t>
      </w:r>
      <w:r w:rsidR="008D08BB">
        <w:rPr>
          <w:rFonts w:ascii="Book Antiqua" w:hAnsi="Book Antiqua" w:cs="Arial"/>
        </w:rPr>
        <w:t xml:space="preserve">their </w:t>
      </w:r>
      <w:r w:rsidR="00CA519A">
        <w:rPr>
          <w:rFonts w:ascii="Book Antiqua" w:hAnsi="Book Antiqua" w:cs="Arial"/>
        </w:rPr>
        <w:t xml:space="preserve">father on the weekend in accordance with the agreed arrangements.  </w:t>
      </w:r>
      <w:r w:rsidR="0035473C">
        <w:rPr>
          <w:rFonts w:ascii="Book Antiqua" w:hAnsi="Book Antiqua" w:cs="Arial"/>
        </w:rPr>
        <w:t>He went further to say that the children wish</w:t>
      </w:r>
      <w:r w:rsidR="00B824B5">
        <w:rPr>
          <w:rFonts w:ascii="Book Antiqua" w:hAnsi="Book Antiqua" w:cs="Arial"/>
        </w:rPr>
        <w:t>ed</w:t>
      </w:r>
      <w:r w:rsidR="0035473C">
        <w:rPr>
          <w:rFonts w:ascii="Book Antiqua" w:hAnsi="Book Antiqua" w:cs="Arial"/>
        </w:rPr>
        <w:t xml:space="preserve"> to stay with him and sometimes say “they want nothing to do with” their father.  </w:t>
      </w:r>
      <w:r w:rsidR="00CA519A">
        <w:rPr>
          <w:rFonts w:ascii="Book Antiqua" w:hAnsi="Book Antiqua" w:cs="Arial"/>
        </w:rPr>
        <w:t>M, whose evidence I accept, indicated that there were no real difficulties and the children had a good relationship with their father, who is a teacher.</w:t>
      </w:r>
      <w:r w:rsidR="001F7964">
        <w:rPr>
          <w:rFonts w:ascii="Book Antiqua" w:hAnsi="Book Antiqua" w:cs="Arial"/>
        </w:rPr>
        <w:t xml:space="preserve">  These are three examples of the appellant providing misleading evidence in an attempt to improve</w:t>
      </w:r>
      <w:r w:rsidR="0035473C">
        <w:rPr>
          <w:rFonts w:ascii="Book Antiqua" w:hAnsi="Book Antiqua" w:cs="Arial"/>
        </w:rPr>
        <w:t xml:space="preserve"> his position, and reflect adversely upon his general credibility and the reliability of the evidence he has provided.</w:t>
      </w:r>
    </w:p>
    <w:p w:rsidR="00CA519A" w:rsidRDefault="005B119B" w:rsidP="00CA519A">
      <w:pPr>
        <w:tabs>
          <w:tab w:val="left" w:pos="567"/>
        </w:tabs>
        <w:ind w:left="927"/>
        <w:jc w:val="both"/>
        <w:rPr>
          <w:rFonts w:ascii="Book Antiqua" w:hAnsi="Book Antiqua" w:cs="Arial"/>
        </w:rPr>
      </w:pPr>
      <w:r>
        <w:rPr>
          <w:rFonts w:ascii="Book Antiqua" w:hAnsi="Book Antiqua" w:cs="Arial"/>
        </w:rPr>
        <w:t xml:space="preserve"> </w:t>
      </w:r>
    </w:p>
    <w:p w:rsidR="00417318" w:rsidRDefault="00CA519A" w:rsidP="00CA519A">
      <w:pPr>
        <w:numPr>
          <w:ilvl w:val="0"/>
          <w:numId w:val="5"/>
        </w:numPr>
        <w:tabs>
          <w:tab w:val="left" w:pos="567"/>
        </w:tabs>
        <w:jc w:val="both"/>
        <w:rPr>
          <w:rFonts w:ascii="Book Antiqua" w:hAnsi="Book Antiqua" w:cs="Arial"/>
        </w:rPr>
      </w:pPr>
      <w:r>
        <w:rPr>
          <w:rFonts w:ascii="Book Antiqua" w:hAnsi="Book Antiqua" w:cs="Arial"/>
        </w:rPr>
        <w:t xml:space="preserve">The appellant’s explanation for not being able to provide any supporting evidence </w:t>
      </w:r>
      <w:r w:rsidR="00B824B5">
        <w:rPr>
          <w:rFonts w:ascii="Book Antiqua" w:hAnsi="Book Antiqua" w:cs="Arial"/>
        </w:rPr>
        <w:t xml:space="preserve">to support his claim </w:t>
      </w:r>
      <w:r>
        <w:rPr>
          <w:rFonts w:ascii="Book Antiqua" w:hAnsi="Book Antiqua" w:cs="Arial"/>
        </w:rPr>
        <w:t xml:space="preserve">that he paid for the test </w:t>
      </w:r>
      <w:r w:rsidR="001F7964">
        <w:rPr>
          <w:rFonts w:ascii="Book Antiqua" w:hAnsi="Book Antiqua" w:cs="Arial"/>
        </w:rPr>
        <w:t>in advance by credit card or</w:t>
      </w:r>
      <w:r>
        <w:rPr>
          <w:rFonts w:ascii="Book Antiqua" w:hAnsi="Book Antiqua" w:cs="Arial"/>
        </w:rPr>
        <w:t xml:space="preserve"> the expenses associated with travelling to London</w:t>
      </w:r>
      <w:r w:rsidR="00B824B5">
        <w:rPr>
          <w:rFonts w:ascii="Book Antiqua" w:hAnsi="Book Antiqua" w:cs="Arial"/>
        </w:rPr>
        <w:t>,</w:t>
      </w:r>
      <w:r w:rsidR="001F7964">
        <w:rPr>
          <w:rFonts w:ascii="Book Antiqua" w:hAnsi="Book Antiqua" w:cs="Arial"/>
        </w:rPr>
        <w:t xml:space="preserve"> was not credible</w:t>
      </w:r>
      <w:r>
        <w:rPr>
          <w:rFonts w:ascii="Book Antiqua" w:hAnsi="Book Antiqua" w:cs="Arial"/>
        </w:rPr>
        <w:t xml:space="preserve">.  He claimed that he was unable to obtain bank statements going back that far due to changes to his banking arrangements, yet provided no supporting evidence from the relevant banks to support this.  </w:t>
      </w:r>
      <w:r w:rsidR="001F7964">
        <w:rPr>
          <w:rFonts w:ascii="Book Antiqua" w:hAnsi="Book Antiqua" w:cs="Arial"/>
        </w:rPr>
        <w:t xml:space="preserve"> The appellant </w:t>
      </w:r>
      <w:r w:rsidR="00B824B5">
        <w:rPr>
          <w:rFonts w:ascii="Book Antiqua" w:hAnsi="Book Antiqua" w:cs="Arial"/>
        </w:rPr>
        <w:t xml:space="preserve">also </w:t>
      </w:r>
      <w:r w:rsidR="001F7964">
        <w:rPr>
          <w:rFonts w:ascii="Book Antiqua" w:hAnsi="Book Antiqua" w:cs="Arial"/>
        </w:rPr>
        <w:t xml:space="preserve">accepted in cross-examination that his </w:t>
      </w:r>
      <w:r w:rsidR="001F7964">
        <w:rPr>
          <w:rFonts w:ascii="Book Antiqua" w:hAnsi="Book Antiqua" w:cs="Arial"/>
        </w:rPr>
        <w:lastRenderedPageBreak/>
        <w:t>first witness statement was inaccurate in stating that he paid the fee when he attended reception on the day of the test.</w:t>
      </w:r>
    </w:p>
    <w:p w:rsidR="00417318" w:rsidRDefault="00417318" w:rsidP="00417318">
      <w:pPr>
        <w:pStyle w:val="ListParagraph"/>
        <w:rPr>
          <w:rFonts w:ascii="Book Antiqua" w:hAnsi="Book Antiqua" w:cs="Arial"/>
        </w:rPr>
      </w:pPr>
    </w:p>
    <w:p w:rsidR="00417318" w:rsidRDefault="00417318" w:rsidP="00CA519A">
      <w:pPr>
        <w:numPr>
          <w:ilvl w:val="0"/>
          <w:numId w:val="5"/>
        </w:numPr>
        <w:tabs>
          <w:tab w:val="left" w:pos="567"/>
        </w:tabs>
        <w:jc w:val="both"/>
        <w:rPr>
          <w:rFonts w:ascii="Book Antiqua" w:hAnsi="Book Antiqua" w:cs="Arial"/>
        </w:rPr>
      </w:pPr>
      <w:r>
        <w:rPr>
          <w:rFonts w:ascii="Book Antiqua" w:hAnsi="Book Antiqua" w:cs="Arial"/>
        </w:rPr>
        <w:t xml:space="preserve">In his second witness statement, prepared as recently as 30 May 2018, the appellant </w:t>
      </w:r>
      <w:r w:rsidR="001F7964">
        <w:rPr>
          <w:rFonts w:ascii="Book Antiqua" w:hAnsi="Book Antiqua" w:cs="Arial"/>
        </w:rPr>
        <w:t xml:space="preserve">also </w:t>
      </w:r>
      <w:r>
        <w:rPr>
          <w:rFonts w:ascii="Book Antiqua" w:hAnsi="Book Antiqua" w:cs="Arial"/>
        </w:rPr>
        <w:t xml:space="preserve">claimed that he showed reception an email confirmation on the day of the test.  When questioned by Mr </w:t>
      </w:r>
      <w:proofErr w:type="spellStart"/>
      <w:r>
        <w:rPr>
          <w:rFonts w:ascii="Book Antiqua" w:hAnsi="Book Antiqua" w:cs="Arial"/>
        </w:rPr>
        <w:t>Mandalia</w:t>
      </w:r>
      <w:proofErr w:type="spellEnd"/>
      <w:r>
        <w:rPr>
          <w:rFonts w:ascii="Book Antiqua" w:hAnsi="Book Antiqua" w:cs="Arial"/>
        </w:rPr>
        <w:t>, the appellant stated that he showed reception ‘something’ but could not recall what it was.  When pressed further during cross-examination he said he showed a driver’s licence and nothing else.</w:t>
      </w:r>
    </w:p>
    <w:p w:rsidR="00417318" w:rsidRDefault="00417318" w:rsidP="00417318">
      <w:pPr>
        <w:pStyle w:val="ListParagraph"/>
        <w:rPr>
          <w:rFonts w:ascii="Book Antiqua" w:hAnsi="Book Antiqua" w:cs="Arial"/>
        </w:rPr>
      </w:pPr>
    </w:p>
    <w:p w:rsidR="00CA519A" w:rsidRDefault="00417318" w:rsidP="00CA519A">
      <w:pPr>
        <w:numPr>
          <w:ilvl w:val="0"/>
          <w:numId w:val="5"/>
        </w:numPr>
        <w:tabs>
          <w:tab w:val="left" w:pos="567"/>
        </w:tabs>
        <w:jc w:val="both"/>
        <w:rPr>
          <w:rFonts w:ascii="Book Antiqua" w:hAnsi="Book Antiqua" w:cs="Arial"/>
        </w:rPr>
      </w:pPr>
      <w:r>
        <w:rPr>
          <w:rFonts w:ascii="Book Antiqua" w:hAnsi="Book Antiqua" w:cs="Arial"/>
        </w:rPr>
        <w:t xml:space="preserve">The appellant also provided vague and inconsistent evidence regarding the physical features of the SBC building.  When pressed by Mr </w:t>
      </w:r>
      <w:proofErr w:type="spellStart"/>
      <w:r>
        <w:rPr>
          <w:rFonts w:ascii="Book Antiqua" w:hAnsi="Book Antiqua" w:cs="Arial"/>
        </w:rPr>
        <w:t>Mandalia</w:t>
      </w:r>
      <w:proofErr w:type="spellEnd"/>
      <w:r>
        <w:rPr>
          <w:rFonts w:ascii="Book Antiqua" w:hAnsi="Book Antiqua" w:cs="Arial"/>
        </w:rPr>
        <w:t xml:space="preserve"> he was unable to describe anything other than it being a tall building with a tennis court nearby.  When asked how many floors it had, the appellant said he did not count.  This is clearly inconsistent with his </w:t>
      </w:r>
      <w:r w:rsidR="001F7964">
        <w:rPr>
          <w:rFonts w:ascii="Book Antiqua" w:hAnsi="Book Antiqua" w:cs="Arial"/>
        </w:rPr>
        <w:t>second witness statement in which he said that the building had 7-8 floors.</w:t>
      </w:r>
    </w:p>
    <w:p w:rsidR="00417318" w:rsidRDefault="00417318" w:rsidP="009E0EFF">
      <w:pPr>
        <w:pStyle w:val="ListParagraph"/>
        <w:ind w:left="0"/>
        <w:rPr>
          <w:rFonts w:ascii="Book Antiqua" w:hAnsi="Book Antiqua" w:cs="Arial"/>
        </w:rPr>
      </w:pPr>
    </w:p>
    <w:p w:rsidR="00417318" w:rsidRDefault="001B5C8C" w:rsidP="00CA519A">
      <w:pPr>
        <w:numPr>
          <w:ilvl w:val="0"/>
          <w:numId w:val="5"/>
        </w:numPr>
        <w:tabs>
          <w:tab w:val="left" w:pos="567"/>
        </w:tabs>
        <w:jc w:val="both"/>
        <w:rPr>
          <w:rFonts w:ascii="Book Antiqua" w:hAnsi="Book Antiqua" w:cs="Arial"/>
        </w:rPr>
      </w:pPr>
      <w:r>
        <w:rPr>
          <w:rFonts w:ascii="Book Antiqua" w:hAnsi="Book Antiqua" w:cs="Arial"/>
        </w:rPr>
        <w:t xml:space="preserve">I bear in mind that the evidence </w:t>
      </w:r>
      <w:r w:rsidR="009E0EFF">
        <w:rPr>
          <w:rFonts w:ascii="Book Antiqua" w:hAnsi="Book Antiqua" w:cs="Arial"/>
        </w:rPr>
        <w:t xml:space="preserve">summarised in </w:t>
      </w:r>
      <w:r w:rsidR="009E0EFF" w:rsidRPr="009E0EFF">
        <w:rPr>
          <w:rFonts w:ascii="Book Antiqua" w:hAnsi="Book Antiqua" w:cs="Arial"/>
          <w:u w:val="single"/>
        </w:rPr>
        <w:t>MA (ETS)</w:t>
      </w:r>
      <w:r w:rsidR="009E0EFF">
        <w:rPr>
          <w:rFonts w:ascii="Book Antiqua" w:hAnsi="Book Antiqua" w:cs="Arial"/>
        </w:rPr>
        <w:t xml:space="preserve"> </w:t>
      </w:r>
      <w:r>
        <w:rPr>
          <w:rFonts w:ascii="Book Antiqua" w:hAnsi="Book Antiqua" w:cs="Arial"/>
        </w:rPr>
        <w:t xml:space="preserve">regarding </w:t>
      </w:r>
      <w:r w:rsidR="009E0EFF">
        <w:rPr>
          <w:rFonts w:ascii="Book Antiqua" w:hAnsi="Book Antiqua" w:cs="Arial"/>
        </w:rPr>
        <w:t xml:space="preserve">weaknesses and inadequacies in </w:t>
      </w:r>
      <w:r>
        <w:rPr>
          <w:rFonts w:ascii="Book Antiqua" w:hAnsi="Book Antiqua" w:cs="Arial"/>
        </w:rPr>
        <w:t xml:space="preserve">ETS systems </w:t>
      </w:r>
      <w:r w:rsidR="009E0EFF">
        <w:rPr>
          <w:rFonts w:ascii="Book Antiqua" w:hAnsi="Book Antiqua" w:cs="Arial"/>
        </w:rPr>
        <w:t>and processes.</w:t>
      </w:r>
      <w:r>
        <w:rPr>
          <w:rFonts w:ascii="Book Antiqua" w:hAnsi="Book Antiqua" w:cs="Arial"/>
        </w:rPr>
        <w:t xml:space="preserve"> I </w:t>
      </w:r>
      <w:r w:rsidR="009E0EFF">
        <w:rPr>
          <w:rFonts w:ascii="Book Antiqua" w:hAnsi="Book Antiqua" w:cs="Arial"/>
        </w:rPr>
        <w:t xml:space="preserve">however </w:t>
      </w:r>
      <w:r>
        <w:rPr>
          <w:rFonts w:ascii="Book Antiqua" w:hAnsi="Book Antiqua" w:cs="Arial"/>
        </w:rPr>
        <w:t xml:space="preserve">accept the specific evidence </w:t>
      </w:r>
      <w:r w:rsidR="009E0EFF">
        <w:rPr>
          <w:rFonts w:ascii="Book Antiqua" w:hAnsi="Book Antiqua" w:cs="Arial"/>
        </w:rPr>
        <w:t xml:space="preserve">regarding the operation of ETS at SBC, as </w:t>
      </w:r>
      <w:r>
        <w:rPr>
          <w:rFonts w:ascii="Book Antiqua" w:hAnsi="Book Antiqua" w:cs="Arial"/>
        </w:rPr>
        <w:t xml:space="preserve">outlined in the Kroll report.  The appellant has not sought to rebut this evidence.  I therefore accept the following conclusions: </w:t>
      </w:r>
      <w:r w:rsidR="009E0EFF">
        <w:rPr>
          <w:rFonts w:ascii="Book Antiqua" w:hAnsi="Book Antiqua" w:cs="Arial"/>
        </w:rPr>
        <w:t>(</w:t>
      </w:r>
      <w:proofErr w:type="spellStart"/>
      <w:r w:rsidR="009E0EFF">
        <w:rPr>
          <w:rFonts w:ascii="Book Antiqua" w:hAnsi="Book Antiqua" w:cs="Arial"/>
        </w:rPr>
        <w:t>i</w:t>
      </w:r>
      <w:proofErr w:type="spellEnd"/>
      <w:r w:rsidR="009E0EFF">
        <w:rPr>
          <w:rFonts w:ascii="Book Antiqua" w:hAnsi="Book Antiqua" w:cs="Arial"/>
        </w:rPr>
        <w:t xml:space="preserve">) </w:t>
      </w:r>
      <w:r>
        <w:rPr>
          <w:rFonts w:ascii="Book Antiqua" w:hAnsi="Book Antiqua" w:cs="Arial"/>
        </w:rPr>
        <w:t xml:space="preserve">test centre staff and test candidates at SBC were unable to replace audio recordings within the ETS / TOEIC user interface; </w:t>
      </w:r>
      <w:r w:rsidR="009E0EFF">
        <w:rPr>
          <w:rFonts w:ascii="Book Antiqua" w:hAnsi="Book Antiqua" w:cs="Arial"/>
        </w:rPr>
        <w:t xml:space="preserve">(ii) </w:t>
      </w:r>
      <w:r>
        <w:rPr>
          <w:rFonts w:ascii="Book Antiqua" w:hAnsi="Book Antiqua" w:cs="Arial"/>
        </w:rPr>
        <w:t xml:space="preserve">the possibility that the recording was deliberately replaced by a person with nefarious intent or accrued as a result of systemic fault is not supported by evidence and purely speculative; </w:t>
      </w:r>
      <w:r w:rsidR="009E0EFF">
        <w:rPr>
          <w:rFonts w:ascii="Book Antiqua" w:hAnsi="Book Antiqua" w:cs="Arial"/>
        </w:rPr>
        <w:t xml:space="preserve">(iii) </w:t>
      </w:r>
      <w:r>
        <w:rPr>
          <w:rFonts w:ascii="Book Antiqua" w:hAnsi="Book Antiqua" w:cs="Arial"/>
        </w:rPr>
        <w:t xml:space="preserve">without a highly computer literate person being involved it is unlikely the TOEIC system would attribute a genuine test taker’s recording to a different candidate or that a genuine test taker’s recording would be submitted by multiple candidates.  Mr Collins maintained that it was possible that there was simply a systemic error, but there is insufficient evidence to support this.  </w:t>
      </w:r>
      <w:r w:rsidR="009E0EFF">
        <w:rPr>
          <w:rFonts w:ascii="Book Antiqua" w:hAnsi="Book Antiqua" w:cs="Arial"/>
        </w:rPr>
        <w:t xml:space="preserve">The only evidence in support is very general and speculative.  </w:t>
      </w:r>
      <w:r>
        <w:rPr>
          <w:rFonts w:ascii="Book Antiqua" w:hAnsi="Book Antiqua" w:cs="Arial"/>
        </w:rPr>
        <w:t>In any event, the appellant has been unable to clearly and credibly account for</w:t>
      </w:r>
      <w:r w:rsidR="00464809">
        <w:rPr>
          <w:rFonts w:ascii="Book Antiqua" w:hAnsi="Book Antiqua" w:cs="Arial"/>
        </w:rPr>
        <w:t xml:space="preserve"> matters material to the 2012 certificate for the reasons I have already explained.</w:t>
      </w:r>
    </w:p>
    <w:p w:rsidR="00B824B5" w:rsidRDefault="00B824B5" w:rsidP="00B824B5">
      <w:pPr>
        <w:tabs>
          <w:tab w:val="left" w:pos="567"/>
        </w:tabs>
        <w:ind w:left="927"/>
        <w:jc w:val="both"/>
        <w:rPr>
          <w:rFonts w:ascii="Book Antiqua" w:hAnsi="Book Antiqua" w:cs="Arial"/>
        </w:rPr>
      </w:pPr>
    </w:p>
    <w:p w:rsidR="009E0EFF" w:rsidRDefault="009E0EFF" w:rsidP="009E0EFF">
      <w:pPr>
        <w:numPr>
          <w:ilvl w:val="0"/>
          <w:numId w:val="5"/>
        </w:numPr>
        <w:tabs>
          <w:tab w:val="left" w:pos="567"/>
        </w:tabs>
        <w:jc w:val="both"/>
        <w:rPr>
          <w:rFonts w:ascii="Book Antiqua" w:hAnsi="Book Antiqua" w:cs="Arial"/>
        </w:rPr>
      </w:pPr>
      <w:r>
        <w:rPr>
          <w:rFonts w:ascii="Book Antiqua" w:hAnsi="Book Antiqua" w:cs="Arial"/>
        </w:rPr>
        <w:t>Having considered all the relevant evidence, I do not accept the appellant has provided reliable evidence to support the claim that he played no role whatsoever in obtaining what is now accepted to be an invalid TOEIC certificate.  I am satisfied that a proxy was used in order to complete the speaking test, and the appellant knew about this and participated in this fraud, either by being present but using a ‘fake sitter’ or by not attending at all.  Where it is accepted that the relevant voice attributed to the TOEIC certificate is not that of the appellant, the respondent has displaced the burden of establishing prima facie deception.  It falls upon the appellant to provide an innocent explanation.  This involves an assessment of all the relevant circumstances surrounding the test itself and the appellant’s particular circumstances.  This includes an explanation</w:t>
      </w:r>
      <w:r w:rsidR="0080769D">
        <w:rPr>
          <w:rFonts w:ascii="Book Antiqua" w:hAnsi="Book Antiqua" w:cs="Arial"/>
        </w:rPr>
        <w:t xml:space="preserve"> as to the likely nature and extent of the manipulation at the particular test centre.  As set out above, in the absence of </w:t>
      </w:r>
      <w:r w:rsidR="0080769D">
        <w:rPr>
          <w:rFonts w:ascii="Book Antiqua" w:hAnsi="Book Antiqua" w:cs="Arial"/>
        </w:rPr>
        <w:lastRenderedPageBreak/>
        <w:t xml:space="preserve">any specific evidence to undermine the Kroll report, the appellant has not provided an innocent explanation by reference to deliberate or reckless manipulation at SBC. </w:t>
      </w:r>
    </w:p>
    <w:p w:rsidR="009E0EFF" w:rsidRDefault="009E0EFF" w:rsidP="009E0EFF">
      <w:pPr>
        <w:tabs>
          <w:tab w:val="left" w:pos="567"/>
        </w:tabs>
        <w:jc w:val="both"/>
        <w:rPr>
          <w:rFonts w:ascii="Book Antiqua" w:hAnsi="Book Antiqua" w:cs="Arial"/>
        </w:rPr>
      </w:pPr>
    </w:p>
    <w:p w:rsidR="00B824B5" w:rsidRPr="00CA519A" w:rsidRDefault="00B824B5" w:rsidP="00CA519A">
      <w:pPr>
        <w:numPr>
          <w:ilvl w:val="0"/>
          <w:numId w:val="5"/>
        </w:numPr>
        <w:tabs>
          <w:tab w:val="left" w:pos="567"/>
        </w:tabs>
        <w:jc w:val="both"/>
        <w:rPr>
          <w:rFonts w:ascii="Book Antiqua" w:hAnsi="Book Antiqua" w:cs="Arial"/>
        </w:rPr>
      </w:pPr>
      <w:r>
        <w:rPr>
          <w:rFonts w:ascii="Book Antiqua" w:hAnsi="Book Antiqua" w:cs="Arial"/>
        </w:rPr>
        <w:t>Having found that the appellant did not provide an innocent explanation to rebut the respondent’s prima facie case of deception, I need not proceed to the third stage, as summarised above.</w:t>
      </w:r>
    </w:p>
    <w:p w:rsidR="006029B1" w:rsidRDefault="006029B1" w:rsidP="00CA519A">
      <w:pPr>
        <w:pStyle w:val="ListParagraph"/>
        <w:ind w:left="0"/>
        <w:rPr>
          <w:rFonts w:ascii="Book Antiqua" w:hAnsi="Book Antiqua" w:cs="Arial"/>
        </w:rPr>
      </w:pPr>
    </w:p>
    <w:p w:rsidR="00C64390" w:rsidRPr="00CA519A" w:rsidRDefault="00C64390" w:rsidP="00C64390">
      <w:pPr>
        <w:pStyle w:val="ListParagraph"/>
        <w:ind w:left="0"/>
        <w:rPr>
          <w:rFonts w:ascii="Book Antiqua" w:hAnsi="Book Antiqua" w:cs="Arial"/>
          <w:b/>
        </w:rPr>
      </w:pPr>
      <w:r w:rsidRPr="00CA519A">
        <w:rPr>
          <w:rFonts w:ascii="Book Antiqua" w:hAnsi="Book Antiqua" w:cs="Arial"/>
          <w:b/>
        </w:rPr>
        <w:t>Article 8</w:t>
      </w:r>
    </w:p>
    <w:p w:rsidR="00E2791E" w:rsidRDefault="00E2791E" w:rsidP="00E2791E">
      <w:pPr>
        <w:tabs>
          <w:tab w:val="left" w:pos="567"/>
        </w:tabs>
        <w:ind w:left="927"/>
        <w:jc w:val="both"/>
        <w:rPr>
          <w:rFonts w:ascii="Book Antiqua" w:hAnsi="Book Antiqua" w:cs="Arial"/>
        </w:rPr>
      </w:pPr>
    </w:p>
    <w:p w:rsidR="00CA519A" w:rsidRPr="00CA519A" w:rsidRDefault="00CA519A" w:rsidP="00CA519A">
      <w:pPr>
        <w:tabs>
          <w:tab w:val="left" w:pos="567"/>
        </w:tabs>
        <w:jc w:val="both"/>
        <w:rPr>
          <w:rFonts w:ascii="Book Antiqua" w:hAnsi="Book Antiqua" w:cs="Arial"/>
          <w:i/>
        </w:rPr>
      </w:pPr>
      <w:r w:rsidRPr="00CA519A">
        <w:rPr>
          <w:rFonts w:ascii="Book Antiqua" w:hAnsi="Book Antiqua" w:cs="Arial"/>
          <w:i/>
        </w:rPr>
        <w:t>Immigration Rules</w:t>
      </w:r>
    </w:p>
    <w:p w:rsidR="00CA519A" w:rsidRDefault="00CA519A" w:rsidP="00CA519A">
      <w:pPr>
        <w:tabs>
          <w:tab w:val="left" w:pos="567"/>
        </w:tabs>
        <w:jc w:val="both"/>
        <w:rPr>
          <w:rFonts w:ascii="Book Antiqua" w:hAnsi="Book Antiqua" w:cs="Arial"/>
        </w:rPr>
      </w:pPr>
    </w:p>
    <w:p w:rsidR="00EE4DB4" w:rsidRPr="00B824B5" w:rsidRDefault="00B824B5" w:rsidP="00B824B5">
      <w:pPr>
        <w:numPr>
          <w:ilvl w:val="0"/>
          <w:numId w:val="5"/>
        </w:numPr>
        <w:tabs>
          <w:tab w:val="left" w:pos="567"/>
        </w:tabs>
        <w:jc w:val="both"/>
        <w:rPr>
          <w:rFonts w:ascii="Book Antiqua" w:hAnsi="Book Antiqua" w:cs="Arial"/>
        </w:rPr>
      </w:pPr>
      <w:r>
        <w:rPr>
          <w:rFonts w:ascii="Book Antiqua" w:hAnsi="Book Antiqua" w:cs="Arial"/>
        </w:rPr>
        <w:t xml:space="preserve">I begin </w:t>
      </w:r>
      <w:r w:rsidR="00EE4DB4">
        <w:rPr>
          <w:rFonts w:ascii="Book Antiqua" w:hAnsi="Book Antiqua" w:cs="Arial"/>
        </w:rPr>
        <w:t xml:space="preserve">with consideration of the appellant’s family and private life application within the Rules.  </w:t>
      </w:r>
      <w:r w:rsidR="00CA519A">
        <w:rPr>
          <w:rFonts w:ascii="Book Antiqua" w:hAnsi="Book Antiqua" w:cs="Arial"/>
        </w:rPr>
        <w:t>Having found that the appellant has not established an innocent explanation, it follows with the agreement of the parties that the appellant is unable to meet the requirements of the Immigration Rules.</w:t>
      </w:r>
      <w:r>
        <w:rPr>
          <w:rFonts w:ascii="Book Antiqua" w:hAnsi="Book Antiqua" w:cs="Arial"/>
        </w:rPr>
        <w:t xml:space="preserve">  I conclude that the a</w:t>
      </w:r>
      <w:r w:rsidR="00EE4DB4" w:rsidRPr="00B824B5">
        <w:rPr>
          <w:rFonts w:ascii="Book Antiqua" w:hAnsi="Book Antiqua" w:cs="Arial"/>
        </w:rPr>
        <w:t>ppellant cannot meet the Rules on suitability grounds, in particular S-LTR.1.6:</w:t>
      </w:r>
    </w:p>
    <w:p w:rsidR="00EE4DB4" w:rsidRPr="000777FF" w:rsidRDefault="00EE4DB4" w:rsidP="003A52BD">
      <w:pPr>
        <w:tabs>
          <w:tab w:val="left" w:pos="567"/>
        </w:tabs>
        <w:spacing w:before="120" w:after="120"/>
        <w:ind w:left="1418"/>
        <w:jc w:val="both"/>
        <w:rPr>
          <w:rFonts w:ascii="Book Antiqua" w:hAnsi="Book Antiqua" w:cs="Arial"/>
          <w:sz w:val="22"/>
          <w:szCs w:val="22"/>
        </w:rPr>
      </w:pPr>
      <w:r>
        <w:rPr>
          <w:rFonts w:ascii="Book Antiqua" w:hAnsi="Book Antiqua" w:cs="Arial"/>
          <w:sz w:val="22"/>
          <w:szCs w:val="22"/>
        </w:rPr>
        <w:t>“</w:t>
      </w:r>
      <w:r>
        <w:rPr>
          <w:rFonts w:ascii="Book Antiqua" w:hAnsi="Book Antiqua" w:cs="Arial"/>
          <w:b/>
          <w:sz w:val="22"/>
          <w:szCs w:val="22"/>
        </w:rPr>
        <w:t>S-LTR.1.6.</w:t>
      </w:r>
      <w:r>
        <w:rPr>
          <w:rFonts w:ascii="Book Antiqua" w:hAnsi="Book Antiqua" w:cs="Arial"/>
          <w:sz w:val="22"/>
          <w:szCs w:val="22"/>
        </w:rPr>
        <w:tab/>
        <w:t>The presence of the applicant in the UK is not conducive to the public good because their conduct (including convictions which do not fall within paragraphs S-LR.1.3. to 1.5.), character, associations, or other reasons, make it undesirable to allow them to remain in the UK.”</w:t>
      </w:r>
    </w:p>
    <w:p w:rsidR="00EE4DB4" w:rsidRDefault="00B824B5" w:rsidP="00B824B5">
      <w:pPr>
        <w:numPr>
          <w:ilvl w:val="0"/>
          <w:numId w:val="5"/>
        </w:numPr>
        <w:tabs>
          <w:tab w:val="left" w:pos="567"/>
        </w:tabs>
        <w:jc w:val="both"/>
        <w:rPr>
          <w:rFonts w:ascii="Book Antiqua" w:hAnsi="Book Antiqua" w:cs="Arial"/>
        </w:rPr>
      </w:pPr>
      <w:r>
        <w:rPr>
          <w:rFonts w:ascii="Book Antiqua" w:hAnsi="Book Antiqua" w:cs="Arial"/>
        </w:rPr>
        <w:t>I have found the a</w:t>
      </w:r>
      <w:r w:rsidR="00EE4DB4">
        <w:rPr>
          <w:rFonts w:ascii="Book Antiqua" w:hAnsi="Book Antiqua" w:cs="Arial"/>
        </w:rPr>
        <w:t>ppellant to have exercised deception and to have b</w:t>
      </w:r>
      <w:r>
        <w:rPr>
          <w:rFonts w:ascii="Book Antiqua" w:hAnsi="Book Antiqua" w:cs="Arial"/>
        </w:rPr>
        <w:t>een party to fraud.  I appreciate</w:t>
      </w:r>
      <w:r w:rsidR="00EE4DB4">
        <w:rPr>
          <w:rFonts w:ascii="Book Antiqua" w:hAnsi="Book Antiqua" w:cs="Arial"/>
        </w:rPr>
        <w:t xml:space="preserve"> that </w:t>
      </w:r>
      <w:r>
        <w:rPr>
          <w:rFonts w:ascii="Book Antiqua" w:hAnsi="Book Antiqua" w:cs="Arial"/>
        </w:rPr>
        <w:t>he</w:t>
      </w:r>
      <w:r w:rsidR="00EE4DB4">
        <w:rPr>
          <w:rFonts w:ascii="Book Antiqua" w:hAnsi="Book Antiqua" w:cs="Arial"/>
        </w:rPr>
        <w:t xml:space="preserve"> was not the organiser of the fraud, that this was a widespread fraud and that many others </w:t>
      </w:r>
      <w:r>
        <w:rPr>
          <w:rFonts w:ascii="Book Antiqua" w:hAnsi="Book Antiqua" w:cs="Arial"/>
        </w:rPr>
        <w:t>took advantage of the</w:t>
      </w:r>
      <w:r w:rsidR="00EE4DB4">
        <w:rPr>
          <w:rFonts w:ascii="Book Antiqua" w:hAnsi="Book Antiqua" w:cs="Arial"/>
        </w:rPr>
        <w:t xml:space="preserve"> fraudulent enterprise. </w:t>
      </w:r>
      <w:r>
        <w:rPr>
          <w:rFonts w:ascii="Book Antiqua" w:hAnsi="Book Antiqua" w:cs="Arial"/>
        </w:rPr>
        <w:t xml:space="preserve">  In my view the deception is nonetheless serious as it was</w:t>
      </w:r>
      <w:r w:rsidR="00EE4DB4">
        <w:rPr>
          <w:rFonts w:ascii="Book Antiqua" w:hAnsi="Book Antiqua" w:cs="Arial"/>
        </w:rPr>
        <w:t xml:space="preserve"> perpetrated with a view to circumventing the requirements of the Rules and therefore undermining the system of immigration control.</w:t>
      </w:r>
      <w:r>
        <w:rPr>
          <w:rFonts w:ascii="Book Antiqua" w:hAnsi="Book Antiqua" w:cs="Arial"/>
        </w:rPr>
        <w:t xml:space="preserve">  Furthermore</w:t>
      </w:r>
      <w:r w:rsidR="00E2585E">
        <w:rPr>
          <w:rFonts w:ascii="Book Antiqua" w:hAnsi="Book Antiqua" w:cs="Arial"/>
        </w:rPr>
        <w:t>,</w:t>
      </w:r>
      <w:r>
        <w:rPr>
          <w:rFonts w:ascii="Book Antiqua" w:hAnsi="Book Antiqua" w:cs="Arial"/>
        </w:rPr>
        <w:t xml:space="preserve"> the appellant has continued to lie about the 2012 certificate b</w:t>
      </w:r>
      <w:r w:rsidR="00E2585E">
        <w:rPr>
          <w:rFonts w:ascii="Book Antiqua" w:hAnsi="Book Antiqua" w:cs="Arial"/>
        </w:rPr>
        <w:t>oth before the FTT and before the Upper Tribunal</w:t>
      </w:r>
      <w:r>
        <w:rPr>
          <w:rFonts w:ascii="Book Antiqua" w:hAnsi="Book Antiqua" w:cs="Arial"/>
        </w:rPr>
        <w:t>.</w:t>
      </w:r>
    </w:p>
    <w:p w:rsidR="00EE4DB4" w:rsidRDefault="00EE4DB4" w:rsidP="00EE4DB4">
      <w:pPr>
        <w:tabs>
          <w:tab w:val="left" w:pos="567"/>
        </w:tabs>
        <w:ind w:left="927"/>
        <w:jc w:val="both"/>
        <w:rPr>
          <w:rFonts w:ascii="Book Antiqua" w:hAnsi="Book Antiqua" w:cs="Arial"/>
        </w:rPr>
      </w:pPr>
    </w:p>
    <w:p w:rsidR="00455B98" w:rsidRDefault="00B824B5" w:rsidP="00455B98">
      <w:pPr>
        <w:numPr>
          <w:ilvl w:val="0"/>
          <w:numId w:val="5"/>
        </w:numPr>
        <w:tabs>
          <w:tab w:val="left" w:pos="567"/>
        </w:tabs>
        <w:jc w:val="both"/>
        <w:rPr>
          <w:rFonts w:ascii="Book Antiqua" w:hAnsi="Book Antiqua" w:cs="Arial"/>
        </w:rPr>
      </w:pPr>
      <w:r>
        <w:rPr>
          <w:rFonts w:ascii="Book Antiqua" w:hAnsi="Book Antiqua" w:cs="Arial"/>
        </w:rPr>
        <w:t>Since the a</w:t>
      </w:r>
      <w:r w:rsidR="00EE4DB4">
        <w:rPr>
          <w:rFonts w:ascii="Book Antiqua" w:hAnsi="Book Antiqua" w:cs="Arial"/>
        </w:rPr>
        <w:t xml:space="preserve">ppellant </w:t>
      </w:r>
      <w:r>
        <w:rPr>
          <w:rFonts w:ascii="Book Antiqua" w:hAnsi="Book Antiqua" w:cs="Arial"/>
        </w:rPr>
        <w:t>is unable to meet the suita</w:t>
      </w:r>
      <w:r w:rsidR="00EE4DB4">
        <w:rPr>
          <w:rFonts w:ascii="Book Antiqua" w:hAnsi="Book Antiqua" w:cs="Arial"/>
        </w:rPr>
        <w:t xml:space="preserve">bility </w:t>
      </w:r>
      <w:r>
        <w:rPr>
          <w:rFonts w:ascii="Book Antiqua" w:hAnsi="Book Antiqua" w:cs="Arial"/>
        </w:rPr>
        <w:t>requirements, it follows that he is unable to benefit from</w:t>
      </w:r>
      <w:r w:rsidR="00EE4DB4">
        <w:rPr>
          <w:rFonts w:ascii="Book Antiqua" w:hAnsi="Book Antiqua" w:cs="Arial"/>
        </w:rPr>
        <w:t xml:space="preserve"> paragraph EX.1. of Appendix FM</w:t>
      </w:r>
      <w:r>
        <w:rPr>
          <w:rFonts w:ascii="Book Antiqua" w:hAnsi="Book Antiqua" w:cs="Arial"/>
        </w:rPr>
        <w:t>.  Mr Collins acknowledged this and that the appellant did not meet the requirements of paragraph 276ADE</w:t>
      </w:r>
      <w:r w:rsidR="00B8596B">
        <w:rPr>
          <w:rFonts w:ascii="Book Antiqua" w:hAnsi="Book Antiqua" w:cs="Arial"/>
        </w:rPr>
        <w:t>.</w:t>
      </w:r>
    </w:p>
    <w:p w:rsidR="00455B98" w:rsidRDefault="00455B98" w:rsidP="00455B98">
      <w:pPr>
        <w:tabs>
          <w:tab w:val="left" w:pos="567"/>
        </w:tabs>
        <w:ind w:right="567"/>
        <w:jc w:val="both"/>
        <w:rPr>
          <w:rFonts w:ascii="Book Antiqua" w:hAnsi="Book Antiqua"/>
          <w:bCs/>
          <w:i/>
        </w:rPr>
      </w:pPr>
    </w:p>
    <w:p w:rsidR="00455B98" w:rsidRPr="00BD1B6E" w:rsidRDefault="00455B98" w:rsidP="00455B98">
      <w:pPr>
        <w:tabs>
          <w:tab w:val="left" w:pos="567"/>
        </w:tabs>
        <w:ind w:right="567"/>
        <w:jc w:val="both"/>
        <w:rPr>
          <w:rFonts w:ascii="Book Antiqua" w:hAnsi="Book Antiqua"/>
          <w:bCs/>
          <w:i/>
        </w:rPr>
      </w:pPr>
      <w:r w:rsidRPr="00BD1B6E">
        <w:rPr>
          <w:rFonts w:ascii="Book Antiqua" w:hAnsi="Book Antiqua"/>
          <w:bCs/>
          <w:i/>
        </w:rPr>
        <w:t>Best interests</w:t>
      </w:r>
      <w:r w:rsidRPr="00BD1B6E">
        <w:rPr>
          <w:rFonts w:ascii="Book Antiqua" w:hAnsi="Book Antiqua" w:cs="Arial"/>
          <w:i/>
          <w:lang w:val="en-US"/>
        </w:rPr>
        <w:t xml:space="preserve"> </w:t>
      </w:r>
    </w:p>
    <w:p w:rsidR="00455B98" w:rsidRDefault="00455B98" w:rsidP="000801C7">
      <w:pPr>
        <w:rPr>
          <w:rFonts w:ascii="Book Antiqua" w:hAnsi="Book Antiqua" w:cs="Arial"/>
          <w:lang w:val="en-US"/>
        </w:rPr>
      </w:pPr>
    </w:p>
    <w:p w:rsidR="00455B98" w:rsidRPr="000801C7" w:rsidRDefault="002874F9" w:rsidP="003A52BD">
      <w:pPr>
        <w:numPr>
          <w:ilvl w:val="0"/>
          <w:numId w:val="5"/>
        </w:numPr>
        <w:tabs>
          <w:tab w:val="left" w:pos="567"/>
        </w:tabs>
        <w:ind w:left="924" w:hanging="357"/>
        <w:jc w:val="both"/>
        <w:rPr>
          <w:rFonts w:ascii="Book Antiqua" w:hAnsi="Book Antiqua"/>
          <w:lang w:val="en-US"/>
        </w:rPr>
      </w:pPr>
      <w:r w:rsidRPr="00455B98">
        <w:rPr>
          <w:rFonts w:ascii="Book Antiqua" w:hAnsi="Book Antiqua" w:cs="Arial"/>
          <w:lang w:val="en-US"/>
        </w:rPr>
        <w:t xml:space="preserve">I have applied the relevant general principles when considering the best interests of A and B, in the context of an Article 8 evaluation.  These have recently been </w:t>
      </w:r>
      <w:proofErr w:type="spellStart"/>
      <w:r w:rsidRPr="00455B98">
        <w:rPr>
          <w:rFonts w:ascii="Book Antiqua" w:hAnsi="Book Antiqua" w:cs="Arial"/>
          <w:lang w:val="en-US"/>
        </w:rPr>
        <w:t>summarised</w:t>
      </w:r>
      <w:proofErr w:type="spellEnd"/>
      <w:r w:rsidRPr="00455B98">
        <w:rPr>
          <w:rFonts w:ascii="Book Antiqua" w:hAnsi="Book Antiqua" w:cs="Arial"/>
          <w:lang w:val="en-US"/>
        </w:rPr>
        <w:t xml:space="preserve"> by </w:t>
      </w:r>
      <w:proofErr w:type="spellStart"/>
      <w:r w:rsidRPr="00455B98">
        <w:rPr>
          <w:rFonts w:ascii="Book Antiqua" w:hAnsi="Book Antiqua" w:cs="Arial"/>
          <w:lang w:val="en-US"/>
        </w:rPr>
        <w:t>Kitchin</w:t>
      </w:r>
      <w:proofErr w:type="spellEnd"/>
      <w:r w:rsidRPr="00455B98">
        <w:rPr>
          <w:rFonts w:ascii="Book Antiqua" w:hAnsi="Book Antiqua" w:cs="Arial"/>
          <w:lang w:val="en-US"/>
        </w:rPr>
        <w:t xml:space="preserve"> LJ in </w:t>
      </w:r>
      <w:r w:rsidRPr="00455B98">
        <w:rPr>
          <w:rFonts w:ascii="Book Antiqua" w:hAnsi="Book Antiqua" w:cs="Arial"/>
          <w:u w:val="single"/>
          <w:lang w:val="en-US"/>
        </w:rPr>
        <w:t>TA (Sri Lanka) v SSHD</w:t>
      </w:r>
      <w:r w:rsidRPr="00455B98">
        <w:rPr>
          <w:rFonts w:ascii="Book Antiqua" w:hAnsi="Book Antiqua" w:cs="Arial"/>
          <w:lang w:val="en-US"/>
        </w:rPr>
        <w:t xml:space="preserve"> [2018] EWCA </w:t>
      </w:r>
      <w:proofErr w:type="spellStart"/>
      <w:r w:rsidRPr="00455B98">
        <w:rPr>
          <w:rFonts w:ascii="Book Antiqua" w:hAnsi="Book Antiqua" w:cs="Arial"/>
          <w:lang w:val="en-US"/>
        </w:rPr>
        <w:t>Civ</w:t>
      </w:r>
      <w:proofErr w:type="spellEnd"/>
      <w:r w:rsidRPr="00455B98">
        <w:rPr>
          <w:rFonts w:ascii="Book Antiqua" w:hAnsi="Book Antiqua" w:cs="Arial"/>
          <w:lang w:val="en-US"/>
        </w:rPr>
        <w:t xml:space="preserve"> 260 at [22] as follows:</w:t>
      </w:r>
      <w:bookmarkStart w:id="1" w:name="para22"/>
    </w:p>
    <w:p w:rsidR="00455B98" w:rsidRPr="003A52BD" w:rsidRDefault="002874F9" w:rsidP="003A52BD">
      <w:pPr>
        <w:tabs>
          <w:tab w:val="left" w:pos="567"/>
        </w:tabs>
        <w:spacing w:before="120" w:after="120"/>
        <w:ind w:left="1418"/>
        <w:jc w:val="both"/>
        <w:rPr>
          <w:rFonts w:ascii="Book Antiqua" w:hAnsi="Book Antiqua" w:cs="Arial"/>
          <w:sz w:val="22"/>
          <w:szCs w:val="22"/>
        </w:rPr>
      </w:pPr>
      <w:r w:rsidRPr="00455B98">
        <w:rPr>
          <w:rFonts w:ascii="Book Antiqua" w:hAnsi="Book Antiqua" w:cs="Arial"/>
          <w:sz w:val="22"/>
          <w:szCs w:val="22"/>
        </w:rPr>
        <w:t xml:space="preserve">“In particular, the respondent has an overriding obligation to have regard to the welfare of a child in the exercise of her various statutory functions. The best interests of a child are therefore an integral part of the proportionality assessment under Article 8. In carrying out that assessment it is important to have a clear idea of a child's circumstances and of what is in a child's best interests before determining whether those interests are outweighed by the force of other considerations. In carrying out </w:t>
      </w:r>
      <w:r w:rsidRPr="00455B98">
        <w:rPr>
          <w:rFonts w:ascii="Book Antiqua" w:hAnsi="Book Antiqua" w:cs="Arial"/>
          <w:sz w:val="22"/>
          <w:szCs w:val="22"/>
        </w:rPr>
        <w:lastRenderedPageBreak/>
        <w:t>that evaluation, the best interests of the child must be a primary consideration although not necessarily the only primary consideration. It necessarily follows that the best interests of a child can be outweighed by the cumulative effect of other considerations; but no consideration can be treated as inherently more significant than the child's best interests. Ultimately the decision maker must carry out a careful examination and evaluation of all relevant factors with these principles in mind. The question is whether, having regard to the foregoing, there are compelling circumstances which justify the grant of leave to remain outside the immigration rules.</w:t>
      </w:r>
      <w:bookmarkEnd w:id="1"/>
      <w:r w:rsidRPr="00455B98">
        <w:rPr>
          <w:rFonts w:ascii="Book Antiqua" w:hAnsi="Book Antiqua" w:cs="Arial"/>
          <w:sz w:val="22"/>
          <w:szCs w:val="22"/>
        </w:rPr>
        <w:t>”</w:t>
      </w:r>
    </w:p>
    <w:p w:rsidR="00455B98" w:rsidRPr="000801C7" w:rsidRDefault="002874F9" w:rsidP="003A52BD">
      <w:pPr>
        <w:numPr>
          <w:ilvl w:val="0"/>
          <w:numId w:val="5"/>
        </w:numPr>
        <w:tabs>
          <w:tab w:val="left" w:pos="567"/>
        </w:tabs>
        <w:ind w:left="924" w:hanging="357"/>
        <w:jc w:val="both"/>
        <w:rPr>
          <w:rFonts w:ascii="Book Antiqua" w:hAnsi="Book Antiqua"/>
          <w:lang w:val="en-US"/>
        </w:rPr>
      </w:pPr>
      <w:r>
        <w:rPr>
          <w:rFonts w:ascii="Book Antiqua" w:hAnsi="Book Antiqua" w:cs="Arial"/>
          <w:lang w:val="en-US"/>
        </w:rPr>
        <w:t xml:space="preserve">Having considered all the relevant circumstances, I find that the children’s best interests are </w:t>
      </w:r>
      <w:r w:rsidRPr="000502D1">
        <w:rPr>
          <w:rFonts w:ascii="Book Antiqua" w:hAnsi="Book Antiqua" w:cs="Arial"/>
          <w:lang w:val="en-US"/>
        </w:rPr>
        <w:t>served by remaining in the UK</w:t>
      </w:r>
      <w:r>
        <w:rPr>
          <w:rFonts w:ascii="Book Antiqua" w:hAnsi="Book Antiqua" w:cs="Arial"/>
          <w:lang w:val="en-US"/>
        </w:rPr>
        <w:t>, by a very wide margin</w:t>
      </w:r>
      <w:r w:rsidRPr="000502D1">
        <w:rPr>
          <w:rFonts w:ascii="Book Antiqua" w:hAnsi="Book Antiqua" w:cs="Arial"/>
          <w:lang w:val="en-US"/>
        </w:rPr>
        <w:t>. The</w:t>
      </w:r>
      <w:r>
        <w:rPr>
          <w:rFonts w:ascii="Book Antiqua" w:hAnsi="Book Antiqua" w:cs="Arial"/>
          <w:lang w:val="en-US"/>
        </w:rPr>
        <w:t>re are five</w:t>
      </w:r>
      <w:r w:rsidRPr="000502D1">
        <w:rPr>
          <w:rFonts w:ascii="Book Antiqua" w:hAnsi="Book Antiqua" w:cs="Arial"/>
          <w:lang w:val="en-US"/>
        </w:rPr>
        <w:t xml:space="preserve"> dominant factors</w:t>
      </w:r>
      <w:r>
        <w:rPr>
          <w:rFonts w:ascii="Book Antiqua" w:hAnsi="Book Antiqua" w:cs="Arial"/>
          <w:lang w:val="en-US"/>
        </w:rPr>
        <w:t>:</w:t>
      </w:r>
      <w:r w:rsidRPr="000502D1">
        <w:rPr>
          <w:rFonts w:ascii="Book Antiqua" w:hAnsi="Book Antiqua" w:cs="Arial"/>
          <w:lang w:val="en-US"/>
        </w:rPr>
        <w:t xml:space="preserve"> </w:t>
      </w:r>
    </w:p>
    <w:p w:rsidR="00455B98" w:rsidRPr="000801C7" w:rsidRDefault="002874F9" w:rsidP="003A52BD">
      <w:pPr>
        <w:numPr>
          <w:ilvl w:val="0"/>
          <w:numId w:val="31"/>
        </w:numPr>
        <w:spacing w:before="120" w:after="120"/>
        <w:ind w:left="2268" w:hanging="850"/>
        <w:jc w:val="both"/>
        <w:rPr>
          <w:rFonts w:ascii="Book Antiqua" w:hAnsi="Book Antiqua"/>
          <w:lang w:val="en-US"/>
        </w:rPr>
      </w:pPr>
      <w:r w:rsidRPr="00455B98">
        <w:rPr>
          <w:rFonts w:ascii="Book Antiqua" w:hAnsi="Book Antiqua" w:cs="Arial"/>
          <w:lang w:val="en-US"/>
        </w:rPr>
        <w:t>The children are British citizens</w:t>
      </w:r>
      <w:r w:rsidR="00490949" w:rsidRPr="00455B98">
        <w:rPr>
          <w:rFonts w:ascii="Book Antiqua" w:hAnsi="Book Antiqua" w:cs="Arial"/>
          <w:lang w:val="en-US"/>
        </w:rPr>
        <w:t xml:space="preserve"> – see </w:t>
      </w:r>
      <w:r w:rsidR="00490949" w:rsidRPr="00455B98">
        <w:rPr>
          <w:rFonts w:ascii="Book Antiqua" w:hAnsi="Book Antiqua" w:cs="Arial"/>
        </w:rPr>
        <w:t xml:space="preserve">the importance of British citizenship as underlined in the speech of Lady Hale in </w:t>
      </w:r>
      <w:r w:rsidR="00490949" w:rsidRPr="00455B98">
        <w:rPr>
          <w:rFonts w:ascii="Book Antiqua" w:hAnsi="Book Antiqua" w:cs="Arial"/>
          <w:u w:val="single"/>
        </w:rPr>
        <w:t>ZH (Tanzania) v SSHD</w:t>
      </w:r>
      <w:r w:rsidR="00490949" w:rsidRPr="00455B98">
        <w:rPr>
          <w:rFonts w:ascii="Book Antiqua" w:hAnsi="Book Antiqua" w:cs="Arial"/>
        </w:rPr>
        <w:t xml:space="preserve"> [2011] UKSC 4 at [32] to [34]</w:t>
      </w:r>
      <w:r w:rsidRPr="00455B98">
        <w:rPr>
          <w:rFonts w:ascii="Book Antiqua" w:hAnsi="Book Antiqua" w:cs="Arial"/>
          <w:lang w:val="en-US"/>
        </w:rPr>
        <w:t xml:space="preserve">. </w:t>
      </w:r>
      <w:r w:rsidR="00D8549B" w:rsidRPr="00455B98">
        <w:rPr>
          <w:rFonts w:ascii="Book Antiqua" w:hAnsi="Book Antiqua" w:cs="Arial"/>
          <w:lang w:val="en-US"/>
        </w:rPr>
        <w:t xml:space="preserve">  Like the instant case, </w:t>
      </w:r>
      <w:r w:rsidR="00D8549B" w:rsidRPr="00455B98">
        <w:rPr>
          <w:rFonts w:ascii="Book Antiqua" w:hAnsi="Book Antiqua" w:cs="Arial"/>
          <w:u w:val="single"/>
        </w:rPr>
        <w:t xml:space="preserve">ZH </w:t>
      </w:r>
      <w:r w:rsidR="00D8549B" w:rsidRPr="00455B98">
        <w:rPr>
          <w:rFonts w:ascii="Book Antiqua" w:hAnsi="Book Antiqua" w:cs="Arial"/>
        </w:rPr>
        <w:t>was a case of removal where the parents were estranged and the child would therefore be separated from one parent if the other were removed.</w:t>
      </w:r>
    </w:p>
    <w:p w:rsidR="00455B98" w:rsidRPr="000801C7" w:rsidRDefault="002874F9" w:rsidP="003A52BD">
      <w:pPr>
        <w:numPr>
          <w:ilvl w:val="0"/>
          <w:numId w:val="31"/>
        </w:numPr>
        <w:spacing w:before="120" w:after="120"/>
        <w:ind w:left="2268" w:hanging="850"/>
        <w:jc w:val="both"/>
        <w:rPr>
          <w:rFonts w:ascii="Book Antiqua" w:hAnsi="Book Antiqua"/>
          <w:lang w:val="en-US"/>
        </w:rPr>
      </w:pPr>
      <w:r w:rsidRPr="00455B98">
        <w:rPr>
          <w:rFonts w:ascii="Book Antiqua" w:hAnsi="Book Antiqua" w:cs="Arial"/>
          <w:lang w:val="en-US"/>
        </w:rPr>
        <w:t xml:space="preserve">The children who were born in the UK and have spent the entirety of their lives (12 and 14), and perhaps the most formative time of their lives here. </w:t>
      </w:r>
    </w:p>
    <w:p w:rsidR="00455B98" w:rsidRPr="000801C7" w:rsidRDefault="002874F9" w:rsidP="003A52BD">
      <w:pPr>
        <w:numPr>
          <w:ilvl w:val="0"/>
          <w:numId w:val="31"/>
        </w:numPr>
        <w:spacing w:before="120" w:after="120"/>
        <w:ind w:left="2268" w:hanging="850"/>
        <w:jc w:val="both"/>
        <w:rPr>
          <w:rFonts w:ascii="Book Antiqua" w:hAnsi="Book Antiqua"/>
          <w:lang w:val="en-US"/>
        </w:rPr>
      </w:pPr>
      <w:r w:rsidRPr="00455B98">
        <w:rPr>
          <w:rFonts w:ascii="Book Antiqua" w:hAnsi="Book Antiqua" w:cs="Arial"/>
          <w:lang w:val="en-US"/>
        </w:rPr>
        <w:t xml:space="preserve">The children have become accustomed to and enjoy a </w:t>
      </w:r>
      <w:proofErr w:type="gramStart"/>
      <w:r w:rsidRPr="00455B98">
        <w:rPr>
          <w:rFonts w:ascii="Book Antiqua" w:hAnsi="Book Antiqua" w:cs="Arial"/>
          <w:lang w:val="en-US"/>
        </w:rPr>
        <w:t>particular family</w:t>
      </w:r>
      <w:proofErr w:type="gramEnd"/>
      <w:r w:rsidRPr="00455B98">
        <w:rPr>
          <w:rFonts w:ascii="Book Antiqua" w:hAnsi="Book Antiqua" w:cs="Arial"/>
          <w:lang w:val="en-US"/>
        </w:rPr>
        <w:t xml:space="preserve"> arrangement in the UK that enables them to have a significant relationship with their biological British citizen father on both days of most weekends, whilst living with their British citizen mother.  If they leave the UK to settle with their mother and step-father this will inevitably significantly disrupt their family life with their father</w:t>
      </w:r>
      <w:r w:rsidR="008A3329" w:rsidRPr="00455B98">
        <w:rPr>
          <w:rFonts w:ascii="Book Antiqua" w:hAnsi="Book Antiqua" w:cs="Arial"/>
          <w:lang w:val="en-US"/>
        </w:rPr>
        <w:t>.</w:t>
      </w:r>
      <w:r w:rsidR="00E2585E">
        <w:rPr>
          <w:rFonts w:ascii="Book Antiqua" w:hAnsi="Book Antiqua" w:cs="Arial"/>
          <w:lang w:val="en-US"/>
        </w:rPr>
        <w:t xml:space="preserve">  </w:t>
      </w:r>
    </w:p>
    <w:p w:rsidR="00455B98" w:rsidRPr="000801C7" w:rsidRDefault="008A3329" w:rsidP="003A52BD">
      <w:pPr>
        <w:numPr>
          <w:ilvl w:val="0"/>
          <w:numId w:val="31"/>
        </w:numPr>
        <w:spacing w:before="120" w:after="120"/>
        <w:ind w:left="2268" w:hanging="850"/>
        <w:jc w:val="both"/>
        <w:rPr>
          <w:rFonts w:ascii="Book Antiqua" w:hAnsi="Book Antiqua"/>
          <w:lang w:val="en-US"/>
        </w:rPr>
      </w:pPr>
      <w:r w:rsidRPr="00455B98">
        <w:rPr>
          <w:rFonts w:ascii="Book Antiqua" w:hAnsi="Book Antiqua" w:cs="Arial"/>
          <w:lang w:val="en-US"/>
        </w:rPr>
        <w:t>The children must have some ties to India given the background of their parents</w:t>
      </w:r>
      <w:r w:rsidR="00455B98">
        <w:rPr>
          <w:rFonts w:ascii="Book Antiqua" w:hAnsi="Book Antiqua" w:cs="Arial"/>
          <w:lang w:val="en-US"/>
        </w:rPr>
        <w:t xml:space="preserve"> (particularly their mother, who was born in India)</w:t>
      </w:r>
      <w:r w:rsidRPr="00455B98">
        <w:rPr>
          <w:rFonts w:ascii="Book Antiqua" w:hAnsi="Book Antiqua" w:cs="Arial"/>
          <w:lang w:val="en-US"/>
        </w:rPr>
        <w:t xml:space="preserve"> </w:t>
      </w:r>
      <w:r w:rsidR="00E2585E">
        <w:rPr>
          <w:rFonts w:ascii="Book Antiqua" w:hAnsi="Book Antiqua" w:cs="Arial"/>
          <w:lang w:val="en-US"/>
        </w:rPr>
        <w:t xml:space="preserve">and step-father </w:t>
      </w:r>
      <w:r w:rsidRPr="00455B98">
        <w:rPr>
          <w:rFonts w:ascii="Book Antiqua" w:hAnsi="Book Antiqua" w:cs="Arial"/>
          <w:lang w:val="en-US"/>
        </w:rPr>
        <w:t xml:space="preserve">but given their ages and the time spent in the UK must see themselves </w:t>
      </w:r>
      <w:r w:rsidR="002874F9" w:rsidRPr="00455B98">
        <w:rPr>
          <w:rFonts w:ascii="Book Antiqua" w:hAnsi="Book Antiqua" w:cs="Arial"/>
          <w:lang w:val="en-US"/>
        </w:rPr>
        <w:t xml:space="preserve">with an identity based </w:t>
      </w:r>
      <w:r w:rsidRPr="00455B98">
        <w:rPr>
          <w:rFonts w:ascii="Book Antiqua" w:hAnsi="Book Antiqua" w:cs="Arial"/>
          <w:lang w:val="en-US"/>
        </w:rPr>
        <w:t xml:space="preserve">firmly </w:t>
      </w:r>
      <w:r w:rsidR="002874F9" w:rsidRPr="00455B98">
        <w:rPr>
          <w:rFonts w:ascii="Book Antiqua" w:hAnsi="Book Antiqua" w:cs="Arial"/>
          <w:lang w:val="en-US"/>
        </w:rPr>
        <w:t xml:space="preserve">on British multi-cultural society.  </w:t>
      </w:r>
    </w:p>
    <w:p w:rsidR="00455B98" w:rsidRDefault="008A3329" w:rsidP="003A52BD">
      <w:pPr>
        <w:numPr>
          <w:ilvl w:val="0"/>
          <w:numId w:val="31"/>
        </w:numPr>
        <w:spacing w:before="120" w:after="120"/>
        <w:ind w:left="2268" w:hanging="850"/>
        <w:jc w:val="both"/>
        <w:rPr>
          <w:rFonts w:ascii="Book Antiqua" w:hAnsi="Book Antiqua" w:cs="Arial"/>
          <w:lang w:val="en-US"/>
        </w:rPr>
      </w:pPr>
      <w:r w:rsidRPr="00455B98">
        <w:rPr>
          <w:rFonts w:ascii="Book Antiqua" w:hAnsi="Book Antiqua" w:cs="Arial"/>
          <w:lang w:val="en-US"/>
        </w:rPr>
        <w:t xml:space="preserve">The children </w:t>
      </w:r>
      <w:r w:rsidR="002874F9" w:rsidRPr="00455B98">
        <w:rPr>
          <w:rFonts w:ascii="Book Antiqua" w:hAnsi="Book Antiqua" w:cs="Arial"/>
          <w:lang w:val="en-US"/>
        </w:rPr>
        <w:t xml:space="preserve">will find it very difficult to </w:t>
      </w:r>
      <w:r w:rsidRPr="00455B98">
        <w:rPr>
          <w:rFonts w:ascii="Book Antiqua" w:hAnsi="Book Antiqua" w:cs="Arial"/>
          <w:lang w:val="en-US"/>
        </w:rPr>
        <w:t xml:space="preserve">leave the UK at this </w:t>
      </w:r>
      <w:proofErr w:type="gramStart"/>
      <w:r w:rsidRPr="00455B98">
        <w:rPr>
          <w:rFonts w:ascii="Book Antiqua" w:hAnsi="Book Antiqua" w:cs="Arial"/>
          <w:lang w:val="en-US"/>
        </w:rPr>
        <w:t>particular stage</w:t>
      </w:r>
      <w:proofErr w:type="gramEnd"/>
      <w:r w:rsidRPr="00455B98">
        <w:rPr>
          <w:rFonts w:ascii="Book Antiqua" w:hAnsi="Book Antiqua" w:cs="Arial"/>
          <w:lang w:val="en-US"/>
        </w:rPr>
        <w:t xml:space="preserve"> of their</w:t>
      </w:r>
      <w:r w:rsidR="002874F9" w:rsidRPr="00455B98">
        <w:rPr>
          <w:rFonts w:ascii="Book Antiqua" w:hAnsi="Book Antiqua" w:cs="Arial"/>
          <w:lang w:val="en-US"/>
        </w:rPr>
        <w:t xml:space="preserve"> education and childhood.  </w:t>
      </w:r>
    </w:p>
    <w:p w:rsidR="00455B98" w:rsidRPr="00E224B4" w:rsidRDefault="002241A0" w:rsidP="00455B98">
      <w:pPr>
        <w:rPr>
          <w:rFonts w:ascii="Book Antiqua" w:hAnsi="Book Antiqua" w:cs="Arial"/>
          <w:i/>
          <w:lang w:val="en-US"/>
        </w:rPr>
      </w:pPr>
      <w:r>
        <w:rPr>
          <w:rFonts w:ascii="Book Antiqua" w:hAnsi="Book Antiqua" w:cs="Arial"/>
          <w:i/>
          <w:lang w:val="en-US"/>
        </w:rPr>
        <w:t xml:space="preserve">Section 117B </w:t>
      </w:r>
    </w:p>
    <w:p w:rsidR="00455B98" w:rsidRPr="000801C7" w:rsidRDefault="00455B98" w:rsidP="000801C7">
      <w:pPr>
        <w:rPr>
          <w:rFonts w:ascii="Book Antiqua" w:hAnsi="Book Antiqua"/>
          <w:lang w:val="en-US"/>
        </w:rPr>
      </w:pPr>
    </w:p>
    <w:p w:rsidR="00455B98" w:rsidRPr="000801C7" w:rsidRDefault="002874F9" w:rsidP="003A52BD">
      <w:pPr>
        <w:numPr>
          <w:ilvl w:val="0"/>
          <w:numId w:val="5"/>
        </w:numPr>
        <w:tabs>
          <w:tab w:val="left" w:pos="567"/>
        </w:tabs>
        <w:ind w:left="924" w:hanging="357"/>
        <w:jc w:val="both"/>
        <w:rPr>
          <w:rFonts w:ascii="Book Antiqua" w:hAnsi="Book Antiqua"/>
          <w:lang w:val="en-US"/>
        </w:rPr>
      </w:pPr>
      <w:r w:rsidRPr="00455B98">
        <w:rPr>
          <w:rFonts w:ascii="Book Antiqua" w:hAnsi="Book Antiqua" w:cs="Arial"/>
          <w:lang w:val="en-US"/>
        </w:rPr>
        <w:t>Proportionality is the “public interest question” within the meaning of Part 5A of the 2002 Act. By section 117</w:t>
      </w:r>
      <w:proofErr w:type="gramStart"/>
      <w:r w:rsidRPr="00455B98">
        <w:rPr>
          <w:rFonts w:ascii="Book Antiqua" w:hAnsi="Book Antiqua" w:cs="Arial"/>
          <w:lang w:val="en-US"/>
        </w:rPr>
        <w:t>A(</w:t>
      </w:r>
      <w:proofErr w:type="gramEnd"/>
      <w:r w:rsidRPr="00455B98">
        <w:rPr>
          <w:rFonts w:ascii="Book Antiqua" w:hAnsi="Book Antiqua" w:cs="Arial"/>
          <w:lang w:val="en-US"/>
        </w:rPr>
        <w:t xml:space="preserve">2) I am obliged to have regard to the considerations listed in section 117B, and do so below.  </w:t>
      </w:r>
    </w:p>
    <w:p w:rsidR="00455B98" w:rsidRPr="000801C7" w:rsidRDefault="00455B98" w:rsidP="000801C7">
      <w:pPr>
        <w:tabs>
          <w:tab w:val="left" w:pos="567"/>
        </w:tabs>
        <w:ind w:right="567"/>
        <w:jc w:val="both"/>
        <w:rPr>
          <w:rFonts w:ascii="Book Antiqua" w:hAnsi="Book Antiqua"/>
          <w:lang w:val="en-US"/>
        </w:rPr>
      </w:pPr>
    </w:p>
    <w:p w:rsidR="00A24480" w:rsidRDefault="002874F9" w:rsidP="003A52BD">
      <w:pPr>
        <w:numPr>
          <w:ilvl w:val="0"/>
          <w:numId w:val="5"/>
        </w:numPr>
        <w:tabs>
          <w:tab w:val="left" w:pos="567"/>
        </w:tabs>
        <w:ind w:left="924" w:hanging="357"/>
        <w:jc w:val="both"/>
        <w:rPr>
          <w:rFonts w:ascii="Book Antiqua" w:hAnsi="Book Antiqua" w:cs="Arial"/>
          <w:lang w:val="en-US"/>
        </w:rPr>
      </w:pPr>
      <w:r w:rsidRPr="00455B98">
        <w:rPr>
          <w:rFonts w:ascii="Book Antiqua" w:hAnsi="Book Antiqua" w:cs="Arial"/>
          <w:lang w:val="en-US"/>
        </w:rPr>
        <w:t xml:space="preserve">The public interest in the maintenance of effective immigration controls is </w:t>
      </w:r>
      <w:r w:rsidR="008A3329" w:rsidRPr="00455B98">
        <w:rPr>
          <w:rFonts w:ascii="Book Antiqua" w:hAnsi="Book Antiqua" w:cs="Arial"/>
          <w:lang w:val="en-US"/>
        </w:rPr>
        <w:t xml:space="preserve">directly </w:t>
      </w:r>
      <w:r w:rsidRPr="00455B98">
        <w:rPr>
          <w:rFonts w:ascii="Book Antiqua" w:hAnsi="Book Antiqua" w:cs="Arial"/>
          <w:lang w:val="en-US"/>
        </w:rPr>
        <w:t>engaged</w:t>
      </w:r>
      <w:r w:rsidR="008A3329" w:rsidRPr="00455B98">
        <w:rPr>
          <w:rFonts w:ascii="Book Antiqua" w:hAnsi="Book Antiqua" w:cs="Arial"/>
          <w:lang w:val="en-US"/>
        </w:rPr>
        <w:t xml:space="preserve"> in this case</w:t>
      </w:r>
      <w:r w:rsidRPr="00455B98">
        <w:rPr>
          <w:rFonts w:ascii="Book Antiqua" w:hAnsi="Book Antiqua" w:cs="Arial"/>
          <w:lang w:val="en-US"/>
        </w:rPr>
        <w:t xml:space="preserve">.  </w:t>
      </w:r>
      <w:r w:rsidR="00455B98">
        <w:rPr>
          <w:rFonts w:ascii="Book Antiqua" w:hAnsi="Book Antiqua" w:cs="Arial"/>
          <w:lang w:val="en-US"/>
        </w:rPr>
        <w:t>I have found that the appellant has sought to deliberately avoid lawfully sitting the English language test, a mandatory part of the Immigration Rules.  He has demonstrated a</w:t>
      </w:r>
      <w:r w:rsidR="00A24480">
        <w:rPr>
          <w:rFonts w:ascii="Book Antiqua" w:hAnsi="Book Antiqua" w:cs="Arial"/>
          <w:lang w:val="en-US"/>
        </w:rPr>
        <w:t xml:space="preserve"> blata</w:t>
      </w:r>
      <w:r w:rsidR="00455B98">
        <w:rPr>
          <w:rFonts w:ascii="Book Antiqua" w:hAnsi="Book Antiqua" w:cs="Arial"/>
          <w:lang w:val="en-US"/>
        </w:rPr>
        <w:t xml:space="preserve">nt disregard for the Immigration Rules. </w:t>
      </w:r>
      <w:r w:rsidR="008A3329" w:rsidRPr="00455B98">
        <w:rPr>
          <w:rFonts w:ascii="Book Antiqua" w:hAnsi="Book Antiqua" w:cs="Arial"/>
          <w:lang w:val="en-US"/>
        </w:rPr>
        <w:t>T</w:t>
      </w:r>
      <w:r w:rsidR="00A24480">
        <w:rPr>
          <w:rFonts w:ascii="Book Antiqua" w:hAnsi="Book Antiqua" w:cs="Arial"/>
          <w:lang w:val="en-US"/>
        </w:rPr>
        <w:t>he appellant was in the UK in a t</w:t>
      </w:r>
      <w:r w:rsidR="008A3329" w:rsidRPr="00455B98">
        <w:rPr>
          <w:rFonts w:ascii="Book Antiqua" w:hAnsi="Book Antiqua" w:cs="Arial"/>
          <w:lang w:val="en-US"/>
        </w:rPr>
        <w:t xml:space="preserve">emporary </w:t>
      </w:r>
      <w:r w:rsidR="00A24480">
        <w:rPr>
          <w:rFonts w:ascii="Book Antiqua" w:hAnsi="Book Antiqua" w:cs="Arial"/>
          <w:lang w:val="en-US"/>
        </w:rPr>
        <w:t xml:space="preserve">capacity when commenced a </w:t>
      </w:r>
      <w:r w:rsidR="00A24480">
        <w:rPr>
          <w:rFonts w:ascii="Book Antiqua" w:hAnsi="Book Antiqua" w:cs="Arial"/>
          <w:lang w:val="en-US"/>
        </w:rPr>
        <w:lastRenderedPageBreak/>
        <w:t xml:space="preserve">relationship with M.  He then overstayed in 2015 but after a matter of moths sought to regularize his status. </w:t>
      </w:r>
    </w:p>
    <w:p w:rsidR="00A24480" w:rsidRDefault="00A24480" w:rsidP="000801C7">
      <w:pPr>
        <w:tabs>
          <w:tab w:val="left" w:pos="567"/>
        </w:tabs>
        <w:ind w:left="567" w:right="567"/>
        <w:jc w:val="both"/>
        <w:rPr>
          <w:rFonts w:ascii="Book Antiqua" w:hAnsi="Book Antiqua" w:cs="Arial"/>
          <w:lang w:val="en-US"/>
        </w:rPr>
      </w:pPr>
    </w:p>
    <w:p w:rsidR="00A24480" w:rsidRPr="00E2585E" w:rsidRDefault="008A3329" w:rsidP="003A52BD">
      <w:pPr>
        <w:numPr>
          <w:ilvl w:val="0"/>
          <w:numId w:val="5"/>
        </w:numPr>
        <w:tabs>
          <w:tab w:val="left" w:pos="567"/>
        </w:tabs>
        <w:ind w:left="924" w:hanging="357"/>
        <w:jc w:val="both"/>
        <w:rPr>
          <w:rFonts w:ascii="Book Antiqua" w:hAnsi="Book Antiqua" w:cs="Arial"/>
          <w:lang w:val="en-US"/>
        </w:rPr>
      </w:pPr>
      <w:r w:rsidRPr="00A24480">
        <w:rPr>
          <w:rFonts w:ascii="Book Antiqua" w:hAnsi="Book Antiqua" w:cs="Arial"/>
          <w:lang w:val="en-US"/>
        </w:rPr>
        <w:t>T</w:t>
      </w:r>
      <w:r w:rsidR="002874F9" w:rsidRPr="00A24480">
        <w:rPr>
          <w:rFonts w:ascii="Book Antiqua" w:hAnsi="Book Antiqua" w:cs="Arial"/>
          <w:lang w:val="en-US"/>
        </w:rPr>
        <w:t>here is no infringement of the "English speaking" public interest</w:t>
      </w:r>
      <w:r w:rsidRPr="00A24480">
        <w:rPr>
          <w:rFonts w:ascii="Book Antiqua" w:hAnsi="Book Antiqua" w:cs="Arial"/>
          <w:lang w:val="en-US"/>
        </w:rPr>
        <w:t xml:space="preserve"> as the appellant</w:t>
      </w:r>
      <w:r w:rsidR="002874F9" w:rsidRPr="00A24480">
        <w:rPr>
          <w:rFonts w:ascii="Book Antiqua" w:hAnsi="Book Antiqua" w:cs="Arial"/>
          <w:lang w:val="en-US"/>
        </w:rPr>
        <w:t xml:space="preserve"> speaks fluent English.  The economic interest </w:t>
      </w:r>
      <w:r w:rsidRPr="00A24480">
        <w:rPr>
          <w:rFonts w:ascii="Book Antiqua" w:hAnsi="Book Antiqua" w:cs="Arial"/>
          <w:lang w:val="en-US"/>
        </w:rPr>
        <w:t>is not</w:t>
      </w:r>
      <w:r w:rsidR="002874F9" w:rsidRPr="00A24480">
        <w:rPr>
          <w:rFonts w:ascii="Book Antiqua" w:hAnsi="Book Antiqua" w:cs="Arial"/>
          <w:lang w:val="en-US"/>
        </w:rPr>
        <w:t xml:space="preserve"> engaged </w:t>
      </w:r>
      <w:r w:rsidRPr="00A24480">
        <w:rPr>
          <w:rFonts w:ascii="Book Antiqua" w:hAnsi="Book Antiqua" w:cs="Arial"/>
          <w:lang w:val="en-US"/>
        </w:rPr>
        <w:t>given the income of the family unit.</w:t>
      </w:r>
      <w:r w:rsidR="00A24480">
        <w:rPr>
          <w:rFonts w:ascii="Book Antiqua" w:hAnsi="Book Antiqua" w:cs="Arial"/>
          <w:lang w:val="en-US"/>
        </w:rPr>
        <w:t xml:space="preserve">  I attach limited weight to the appellant’s</w:t>
      </w:r>
      <w:r w:rsidRPr="00A24480">
        <w:rPr>
          <w:rFonts w:ascii="Book Antiqua" w:hAnsi="Book Antiqua" w:cs="Arial"/>
          <w:lang w:val="en-US"/>
        </w:rPr>
        <w:t xml:space="preserve"> private life</w:t>
      </w:r>
      <w:r w:rsidR="00A24480">
        <w:rPr>
          <w:rFonts w:ascii="Book Antiqua" w:hAnsi="Book Antiqua" w:cs="Arial"/>
          <w:lang w:val="en-US"/>
        </w:rPr>
        <w:t xml:space="preserve"> given his precarious status throughout.  In any event, the focus of the appellant’s claim to remain rests firmly upon his family relationship with M and her children</w:t>
      </w:r>
      <w:r w:rsidRPr="00A24480">
        <w:rPr>
          <w:rFonts w:ascii="Book Antiqua" w:hAnsi="Book Antiqua" w:cs="Arial"/>
          <w:lang w:val="en-US"/>
        </w:rPr>
        <w:t>.</w:t>
      </w:r>
      <w:r w:rsidR="00E2585E">
        <w:rPr>
          <w:rFonts w:ascii="Book Antiqua" w:hAnsi="Book Antiqua" w:cs="Arial"/>
          <w:lang w:val="en-US"/>
        </w:rPr>
        <w:t xml:space="preserve">  </w:t>
      </w:r>
      <w:r w:rsidR="00A24480" w:rsidRPr="00E2585E">
        <w:rPr>
          <w:rFonts w:ascii="Book Antiqua" w:hAnsi="Book Antiqua" w:cs="Arial"/>
          <w:lang w:val="en-US"/>
        </w:rPr>
        <w:t>I now turn to section 117</w:t>
      </w:r>
      <w:proofErr w:type="gramStart"/>
      <w:r w:rsidR="00A24480" w:rsidRPr="00E2585E">
        <w:rPr>
          <w:rFonts w:ascii="Book Antiqua" w:hAnsi="Book Antiqua" w:cs="Arial"/>
          <w:lang w:val="en-US"/>
        </w:rPr>
        <w:t>B(</w:t>
      </w:r>
      <w:proofErr w:type="gramEnd"/>
      <w:r w:rsidR="00A24480" w:rsidRPr="00E2585E">
        <w:rPr>
          <w:rFonts w:ascii="Book Antiqua" w:hAnsi="Book Antiqua" w:cs="Arial"/>
          <w:lang w:val="en-US"/>
        </w:rPr>
        <w:t xml:space="preserve">6) in this regard.  </w:t>
      </w:r>
      <w:proofErr w:type="gramStart"/>
      <w:r w:rsidR="00A24480" w:rsidRPr="00E2585E">
        <w:rPr>
          <w:rFonts w:ascii="Book Antiqua" w:hAnsi="Book Antiqua" w:cs="Arial"/>
          <w:lang w:val="en-US"/>
        </w:rPr>
        <w:t>This states</w:t>
      </w:r>
      <w:proofErr w:type="gramEnd"/>
      <w:r w:rsidR="00A24480" w:rsidRPr="00E2585E">
        <w:rPr>
          <w:rFonts w:ascii="Book Antiqua" w:hAnsi="Book Antiqua" w:cs="Arial"/>
          <w:lang w:val="en-US"/>
        </w:rPr>
        <w:t>:</w:t>
      </w:r>
    </w:p>
    <w:p w:rsidR="00A24480" w:rsidRDefault="00A24480" w:rsidP="003A52BD">
      <w:pPr>
        <w:tabs>
          <w:tab w:val="left" w:pos="567"/>
        </w:tabs>
        <w:spacing w:before="120" w:after="120"/>
        <w:ind w:left="1418"/>
        <w:jc w:val="both"/>
        <w:rPr>
          <w:rFonts w:ascii="Book Antiqua" w:hAnsi="Book Antiqua" w:cs="Arial"/>
          <w:sz w:val="22"/>
          <w:szCs w:val="22"/>
        </w:rPr>
      </w:pPr>
      <w:r>
        <w:rPr>
          <w:rFonts w:ascii="Book Antiqua" w:hAnsi="Book Antiqua" w:cs="Arial"/>
          <w:sz w:val="22"/>
          <w:szCs w:val="22"/>
        </w:rPr>
        <w:t xml:space="preserve">“In the case of a person who is not liable to deportation, </w:t>
      </w:r>
      <w:r w:rsidRPr="00C64390">
        <w:rPr>
          <w:rFonts w:ascii="Book Antiqua" w:hAnsi="Book Antiqua" w:cs="Arial"/>
          <w:b/>
          <w:sz w:val="22"/>
          <w:szCs w:val="22"/>
        </w:rPr>
        <w:t>the public interest does not require the person’s removal</w:t>
      </w:r>
      <w:r>
        <w:rPr>
          <w:rFonts w:ascii="Book Antiqua" w:hAnsi="Book Antiqua" w:cs="Arial"/>
          <w:sz w:val="22"/>
          <w:szCs w:val="22"/>
        </w:rPr>
        <w:t xml:space="preserve"> where –</w:t>
      </w:r>
    </w:p>
    <w:p w:rsidR="00A24480" w:rsidRDefault="00A24480" w:rsidP="003A52BD">
      <w:pPr>
        <w:numPr>
          <w:ilvl w:val="2"/>
          <w:numId w:val="5"/>
        </w:numPr>
        <w:tabs>
          <w:tab w:val="clear" w:pos="2697"/>
        </w:tabs>
        <w:spacing w:before="120" w:after="120"/>
        <w:ind w:left="2625" w:hanging="357"/>
        <w:jc w:val="both"/>
        <w:rPr>
          <w:rFonts w:ascii="Book Antiqua" w:hAnsi="Book Antiqua" w:cs="Arial"/>
          <w:sz w:val="22"/>
          <w:szCs w:val="22"/>
        </w:rPr>
      </w:pPr>
      <w:r>
        <w:rPr>
          <w:rFonts w:ascii="Book Antiqua" w:hAnsi="Book Antiqua" w:cs="Arial"/>
          <w:sz w:val="22"/>
          <w:szCs w:val="22"/>
        </w:rPr>
        <w:t>the person has a genuine and subsisting parental relationship with a qualifying child, and</w:t>
      </w:r>
    </w:p>
    <w:p w:rsidR="00A24480" w:rsidRDefault="00A24480" w:rsidP="003A52BD">
      <w:pPr>
        <w:numPr>
          <w:ilvl w:val="2"/>
          <w:numId w:val="5"/>
        </w:numPr>
        <w:tabs>
          <w:tab w:val="clear" w:pos="2697"/>
        </w:tabs>
        <w:spacing w:before="120" w:after="120"/>
        <w:ind w:left="2625" w:hanging="357"/>
        <w:jc w:val="both"/>
        <w:rPr>
          <w:rFonts w:ascii="Book Antiqua" w:hAnsi="Book Antiqua" w:cs="Arial"/>
          <w:sz w:val="22"/>
          <w:szCs w:val="22"/>
        </w:rPr>
      </w:pPr>
      <w:r>
        <w:rPr>
          <w:rFonts w:ascii="Book Antiqua" w:hAnsi="Book Antiqua" w:cs="Arial"/>
          <w:sz w:val="22"/>
          <w:szCs w:val="22"/>
        </w:rPr>
        <w:t>it would not be reasonable to expect the child to leave the United Kingdom.”</w:t>
      </w:r>
    </w:p>
    <w:p w:rsidR="006806BA" w:rsidRPr="000801C7" w:rsidRDefault="00A24480" w:rsidP="003A52BD">
      <w:pPr>
        <w:numPr>
          <w:ilvl w:val="0"/>
          <w:numId w:val="5"/>
        </w:numPr>
        <w:tabs>
          <w:tab w:val="left" w:pos="567"/>
        </w:tabs>
        <w:ind w:left="924" w:hanging="357"/>
        <w:jc w:val="both"/>
        <w:rPr>
          <w:rFonts w:ascii="Book Antiqua" w:hAnsi="Book Antiqua"/>
        </w:rPr>
      </w:pPr>
      <w:r>
        <w:rPr>
          <w:rFonts w:ascii="Book Antiqua" w:hAnsi="Book Antiqua" w:cs="Arial"/>
          <w:lang w:val="en-US"/>
        </w:rPr>
        <w:t xml:space="preserve">The appellant </w:t>
      </w:r>
      <w:r w:rsidRPr="000801C7">
        <w:rPr>
          <w:rFonts w:ascii="Book Antiqua" w:hAnsi="Book Antiqua"/>
        </w:rPr>
        <w:t xml:space="preserve">is not </w:t>
      </w:r>
      <w:r>
        <w:rPr>
          <w:rFonts w:ascii="Book Antiqua" w:hAnsi="Book Antiqua" w:cs="Arial"/>
          <w:lang w:val="en-US"/>
        </w:rPr>
        <w:t xml:space="preserve">liable to </w:t>
      </w:r>
      <w:r w:rsidRPr="000801C7">
        <w:rPr>
          <w:rFonts w:ascii="Book Antiqua" w:hAnsi="Book Antiqua"/>
        </w:rPr>
        <w:t>deportation</w:t>
      </w:r>
      <w:r w:rsidRPr="00EE0174">
        <w:rPr>
          <w:rFonts w:ascii="Book Antiqua" w:hAnsi="Book Antiqua" w:cs="Arial"/>
          <w:lang w:val="en-US"/>
        </w:rPr>
        <w:t xml:space="preserve">.  He has a genuine and subsisting relationship with two qualifying children.  The only issue in dispute is </w:t>
      </w:r>
      <w:r w:rsidRPr="000801C7">
        <w:rPr>
          <w:rFonts w:ascii="Book Antiqua" w:hAnsi="Book Antiqua"/>
        </w:rPr>
        <w:t xml:space="preserve">whether it </w:t>
      </w:r>
      <w:r w:rsidRPr="00EE0174">
        <w:rPr>
          <w:rFonts w:ascii="Book Antiqua" w:hAnsi="Book Antiqua" w:cs="Arial"/>
          <w:lang w:val="en-US"/>
        </w:rPr>
        <w:t>would be</w:t>
      </w:r>
      <w:r w:rsidRPr="000801C7">
        <w:rPr>
          <w:rFonts w:ascii="Book Antiqua" w:hAnsi="Book Antiqua"/>
        </w:rPr>
        <w:t xml:space="preserve"> reasonable to expect </w:t>
      </w:r>
      <w:r w:rsidRPr="00EE0174">
        <w:rPr>
          <w:rFonts w:ascii="Book Antiqua" w:hAnsi="Book Antiqua" w:cs="Arial"/>
          <w:lang w:val="en-US"/>
        </w:rPr>
        <w:t>them</w:t>
      </w:r>
      <w:r w:rsidRPr="000801C7">
        <w:rPr>
          <w:rFonts w:ascii="Book Antiqua" w:hAnsi="Book Antiqua"/>
        </w:rPr>
        <w:t xml:space="preserve"> to leave the UK</w:t>
      </w:r>
      <w:r w:rsidRPr="00EE0174">
        <w:rPr>
          <w:rFonts w:ascii="Book Antiqua" w:hAnsi="Book Antiqua" w:cs="Arial"/>
          <w:lang w:val="en-US"/>
        </w:rPr>
        <w:t>.</w:t>
      </w:r>
      <w:r w:rsidRPr="000801C7">
        <w:rPr>
          <w:rFonts w:ascii="Book Antiqua" w:hAnsi="Book Antiqua"/>
        </w:rPr>
        <w:t xml:space="preserve">  In </w:t>
      </w:r>
      <w:r w:rsidRPr="00EE0174">
        <w:rPr>
          <w:rFonts w:ascii="Book Antiqua" w:hAnsi="Book Antiqua" w:cs="Arial"/>
          <w:lang w:val="en-US"/>
        </w:rPr>
        <w:t xml:space="preserve">determining </w:t>
      </w:r>
      <w:r w:rsidRPr="000801C7">
        <w:rPr>
          <w:rFonts w:ascii="Book Antiqua" w:hAnsi="Book Antiqua"/>
        </w:rPr>
        <w:t xml:space="preserve">this </w:t>
      </w:r>
      <w:proofErr w:type="gramStart"/>
      <w:r w:rsidRPr="00EE0174">
        <w:rPr>
          <w:rFonts w:ascii="Book Antiqua" w:hAnsi="Book Antiqua" w:cs="Arial"/>
          <w:lang w:val="en-US"/>
        </w:rPr>
        <w:t>issue</w:t>
      </w:r>
      <w:proofErr w:type="gramEnd"/>
      <w:r w:rsidRPr="000801C7">
        <w:rPr>
          <w:rFonts w:ascii="Book Antiqua" w:hAnsi="Book Antiqua"/>
        </w:rPr>
        <w:t xml:space="preserve"> I am </w:t>
      </w:r>
      <w:r w:rsidRPr="00EE0174">
        <w:rPr>
          <w:rFonts w:ascii="Book Antiqua" w:hAnsi="Book Antiqua" w:cs="Arial"/>
          <w:lang w:val="en-US"/>
        </w:rPr>
        <w:t>obliged</w:t>
      </w:r>
      <w:r w:rsidR="006806BA" w:rsidRPr="00EE0174">
        <w:rPr>
          <w:rFonts w:ascii="Book Antiqua" w:hAnsi="Book Antiqua" w:cs="Arial"/>
          <w:lang w:val="en-US"/>
        </w:rPr>
        <w:t xml:space="preserve"> to apply the </w:t>
      </w:r>
      <w:r w:rsidR="006806BA" w:rsidRPr="000801C7">
        <w:rPr>
          <w:rFonts w:ascii="Book Antiqua" w:hAnsi="Book Antiqua"/>
        </w:rPr>
        <w:t xml:space="preserve">approach </w:t>
      </w:r>
      <w:r w:rsidR="006806BA" w:rsidRPr="00EE0174">
        <w:rPr>
          <w:rFonts w:ascii="Book Antiqua" w:hAnsi="Book Antiqua" w:cs="Arial"/>
          <w:lang w:val="en-US"/>
        </w:rPr>
        <w:t xml:space="preserve">laid down in </w:t>
      </w:r>
      <w:r w:rsidR="006806BA" w:rsidRPr="00EE0174">
        <w:rPr>
          <w:rFonts w:ascii="Book Antiqua" w:hAnsi="Book Antiqua" w:cs="Arial"/>
          <w:u w:val="single"/>
        </w:rPr>
        <w:t>MA (Pakistan)</w:t>
      </w:r>
      <w:r w:rsidR="006806BA" w:rsidRPr="00B9620A">
        <w:rPr>
          <w:rFonts w:ascii="Book Antiqua" w:hAnsi="Book Antiqua" w:cs="Arial"/>
        </w:rPr>
        <w:t xml:space="preserve"> </w:t>
      </w:r>
      <w:r w:rsidR="00B9620A" w:rsidRPr="00B9620A">
        <w:rPr>
          <w:rFonts w:ascii="Book Antiqua" w:hAnsi="Book Antiqua" w:cs="Arial"/>
        </w:rPr>
        <w:t>(supra)</w:t>
      </w:r>
      <w:r w:rsidR="006806BA" w:rsidRPr="00EE0174">
        <w:rPr>
          <w:rFonts w:ascii="Book Antiqua" w:hAnsi="Book Antiqua" w:cs="Arial"/>
          <w:lang w:val="en-US"/>
        </w:rPr>
        <w:t xml:space="preserve">.  </w:t>
      </w:r>
      <w:r w:rsidR="006806BA" w:rsidRPr="00EE0174">
        <w:rPr>
          <w:rFonts w:ascii="Book Antiqua" w:hAnsi="Book Antiqua" w:cs="Arial"/>
        </w:rPr>
        <w:t xml:space="preserve">Although it is a conclusion which the Court of Appeal reached with some reticence, it was accepted in </w:t>
      </w:r>
      <w:r w:rsidR="006806BA" w:rsidRPr="00EE0174">
        <w:rPr>
          <w:rFonts w:ascii="Book Antiqua" w:hAnsi="Book Antiqua" w:cs="Arial"/>
          <w:u w:val="single"/>
        </w:rPr>
        <w:t>MA (Pakistan)</w:t>
      </w:r>
      <w:r w:rsidR="006806BA" w:rsidRPr="00EE0174">
        <w:rPr>
          <w:rFonts w:ascii="Book Antiqua" w:hAnsi="Book Antiqua" w:cs="Arial"/>
        </w:rPr>
        <w:t xml:space="preserve"> that the question whether it is “reasonable to expect” a child to leave the UK incorporates consideration of other public interest factors.</w:t>
      </w:r>
    </w:p>
    <w:p w:rsidR="006806BA" w:rsidRDefault="006806BA" w:rsidP="003A52BD">
      <w:pPr>
        <w:tabs>
          <w:tab w:val="left" w:pos="1985"/>
        </w:tabs>
        <w:spacing w:before="120" w:after="120"/>
        <w:ind w:left="1418"/>
        <w:jc w:val="both"/>
        <w:rPr>
          <w:rFonts w:ascii="Book Antiqua" w:hAnsi="Book Antiqua" w:cs="Arial"/>
          <w:sz w:val="22"/>
          <w:szCs w:val="22"/>
        </w:rPr>
      </w:pPr>
      <w:r>
        <w:rPr>
          <w:rFonts w:ascii="Book Antiqua" w:hAnsi="Book Antiqua" w:cs="Arial"/>
          <w:sz w:val="22"/>
          <w:szCs w:val="22"/>
        </w:rPr>
        <w:t>“28</w:t>
      </w:r>
      <w:r w:rsidR="003A52BD">
        <w:rPr>
          <w:rFonts w:ascii="Book Antiqua" w:hAnsi="Book Antiqua" w:cs="Arial"/>
          <w:sz w:val="22"/>
          <w:szCs w:val="22"/>
        </w:rPr>
        <w:t>.</w:t>
      </w:r>
      <w:r w:rsidR="003A52BD">
        <w:rPr>
          <w:rFonts w:ascii="Book Antiqua" w:hAnsi="Book Antiqua" w:cs="Arial"/>
          <w:sz w:val="22"/>
          <w:szCs w:val="22"/>
        </w:rPr>
        <w:tab/>
      </w:r>
      <w:r>
        <w:rPr>
          <w:rFonts w:ascii="Book Antiqua" w:hAnsi="Book Antiqua" w:cs="Arial"/>
          <w:sz w:val="22"/>
          <w:szCs w:val="22"/>
        </w:rPr>
        <w:t>…The focus is not simply on the child but must embrace all aspects of the public interest.  She submits that in substance the approach envisaged in section 117B (6) is not materially different to that which a court will adopt in any other article 8 exercise.  The decision maker must ask whether, paying proper regard to the best interests of the child and all other relevant considerations bearing upon the public interest, including the conduct and immigration history of the applicant parent or parents, it is not reasonable to expect the child to leave.  The fact that the child has been resident for seven years will be a factor which must be given significant weight in the balancing exercise, but it does not otherwise modify or distort the usual article 8 proportionality assessment.  That test requires that where the parents have no right to be in the UK that is the basis on which the article 8 proportionality assessment must be made…</w:t>
      </w:r>
    </w:p>
    <w:p w:rsidR="00507652" w:rsidRPr="00507652" w:rsidRDefault="006806BA" w:rsidP="003A52BD">
      <w:pPr>
        <w:tabs>
          <w:tab w:val="left" w:pos="1985"/>
        </w:tabs>
        <w:spacing w:before="120" w:after="120"/>
        <w:ind w:left="1418"/>
        <w:jc w:val="both"/>
        <w:rPr>
          <w:rFonts w:ascii="Book Antiqua" w:hAnsi="Book Antiqua" w:cs="Arial"/>
          <w:sz w:val="22"/>
          <w:szCs w:val="22"/>
        </w:rPr>
      </w:pPr>
      <w:r>
        <w:rPr>
          <w:rFonts w:ascii="Book Antiqua" w:hAnsi="Book Antiqua" w:cs="Arial"/>
          <w:sz w:val="22"/>
          <w:szCs w:val="22"/>
        </w:rPr>
        <w:t xml:space="preserve">29.  Ms </w:t>
      </w:r>
      <w:proofErr w:type="spellStart"/>
      <w:r>
        <w:rPr>
          <w:rFonts w:ascii="Book Antiqua" w:hAnsi="Book Antiqua" w:cs="Arial"/>
          <w:sz w:val="22"/>
          <w:szCs w:val="22"/>
        </w:rPr>
        <w:t>Giovannetti</w:t>
      </w:r>
      <w:proofErr w:type="spellEnd"/>
      <w:r>
        <w:rPr>
          <w:rFonts w:ascii="Book Antiqua" w:hAnsi="Book Antiqua" w:cs="Arial"/>
          <w:sz w:val="22"/>
          <w:szCs w:val="22"/>
        </w:rPr>
        <w:t xml:space="preserve"> submits that essentially the same approach should be adopted when applying the reasonableness test; in essence, it is the usual proportionality test save that the fact that the child has resided in the UK for seven years will be a significant factor weighing in favour of the conclusion that it would not be reasonable to require the child to leave.”</w:t>
      </w:r>
    </w:p>
    <w:p w:rsidR="00E2585E" w:rsidRPr="002241A0" w:rsidRDefault="00E2585E" w:rsidP="00E2585E">
      <w:pPr>
        <w:numPr>
          <w:ilvl w:val="0"/>
          <w:numId w:val="5"/>
        </w:numPr>
        <w:tabs>
          <w:tab w:val="left" w:pos="567"/>
        </w:tabs>
        <w:jc w:val="both"/>
        <w:rPr>
          <w:rFonts w:ascii="Book Antiqua" w:hAnsi="Book Antiqua" w:cs="Arial"/>
        </w:rPr>
      </w:pPr>
      <w:r w:rsidRPr="00455B98">
        <w:rPr>
          <w:rFonts w:ascii="Book Antiqua" w:hAnsi="Book Antiqua" w:cs="Arial"/>
          <w:lang w:val="en-US"/>
        </w:rPr>
        <w:t xml:space="preserve">I am mindful that the best </w:t>
      </w:r>
      <w:proofErr w:type="gramStart"/>
      <w:r w:rsidRPr="00455B98">
        <w:rPr>
          <w:rFonts w:ascii="Book Antiqua" w:hAnsi="Book Antiqua" w:cs="Arial"/>
          <w:lang w:val="en-US"/>
        </w:rPr>
        <w:t>interests</w:t>
      </w:r>
      <w:proofErr w:type="gramEnd"/>
      <w:r w:rsidRPr="00455B98">
        <w:rPr>
          <w:rFonts w:ascii="Book Antiqua" w:hAnsi="Book Antiqua" w:cs="Arial"/>
          <w:lang w:val="en-US"/>
        </w:rPr>
        <w:t xml:space="preserve"> assessment is not determinative.   As Elias LJ noted in </w:t>
      </w:r>
      <w:r w:rsidRPr="00455B98">
        <w:rPr>
          <w:rFonts w:ascii="Book Antiqua" w:hAnsi="Book Antiqua" w:cs="Arial"/>
          <w:u w:val="single"/>
          <w:lang w:val="en-US"/>
        </w:rPr>
        <w:t>MA (Pakistan)</w:t>
      </w:r>
      <w:r w:rsidRPr="00455B98">
        <w:rPr>
          <w:rFonts w:ascii="Book Antiqua" w:hAnsi="Book Antiqua" w:cs="Arial"/>
          <w:lang w:val="en-US"/>
        </w:rPr>
        <w:t xml:space="preserve"> at [47] even where the child’s best interests are to stay, for the purposes of section 117</w:t>
      </w:r>
      <w:proofErr w:type="gramStart"/>
      <w:r w:rsidRPr="00455B98">
        <w:rPr>
          <w:rFonts w:ascii="Book Antiqua" w:hAnsi="Book Antiqua" w:cs="Arial"/>
          <w:lang w:val="en-US"/>
        </w:rPr>
        <w:t>B(</w:t>
      </w:r>
      <w:proofErr w:type="gramEnd"/>
      <w:r w:rsidRPr="00455B98">
        <w:rPr>
          <w:rFonts w:ascii="Book Antiqua" w:hAnsi="Book Antiqua" w:cs="Arial"/>
          <w:lang w:val="en-US"/>
        </w:rPr>
        <w:t xml:space="preserve">6) of the 2002 Act it may still be not unreasonable to require the child to leave.  That will depend upon a careful analysis of the nature and extent of the links in the UK and </w:t>
      </w:r>
      <w:r>
        <w:rPr>
          <w:rFonts w:ascii="Book Antiqua" w:hAnsi="Book Antiqua" w:cs="Arial"/>
          <w:lang w:val="en-US"/>
        </w:rPr>
        <w:t xml:space="preserve">in this case, </w:t>
      </w:r>
      <w:r w:rsidRPr="00455B98">
        <w:rPr>
          <w:rFonts w:ascii="Book Antiqua" w:hAnsi="Book Antiqua" w:cs="Arial"/>
          <w:lang w:val="en-US"/>
        </w:rPr>
        <w:t xml:space="preserve">India, as well as any other relevant wider considerations – see [45] of </w:t>
      </w:r>
      <w:r w:rsidRPr="00455B98">
        <w:rPr>
          <w:rFonts w:ascii="Book Antiqua" w:hAnsi="Book Antiqua" w:cs="Arial"/>
          <w:u w:val="single"/>
          <w:lang w:val="en-US"/>
        </w:rPr>
        <w:t>MA (Pakistan)</w:t>
      </w:r>
      <w:r w:rsidRPr="00455B98">
        <w:rPr>
          <w:rFonts w:ascii="Book Antiqua" w:hAnsi="Book Antiqua" w:cs="Arial"/>
          <w:lang w:val="en-US"/>
        </w:rPr>
        <w:t>.</w:t>
      </w:r>
    </w:p>
    <w:p w:rsidR="002241A0" w:rsidRDefault="002241A0" w:rsidP="002241A0">
      <w:pPr>
        <w:tabs>
          <w:tab w:val="left" w:pos="567"/>
        </w:tabs>
        <w:jc w:val="both"/>
        <w:rPr>
          <w:rFonts w:ascii="Book Antiqua" w:hAnsi="Book Antiqua" w:cs="Arial"/>
          <w:lang w:val="en-US"/>
        </w:rPr>
      </w:pPr>
    </w:p>
    <w:p w:rsidR="002241A0" w:rsidRPr="002241A0" w:rsidRDefault="002241A0" w:rsidP="002241A0">
      <w:pPr>
        <w:tabs>
          <w:tab w:val="left" w:pos="567"/>
        </w:tabs>
        <w:jc w:val="both"/>
        <w:rPr>
          <w:rFonts w:ascii="Book Antiqua" w:hAnsi="Book Antiqua" w:cs="Arial"/>
          <w:i/>
        </w:rPr>
      </w:pPr>
      <w:r w:rsidRPr="002241A0">
        <w:rPr>
          <w:rFonts w:ascii="Book Antiqua" w:hAnsi="Book Antiqua" w:cs="Arial"/>
          <w:i/>
          <w:lang w:val="en-US"/>
        </w:rPr>
        <w:t>Article 8 balancing exercise</w:t>
      </w:r>
    </w:p>
    <w:p w:rsidR="00507652" w:rsidRPr="00057F25" w:rsidRDefault="00B62670" w:rsidP="00507652">
      <w:pPr>
        <w:numPr>
          <w:ilvl w:val="0"/>
          <w:numId w:val="5"/>
        </w:numPr>
        <w:spacing w:before="240"/>
        <w:jc w:val="both"/>
        <w:rPr>
          <w:rFonts w:ascii="Book Antiqua" w:hAnsi="Book Antiqua" w:cs="Arial"/>
        </w:rPr>
      </w:pPr>
      <w:r>
        <w:rPr>
          <w:rFonts w:ascii="Book Antiqua" w:hAnsi="Book Antiqua" w:cs="Arial"/>
        </w:rPr>
        <w:t xml:space="preserve">I begin </w:t>
      </w:r>
      <w:r w:rsidR="00E2585E">
        <w:rPr>
          <w:rFonts w:ascii="Book Antiqua" w:hAnsi="Book Antiqua" w:cs="Arial"/>
        </w:rPr>
        <w:t xml:space="preserve">the balancing exercise </w:t>
      </w:r>
      <w:r>
        <w:rPr>
          <w:rFonts w:ascii="Book Antiqua" w:hAnsi="Book Antiqua" w:cs="Arial"/>
        </w:rPr>
        <w:t>by considering the public interest</w:t>
      </w:r>
      <w:r w:rsidR="00C20332">
        <w:rPr>
          <w:rFonts w:ascii="Book Antiqua" w:hAnsi="Book Antiqua" w:cs="Arial"/>
        </w:rPr>
        <w:t xml:space="preserve">.  I have already provided my </w:t>
      </w:r>
      <w:r w:rsidR="00C20332" w:rsidRPr="000801C7">
        <w:rPr>
          <w:rFonts w:ascii="Book Antiqua" w:hAnsi="Book Antiqua"/>
          <w:sz w:val="22"/>
        </w:rPr>
        <w:t>reasons</w:t>
      </w:r>
      <w:r w:rsidR="00C20332">
        <w:rPr>
          <w:rFonts w:ascii="Book Antiqua" w:hAnsi="Book Antiqua" w:cs="Arial"/>
        </w:rPr>
        <w:t xml:space="preserve"> for finding that </w:t>
      </w:r>
      <w:r w:rsidR="00E2585E">
        <w:rPr>
          <w:rFonts w:ascii="Book Antiqua" w:hAnsi="Book Antiqua" w:cs="Arial"/>
        </w:rPr>
        <w:t>t</w:t>
      </w:r>
      <w:r w:rsidR="00C20332">
        <w:rPr>
          <w:rFonts w:ascii="Book Antiqua" w:hAnsi="Book Antiqua" w:cs="Arial"/>
        </w:rPr>
        <w:t>he</w:t>
      </w:r>
      <w:r w:rsidR="00E2585E">
        <w:rPr>
          <w:rFonts w:ascii="Book Antiqua" w:hAnsi="Book Antiqua" w:cs="Arial"/>
        </w:rPr>
        <w:t xml:space="preserve"> appellant</w:t>
      </w:r>
      <w:r w:rsidR="00C20332">
        <w:rPr>
          <w:rFonts w:ascii="Book Antiqua" w:hAnsi="Book Antiqua" w:cs="Arial"/>
        </w:rPr>
        <w:t xml:space="preserve"> exercised deception of a </w:t>
      </w:r>
      <w:r w:rsidR="00EE0174">
        <w:rPr>
          <w:rFonts w:ascii="Book Antiqua" w:hAnsi="Book Antiqua"/>
          <w:sz w:val="22"/>
        </w:rPr>
        <w:t>serious kind</w:t>
      </w:r>
      <w:r w:rsidR="00C20332">
        <w:rPr>
          <w:rFonts w:ascii="Book Antiqua" w:hAnsi="Book Antiqua" w:cs="Arial"/>
        </w:rPr>
        <w:t xml:space="preserve"> and continued to lie about it.  He has demonstrated disregard</w:t>
      </w:r>
      <w:r w:rsidR="00C20332" w:rsidRPr="000801C7">
        <w:rPr>
          <w:rFonts w:ascii="Book Antiqua" w:hAnsi="Book Antiqua"/>
          <w:sz w:val="22"/>
        </w:rPr>
        <w:t xml:space="preserve"> for the Immigration Rules</w:t>
      </w:r>
      <w:r w:rsidR="00C20332">
        <w:rPr>
          <w:rFonts w:ascii="Book Antiqua" w:hAnsi="Book Antiqua" w:cs="Arial"/>
        </w:rPr>
        <w:t xml:space="preserve">.  </w:t>
      </w:r>
      <w:r w:rsidR="00507652">
        <w:rPr>
          <w:rFonts w:ascii="Book Antiqua" w:hAnsi="Book Antiqua" w:cs="Arial"/>
        </w:rPr>
        <w:t xml:space="preserve"> </w:t>
      </w:r>
      <w:r w:rsidR="00507652" w:rsidRPr="004D293C">
        <w:rPr>
          <w:rFonts w:ascii="Book Antiqua" w:hAnsi="Book Antiqua" w:cs="Arial"/>
        </w:rPr>
        <w:t xml:space="preserve">The public interest factor weighing against the Appellant is that his continued presence is contrary to the maintenance of effective immigration control.  That is both as a direct result of his deception and, indirectly, because that deception prevents him being able to satisfy the requirements in the Rules from which he is excluded on suitability grounds.  </w:t>
      </w:r>
      <w:r w:rsidR="00507652" w:rsidRPr="00057F25">
        <w:rPr>
          <w:rFonts w:ascii="Book Antiqua" w:hAnsi="Book Antiqua" w:cs="Arial"/>
        </w:rPr>
        <w:t>I take into a</w:t>
      </w:r>
      <w:r w:rsidR="00E2585E">
        <w:rPr>
          <w:rFonts w:ascii="Book Antiqua" w:hAnsi="Book Antiqua" w:cs="Arial"/>
        </w:rPr>
        <w:t>ccount in this regard that the a</w:t>
      </w:r>
      <w:r w:rsidR="00507652" w:rsidRPr="00057F25">
        <w:rPr>
          <w:rFonts w:ascii="Book Antiqua" w:hAnsi="Book Antiqua" w:cs="Arial"/>
        </w:rPr>
        <w:t>ppellant has not been convicted of any criminal offence arising from his deception.  This is not a deportation case.  I t</w:t>
      </w:r>
      <w:r w:rsidR="00E2585E">
        <w:rPr>
          <w:rFonts w:ascii="Book Antiqua" w:hAnsi="Book Antiqua" w:cs="Arial"/>
        </w:rPr>
        <w:t>ake into account also that the a</w:t>
      </w:r>
      <w:r w:rsidR="00507652" w:rsidRPr="00057F25">
        <w:rPr>
          <w:rFonts w:ascii="Book Antiqua" w:hAnsi="Book Antiqua" w:cs="Arial"/>
        </w:rPr>
        <w:t>ppellant is someone who, with many others, has taken advantage of a fraudulent enterprise organised by others and had no role in the organisation of the fraud</w:t>
      </w:r>
      <w:r w:rsidR="00507652">
        <w:rPr>
          <w:rFonts w:ascii="Book Antiqua" w:hAnsi="Book Antiqua" w:cs="Arial"/>
        </w:rPr>
        <w:t>, but has continued to lie about his role in the fraud.</w:t>
      </w:r>
      <w:r w:rsidR="00507652" w:rsidRPr="00057F25">
        <w:rPr>
          <w:rFonts w:ascii="Book Antiqua" w:hAnsi="Book Antiqua" w:cs="Arial"/>
        </w:rPr>
        <w:t xml:space="preserve">  </w:t>
      </w:r>
    </w:p>
    <w:p w:rsidR="00507652" w:rsidRDefault="00507652" w:rsidP="00507652">
      <w:pPr>
        <w:numPr>
          <w:ilvl w:val="0"/>
          <w:numId w:val="5"/>
        </w:numPr>
        <w:spacing w:before="240"/>
        <w:jc w:val="both"/>
        <w:rPr>
          <w:rFonts w:ascii="Book Antiqua" w:hAnsi="Book Antiqua" w:cs="Arial"/>
        </w:rPr>
      </w:pPr>
      <w:r w:rsidRPr="00127F8F">
        <w:rPr>
          <w:rFonts w:ascii="Book Antiqua" w:hAnsi="Book Antiqua" w:cs="Arial"/>
        </w:rPr>
        <w:t>I accept that there are no other public interes</w:t>
      </w:r>
      <w:r>
        <w:rPr>
          <w:rFonts w:ascii="Book Antiqua" w:hAnsi="Book Antiqua" w:cs="Arial"/>
        </w:rPr>
        <w:t>t factors weighing against the a</w:t>
      </w:r>
      <w:r w:rsidRPr="00127F8F">
        <w:rPr>
          <w:rFonts w:ascii="Book Antiqua" w:hAnsi="Book Antiqua" w:cs="Arial"/>
        </w:rPr>
        <w:t xml:space="preserve">ppellant in this case.  He now </w:t>
      </w:r>
      <w:r>
        <w:rPr>
          <w:rFonts w:ascii="Book Antiqua" w:hAnsi="Book Antiqua" w:cs="Arial"/>
        </w:rPr>
        <w:t xml:space="preserve">clearly </w:t>
      </w:r>
      <w:r w:rsidRPr="00127F8F">
        <w:rPr>
          <w:rFonts w:ascii="Book Antiqua" w:hAnsi="Book Antiqua" w:cs="Arial"/>
        </w:rPr>
        <w:t>speaks English</w:t>
      </w:r>
      <w:r>
        <w:rPr>
          <w:rFonts w:ascii="Book Antiqua" w:hAnsi="Book Antiqua" w:cs="Arial"/>
        </w:rPr>
        <w:t xml:space="preserve"> well</w:t>
      </w:r>
      <w:r w:rsidRPr="00127F8F">
        <w:rPr>
          <w:rFonts w:ascii="Book Antiqua" w:hAnsi="Book Antiqua" w:cs="Arial"/>
        </w:rPr>
        <w:t>.  The family appear to b</w:t>
      </w:r>
      <w:r>
        <w:rPr>
          <w:rFonts w:ascii="Book Antiqua" w:hAnsi="Book Antiqua" w:cs="Arial"/>
        </w:rPr>
        <w:t>e financially independent. M</w:t>
      </w:r>
      <w:r w:rsidRPr="00127F8F">
        <w:rPr>
          <w:rFonts w:ascii="Book Antiqua" w:hAnsi="Book Antiqua" w:cs="Arial"/>
        </w:rPr>
        <w:t xml:space="preserve"> has a good job and the family are not supported by benefits.  </w:t>
      </w:r>
      <w:r w:rsidRPr="004D293C">
        <w:rPr>
          <w:rFonts w:ascii="Book Antiqua" w:hAnsi="Book Antiqua" w:cs="Arial"/>
        </w:rPr>
        <w:t xml:space="preserve">Nonetheless, for the reasons I have set out, </w:t>
      </w:r>
      <w:r>
        <w:rPr>
          <w:rFonts w:ascii="Book Antiqua" w:hAnsi="Book Antiqua" w:cs="Arial"/>
        </w:rPr>
        <w:t xml:space="preserve">as a result of his deception, </w:t>
      </w:r>
      <w:r w:rsidRPr="004D293C">
        <w:rPr>
          <w:rFonts w:ascii="Book Antiqua" w:hAnsi="Book Antiqua" w:cs="Arial"/>
        </w:rPr>
        <w:t xml:space="preserve">the public </w:t>
      </w:r>
      <w:r>
        <w:rPr>
          <w:rFonts w:ascii="Book Antiqua" w:hAnsi="Book Antiqua" w:cs="Arial"/>
        </w:rPr>
        <w:t>interest in the removal of the a</w:t>
      </w:r>
      <w:r w:rsidRPr="004D293C">
        <w:rPr>
          <w:rFonts w:ascii="Book Antiqua" w:hAnsi="Book Antiqua" w:cs="Arial"/>
        </w:rPr>
        <w:t>ppellant is</w:t>
      </w:r>
      <w:r>
        <w:rPr>
          <w:rFonts w:ascii="Book Antiqua" w:hAnsi="Book Antiqua" w:cs="Arial"/>
        </w:rPr>
        <w:t>, in this case,</w:t>
      </w:r>
      <w:r w:rsidRPr="004D293C">
        <w:rPr>
          <w:rFonts w:ascii="Book Antiqua" w:hAnsi="Book Antiqua" w:cs="Arial"/>
        </w:rPr>
        <w:t xml:space="preserve"> a weighty factor.  </w:t>
      </w:r>
    </w:p>
    <w:p w:rsidR="00507652" w:rsidRDefault="00507652" w:rsidP="00507652">
      <w:pPr>
        <w:numPr>
          <w:ilvl w:val="0"/>
          <w:numId w:val="5"/>
        </w:numPr>
        <w:spacing w:before="240"/>
        <w:jc w:val="both"/>
        <w:rPr>
          <w:rFonts w:ascii="Book Antiqua" w:hAnsi="Book Antiqua" w:cs="Arial"/>
        </w:rPr>
      </w:pPr>
      <w:r>
        <w:rPr>
          <w:rFonts w:ascii="Book Antiqua" w:hAnsi="Book Antiqua" w:cs="Arial"/>
        </w:rPr>
        <w:t>Equally, there are no factors other than the appellant’s relationship with M and her children which weigh strongly in favour of the appellant.  I turn first to the appellant’s relationship with M.  There are insurmountable obstacles to the relationship continuing in India.  The children</w:t>
      </w:r>
      <w:r w:rsidR="00E2585E">
        <w:rPr>
          <w:rFonts w:ascii="Book Antiqua" w:hAnsi="Book Antiqua" w:cs="Arial"/>
        </w:rPr>
        <w:t>, who live mostly with M,</w:t>
      </w:r>
      <w:r>
        <w:rPr>
          <w:rFonts w:ascii="Book Antiqua" w:hAnsi="Book Antiqua" w:cs="Arial"/>
        </w:rPr>
        <w:t xml:space="preserve"> have a close relationship with their father and do not wish to leave.  It is also unlikely that he will consent to their departure.</w:t>
      </w:r>
    </w:p>
    <w:p w:rsidR="00507652" w:rsidRDefault="00507652" w:rsidP="00507652">
      <w:pPr>
        <w:numPr>
          <w:ilvl w:val="0"/>
          <w:numId w:val="5"/>
        </w:numPr>
        <w:spacing w:before="240"/>
        <w:jc w:val="both"/>
        <w:rPr>
          <w:rFonts w:ascii="Book Antiqua" w:hAnsi="Book Antiqua" w:cs="Arial"/>
        </w:rPr>
      </w:pPr>
      <w:r>
        <w:rPr>
          <w:rFonts w:ascii="Book Antiqua" w:hAnsi="Book Antiqua" w:cs="Arial"/>
        </w:rPr>
        <w:t xml:space="preserve">More significantly, </w:t>
      </w:r>
      <w:r w:rsidR="00B62670">
        <w:rPr>
          <w:rFonts w:ascii="Book Antiqua" w:hAnsi="Book Antiqua" w:cs="Arial"/>
        </w:rPr>
        <w:t xml:space="preserve">the best interests of the children favour remaining in the UK by a wide margin.  This is in effect the only country in which the status quo can be maintained and they can continue to enjoy a meaningful relationship with both their mother and father.  </w:t>
      </w:r>
    </w:p>
    <w:p w:rsidR="00507652" w:rsidRPr="00B62670" w:rsidRDefault="00507652" w:rsidP="00B62670">
      <w:pPr>
        <w:numPr>
          <w:ilvl w:val="0"/>
          <w:numId w:val="5"/>
        </w:numPr>
        <w:spacing w:before="240"/>
        <w:jc w:val="both"/>
        <w:rPr>
          <w:rFonts w:ascii="Book Antiqua" w:hAnsi="Book Antiqua" w:cs="Arial"/>
        </w:rPr>
      </w:pPr>
      <w:r>
        <w:rPr>
          <w:rFonts w:ascii="Book Antiqua" w:hAnsi="Book Antiqua" w:cs="Arial"/>
        </w:rPr>
        <w:t>The question whether it is reasonable to expect the qualifying child</w:t>
      </w:r>
      <w:r w:rsidR="00E2585E">
        <w:rPr>
          <w:rFonts w:ascii="Book Antiqua" w:hAnsi="Book Antiqua" w:cs="Arial"/>
        </w:rPr>
        <w:t>ren</w:t>
      </w:r>
      <w:r>
        <w:rPr>
          <w:rFonts w:ascii="Book Antiqua" w:hAnsi="Book Antiqua" w:cs="Arial"/>
        </w:rPr>
        <w:t xml:space="preserve"> to leave the UK therefore comes down to a balance between their best interests which are </w:t>
      </w:r>
      <w:r w:rsidR="00B62670">
        <w:rPr>
          <w:rFonts w:ascii="Book Antiqua" w:hAnsi="Book Antiqua" w:cs="Arial"/>
        </w:rPr>
        <w:t xml:space="preserve">very </w:t>
      </w:r>
      <w:r>
        <w:rPr>
          <w:rFonts w:ascii="Book Antiqua" w:hAnsi="Book Antiqua" w:cs="Arial"/>
        </w:rPr>
        <w:t xml:space="preserve">strongly in favour of remaining in the UK </w:t>
      </w:r>
      <w:r w:rsidR="00E2585E">
        <w:rPr>
          <w:rFonts w:ascii="Book Antiqua" w:hAnsi="Book Antiqua" w:cs="Arial"/>
        </w:rPr>
        <w:t xml:space="preserve">and the strong </w:t>
      </w:r>
      <w:r>
        <w:rPr>
          <w:rFonts w:ascii="Book Antiqua" w:hAnsi="Book Antiqua" w:cs="Arial"/>
        </w:rPr>
        <w:t>public interest favouring the</w:t>
      </w:r>
      <w:r w:rsidR="00B62670">
        <w:rPr>
          <w:rFonts w:ascii="Book Antiqua" w:hAnsi="Book Antiqua" w:cs="Arial"/>
        </w:rPr>
        <w:t xml:space="preserve"> a</w:t>
      </w:r>
      <w:r>
        <w:rPr>
          <w:rFonts w:ascii="Book Antiqua" w:hAnsi="Book Antiqua" w:cs="Arial"/>
        </w:rPr>
        <w:t xml:space="preserve">ppellant’s removal.  </w:t>
      </w:r>
      <w:r w:rsidRPr="00B62670">
        <w:rPr>
          <w:rFonts w:ascii="Book Antiqua" w:hAnsi="Book Antiqua" w:cs="Arial"/>
        </w:rPr>
        <w:t>In determining that</w:t>
      </w:r>
      <w:r w:rsidR="00B62670" w:rsidRPr="00B62670">
        <w:rPr>
          <w:rFonts w:ascii="Book Antiqua" w:hAnsi="Book Antiqua" w:cs="Arial"/>
        </w:rPr>
        <w:t xml:space="preserve"> balance, I have regard to the G</w:t>
      </w:r>
      <w:r w:rsidRPr="00B62670">
        <w:rPr>
          <w:rFonts w:ascii="Book Antiqua" w:hAnsi="Book Antiqua" w:cs="Arial"/>
        </w:rPr>
        <w:t>uidance pu</w:t>
      </w:r>
      <w:r w:rsidR="00B62670">
        <w:rPr>
          <w:rFonts w:ascii="Book Antiqua" w:hAnsi="Book Antiqua" w:cs="Arial"/>
        </w:rPr>
        <w:t>blished by the r</w:t>
      </w:r>
      <w:r w:rsidRPr="00B62670">
        <w:rPr>
          <w:rFonts w:ascii="Book Antiqua" w:hAnsi="Book Antiqua" w:cs="Arial"/>
        </w:rPr>
        <w:t xml:space="preserve">espondent </w:t>
      </w:r>
      <w:r w:rsidR="00E2585E">
        <w:rPr>
          <w:rFonts w:ascii="Book Antiqua" w:hAnsi="Book Antiqua" w:cs="Arial"/>
        </w:rPr>
        <w:t xml:space="preserve">on family migration dated 22 February 2018, </w:t>
      </w:r>
      <w:r w:rsidRPr="00B62670">
        <w:rPr>
          <w:rFonts w:ascii="Book Antiqua" w:hAnsi="Book Antiqua" w:cs="Arial"/>
        </w:rPr>
        <w:t xml:space="preserve">which states in unequivocal terms that it is not reasonable to expect a British Citizen child to leave the UK.  As I have also recognised, the best interests of A </w:t>
      </w:r>
      <w:r w:rsidR="00B62670">
        <w:rPr>
          <w:rFonts w:ascii="Book Antiqua" w:hAnsi="Book Antiqua" w:cs="Arial"/>
        </w:rPr>
        <w:t>and B very</w:t>
      </w:r>
      <w:r w:rsidRPr="00B62670">
        <w:rPr>
          <w:rFonts w:ascii="Book Antiqua" w:hAnsi="Book Antiqua" w:cs="Arial"/>
        </w:rPr>
        <w:t xml:space="preserve"> strongly </w:t>
      </w:r>
      <w:r w:rsidR="00E2585E">
        <w:rPr>
          <w:rFonts w:ascii="Book Antiqua" w:hAnsi="Book Antiqua" w:cs="Arial"/>
        </w:rPr>
        <w:t xml:space="preserve">favour </w:t>
      </w:r>
      <w:r w:rsidRPr="00B62670">
        <w:rPr>
          <w:rFonts w:ascii="Book Antiqua" w:hAnsi="Book Antiqua" w:cs="Arial"/>
        </w:rPr>
        <w:t xml:space="preserve">remaining within the current extended family arrangements with both biological parents, as well as their step-father and grandparents in the UK.  </w:t>
      </w:r>
    </w:p>
    <w:p w:rsidR="00507652" w:rsidRPr="00B62670" w:rsidRDefault="00507652" w:rsidP="00B62670">
      <w:pPr>
        <w:numPr>
          <w:ilvl w:val="0"/>
          <w:numId w:val="5"/>
        </w:numPr>
        <w:spacing w:before="240"/>
        <w:jc w:val="both"/>
        <w:rPr>
          <w:rFonts w:ascii="Book Antiqua" w:hAnsi="Book Antiqua" w:cs="Arial"/>
        </w:rPr>
      </w:pPr>
      <w:r>
        <w:rPr>
          <w:rFonts w:ascii="Book Antiqua" w:hAnsi="Book Antiqua" w:cs="Arial"/>
        </w:rPr>
        <w:t>I have regard to the fact that, in this case, the public interes</w:t>
      </w:r>
      <w:r w:rsidR="00E2585E">
        <w:rPr>
          <w:rFonts w:ascii="Book Antiqua" w:hAnsi="Book Antiqua" w:cs="Arial"/>
        </w:rPr>
        <w:t>t factors weighing against the a</w:t>
      </w:r>
      <w:r>
        <w:rPr>
          <w:rFonts w:ascii="Book Antiqua" w:hAnsi="Book Antiqua" w:cs="Arial"/>
        </w:rPr>
        <w:t xml:space="preserve">ppellant are strong and, were it not for his </w:t>
      </w:r>
      <w:r w:rsidR="00B62670">
        <w:rPr>
          <w:rFonts w:ascii="Book Antiqua" w:hAnsi="Book Antiqua" w:cs="Arial"/>
        </w:rPr>
        <w:t xml:space="preserve">parental relationship with </w:t>
      </w:r>
      <w:r>
        <w:rPr>
          <w:rFonts w:ascii="Book Antiqua" w:hAnsi="Book Antiqua" w:cs="Arial"/>
        </w:rPr>
        <w:lastRenderedPageBreak/>
        <w:t>British Citizen child</w:t>
      </w:r>
      <w:r w:rsidR="00B62670">
        <w:rPr>
          <w:rFonts w:ascii="Book Antiqua" w:hAnsi="Book Antiqua" w:cs="Arial"/>
        </w:rPr>
        <w:t>ren</w:t>
      </w:r>
      <w:r>
        <w:rPr>
          <w:rFonts w:ascii="Book Antiqua" w:hAnsi="Book Antiqua" w:cs="Arial"/>
        </w:rPr>
        <w:t xml:space="preserve">, would undoubtedly be sufficient to outweigh the relevant family and private life interests in the proportionality balance.  </w:t>
      </w:r>
    </w:p>
    <w:p w:rsidR="00C566F8" w:rsidRPr="007D4F6E" w:rsidRDefault="00C20332" w:rsidP="000801C7">
      <w:pPr>
        <w:numPr>
          <w:ilvl w:val="0"/>
          <w:numId w:val="5"/>
        </w:numPr>
        <w:spacing w:before="240"/>
        <w:jc w:val="both"/>
        <w:rPr>
          <w:rFonts w:ascii="Book Antiqua" w:hAnsi="Book Antiqua" w:cs="Arial"/>
          <w:b/>
          <w:u w:val="single"/>
        </w:rPr>
      </w:pPr>
      <w:r>
        <w:rPr>
          <w:rFonts w:ascii="Book Antiqua" w:hAnsi="Book Antiqua" w:cs="Arial"/>
        </w:rPr>
        <w:t>Having considered all the relevant factors and weighed the public interest in removing the appellant with the interference with family life this will entail, I am satisfied that, to use the wording of section 117</w:t>
      </w:r>
      <w:proofErr w:type="gramStart"/>
      <w:r>
        <w:rPr>
          <w:rFonts w:ascii="Book Antiqua" w:hAnsi="Book Antiqua" w:cs="Arial"/>
        </w:rPr>
        <w:t>B(</w:t>
      </w:r>
      <w:proofErr w:type="gramEnd"/>
      <w:r>
        <w:rPr>
          <w:rFonts w:ascii="Book Antiqua" w:hAnsi="Book Antiqua" w:cs="Arial"/>
        </w:rPr>
        <w:t xml:space="preserve">6), the public interest does not require the appellant’s removal because it would not be reasonable to expect the British citizen children to leave the UK. </w:t>
      </w:r>
      <w:r w:rsidR="00B62670">
        <w:rPr>
          <w:rFonts w:ascii="Book Antiqua" w:hAnsi="Book Antiqua" w:cs="Arial"/>
        </w:rPr>
        <w:t xml:space="preserve"> </w:t>
      </w:r>
      <w:r w:rsidR="002241A0">
        <w:rPr>
          <w:rFonts w:ascii="Book Antiqua" w:hAnsi="Book Antiqua" w:cs="Arial"/>
        </w:rPr>
        <w:t xml:space="preserve">For this reason, </w:t>
      </w:r>
      <w:r w:rsidR="00B62670" w:rsidRPr="00057F25">
        <w:rPr>
          <w:rFonts w:ascii="Book Antiqua" w:hAnsi="Book Antiqua" w:cs="Arial"/>
        </w:rPr>
        <w:t xml:space="preserve">I am satisfied that the interference </w:t>
      </w:r>
      <w:r w:rsidR="002241A0">
        <w:rPr>
          <w:rFonts w:ascii="Book Antiqua" w:hAnsi="Book Antiqua" w:cs="Arial"/>
        </w:rPr>
        <w:t xml:space="preserve">with family life </w:t>
      </w:r>
      <w:r w:rsidR="00B62670" w:rsidRPr="00057F25">
        <w:rPr>
          <w:rFonts w:ascii="Book Antiqua" w:hAnsi="Book Antiqua" w:cs="Arial"/>
        </w:rPr>
        <w:t>in this case is disproportionate and it follows that the appeal is allowed on Article 8 grounds</w:t>
      </w:r>
      <w:r w:rsidR="00B62670">
        <w:rPr>
          <w:rFonts w:ascii="Book Antiqua" w:hAnsi="Book Antiqua" w:cs="Arial"/>
        </w:rPr>
        <w:t>.</w:t>
      </w:r>
    </w:p>
    <w:p w:rsidR="007D4F6E" w:rsidRPr="007D4F6E" w:rsidRDefault="007D4F6E" w:rsidP="007D4F6E">
      <w:pPr>
        <w:spacing w:before="240"/>
        <w:jc w:val="both"/>
        <w:rPr>
          <w:rFonts w:ascii="Book Antiqua" w:hAnsi="Book Antiqua" w:cs="Arial"/>
          <w:b/>
          <w:i/>
          <w:u w:val="single"/>
        </w:rPr>
      </w:pPr>
      <w:r>
        <w:rPr>
          <w:rFonts w:ascii="Book Antiqua" w:hAnsi="Book Antiqua" w:cs="Arial"/>
          <w:i/>
        </w:rPr>
        <w:t>Postscript</w:t>
      </w:r>
    </w:p>
    <w:p w:rsidR="002241A0" w:rsidRDefault="002241A0" w:rsidP="002241A0">
      <w:pPr>
        <w:numPr>
          <w:ilvl w:val="0"/>
          <w:numId w:val="5"/>
        </w:numPr>
        <w:spacing w:before="240"/>
        <w:jc w:val="both"/>
        <w:rPr>
          <w:rFonts w:ascii="Book Antiqua" w:hAnsi="Book Antiqua" w:cs="Arial"/>
        </w:rPr>
      </w:pPr>
      <w:r w:rsidRPr="007D4F6E">
        <w:rPr>
          <w:rFonts w:ascii="Book Antiqua" w:hAnsi="Book Antiqua" w:cs="Arial"/>
        </w:rPr>
        <w:t>I</w:t>
      </w:r>
      <w:r w:rsidR="007D4F6E">
        <w:rPr>
          <w:rFonts w:ascii="Book Antiqua" w:hAnsi="Book Antiqua" w:cs="Arial"/>
        </w:rPr>
        <w:t xml:space="preserve"> ackn</w:t>
      </w:r>
      <w:r w:rsidRPr="007D4F6E">
        <w:rPr>
          <w:rFonts w:ascii="Book Antiqua" w:hAnsi="Book Antiqua" w:cs="Arial"/>
        </w:rPr>
        <w:t>owledge that this result may appear curious given my findings on the appellant’s use of deception and the consequent strong public interest in his removal.  However</w:t>
      </w:r>
      <w:r w:rsidR="007D4F6E">
        <w:rPr>
          <w:rFonts w:ascii="Book Antiqua" w:hAnsi="Book Antiqua" w:cs="Arial"/>
        </w:rPr>
        <w:t>,</w:t>
      </w:r>
      <w:r w:rsidRPr="007D4F6E">
        <w:rPr>
          <w:rFonts w:ascii="Book Antiqua" w:hAnsi="Book Antiqua" w:cs="Arial"/>
        </w:rPr>
        <w:t xml:space="preserve"> as </w:t>
      </w:r>
      <w:r w:rsidR="007D4F6E" w:rsidRPr="007D4F6E">
        <w:rPr>
          <w:rFonts w:ascii="Book Antiqua" w:hAnsi="Book Antiqua" w:cs="Arial"/>
        </w:rPr>
        <w:t xml:space="preserve">Sales LJ made clear in </w:t>
      </w:r>
      <w:proofErr w:type="spellStart"/>
      <w:r w:rsidR="007D4F6E" w:rsidRPr="007D4F6E">
        <w:rPr>
          <w:rFonts w:ascii="Book Antiqua" w:hAnsi="Book Antiqua" w:cs="Arial"/>
          <w:u w:val="single"/>
        </w:rPr>
        <w:t>Rhuppiah</w:t>
      </w:r>
      <w:proofErr w:type="spellEnd"/>
      <w:r w:rsidR="007D4F6E" w:rsidRPr="007D4F6E">
        <w:rPr>
          <w:rFonts w:ascii="Book Antiqua" w:hAnsi="Book Antiqua" w:cs="Arial"/>
          <w:u w:val="single"/>
        </w:rPr>
        <w:t xml:space="preserve"> v SSHD</w:t>
      </w:r>
      <w:r w:rsidR="007D4F6E" w:rsidRPr="007D4F6E">
        <w:rPr>
          <w:rFonts w:ascii="Book Antiqua" w:hAnsi="Book Antiqua" w:cs="Arial"/>
        </w:rPr>
        <w:t xml:space="preserve"> [2016</w:t>
      </w:r>
      <w:r w:rsidR="007D4F6E">
        <w:rPr>
          <w:rFonts w:ascii="Book Antiqua" w:hAnsi="Book Antiqua" w:cs="Arial"/>
        </w:rPr>
        <w:t>]</w:t>
      </w:r>
      <w:r w:rsidR="007D4F6E" w:rsidRPr="007D4F6E">
        <w:rPr>
          <w:rFonts w:ascii="Book Antiqua" w:hAnsi="Book Antiqua" w:cs="Arial"/>
        </w:rPr>
        <w:t xml:space="preserve"> EWCA </w:t>
      </w:r>
      <w:proofErr w:type="spellStart"/>
      <w:r w:rsidR="007D4F6E" w:rsidRPr="007D4F6E">
        <w:rPr>
          <w:rFonts w:ascii="Book Antiqua" w:hAnsi="Book Antiqua" w:cs="Arial"/>
        </w:rPr>
        <w:t>Civ</w:t>
      </w:r>
      <w:proofErr w:type="spellEnd"/>
      <w:r w:rsidR="007D4F6E" w:rsidRPr="007D4F6E">
        <w:rPr>
          <w:rFonts w:ascii="Book Antiqua" w:hAnsi="Book Antiqua" w:cs="Arial"/>
        </w:rPr>
        <w:t xml:space="preserve"> 803, [2016] 1 WLR 4204 at [</w:t>
      </w:r>
      <w:r w:rsidR="007D4F6E">
        <w:rPr>
          <w:rFonts w:ascii="Book Antiqua" w:hAnsi="Book Antiqua" w:cs="Arial"/>
        </w:rPr>
        <w:t>45</w:t>
      </w:r>
      <w:r w:rsidR="007D4F6E" w:rsidRPr="007D4F6E">
        <w:rPr>
          <w:rFonts w:ascii="Book Antiqua" w:hAnsi="Book Antiqua" w:cs="Arial"/>
        </w:rPr>
        <w:t>]</w:t>
      </w:r>
      <w:r w:rsidR="007D4F6E">
        <w:rPr>
          <w:rFonts w:ascii="Book Antiqua" w:hAnsi="Book Antiqua" w:cs="Arial"/>
        </w:rPr>
        <w:t>,</w:t>
      </w:r>
      <w:r w:rsidR="007D4F6E" w:rsidRPr="007D4F6E">
        <w:rPr>
          <w:rFonts w:ascii="Book Antiqua" w:hAnsi="Book Antiqua" w:cs="Arial"/>
        </w:rPr>
        <w:t xml:space="preserve"> sections 117A-117D of the 2002</w:t>
      </w:r>
      <w:r w:rsidR="007D4F6E">
        <w:rPr>
          <w:rFonts w:ascii="Book Antiqua" w:hAnsi="Book Antiqua" w:cs="Arial"/>
        </w:rPr>
        <w:t xml:space="preserve"> </w:t>
      </w:r>
      <w:r w:rsidR="007D4F6E" w:rsidRPr="007D4F6E">
        <w:rPr>
          <w:rFonts w:ascii="Book Antiqua" w:hAnsi="Book Antiqua" w:cs="Arial"/>
        </w:rPr>
        <w:t xml:space="preserve">Act provide a structured approach to the application of Article 8 which produces in all cases a </w:t>
      </w:r>
      <w:r w:rsidR="00B76102">
        <w:rPr>
          <w:rFonts w:ascii="Book Antiqua" w:hAnsi="Book Antiqua" w:cs="Arial"/>
        </w:rPr>
        <w:t>“</w:t>
      </w:r>
      <w:r w:rsidR="007D4F6E" w:rsidRPr="007D4F6E">
        <w:rPr>
          <w:rFonts w:ascii="Book Antiqua" w:hAnsi="Book Antiqua" w:cs="Arial"/>
        </w:rPr>
        <w:t>final result</w:t>
      </w:r>
      <w:r w:rsidR="00B76102">
        <w:rPr>
          <w:rFonts w:ascii="Book Antiqua" w:hAnsi="Book Antiqua" w:cs="Arial"/>
        </w:rPr>
        <w:t>”</w:t>
      </w:r>
      <w:r w:rsidR="007D4F6E">
        <w:rPr>
          <w:rFonts w:ascii="Book Antiqua" w:hAnsi="Book Antiqua" w:cs="Arial"/>
        </w:rPr>
        <w:t xml:space="preserve"> compatible with Article 8.  Where Parliament has declared</w:t>
      </w:r>
      <w:r w:rsidR="00B76102">
        <w:rPr>
          <w:rFonts w:ascii="Book Antiqua" w:hAnsi="Book Antiqua" w:cs="Arial"/>
        </w:rPr>
        <w:t xml:space="preserve"> that the public interest does not require a person’s</w:t>
      </w:r>
      <w:r w:rsidR="007D4F6E">
        <w:rPr>
          <w:rFonts w:ascii="Book Antiqua" w:hAnsi="Book Antiqua" w:cs="Arial"/>
        </w:rPr>
        <w:t xml:space="preserve"> removal in specified circumstances, and those circumstances are present, that is the end of the matter.  In this case I have accepted that when all the circumstances are considered including the appellant’s use of deception and immigration history, it would not be reasonable to expect the children to leave the UK.</w:t>
      </w:r>
    </w:p>
    <w:p w:rsidR="007D4F6E" w:rsidRPr="007D4F6E" w:rsidRDefault="007D4F6E" w:rsidP="002241A0">
      <w:pPr>
        <w:numPr>
          <w:ilvl w:val="0"/>
          <w:numId w:val="5"/>
        </w:numPr>
        <w:spacing w:before="240"/>
        <w:jc w:val="both"/>
        <w:rPr>
          <w:rFonts w:ascii="Book Antiqua" w:hAnsi="Book Antiqua" w:cs="Arial"/>
        </w:rPr>
      </w:pPr>
      <w:r>
        <w:rPr>
          <w:rFonts w:ascii="Book Antiqua" w:hAnsi="Book Antiqua" w:cs="Arial"/>
        </w:rPr>
        <w:t xml:space="preserve">If a deportation decision had been made against the appellant, an altogether different approach would apply.  </w:t>
      </w:r>
      <w:r w:rsidR="007A7F13">
        <w:rPr>
          <w:rFonts w:ascii="Book Antiqua" w:hAnsi="Book Antiqua" w:cs="Arial"/>
        </w:rPr>
        <w:t>If not sentenced to four years or more imprisonment, the question would be whether or not Exception 2 as contained in section 117</w:t>
      </w:r>
      <w:proofErr w:type="gramStart"/>
      <w:r w:rsidR="007A7F13">
        <w:rPr>
          <w:rFonts w:ascii="Book Antiqua" w:hAnsi="Book Antiqua" w:cs="Arial"/>
        </w:rPr>
        <w:t>C(</w:t>
      </w:r>
      <w:proofErr w:type="gramEnd"/>
      <w:r w:rsidR="007A7F13">
        <w:rPr>
          <w:rFonts w:ascii="Book Antiqua" w:hAnsi="Book Antiqua" w:cs="Arial"/>
        </w:rPr>
        <w:t xml:space="preserve">5) </w:t>
      </w:r>
      <w:r w:rsidR="00B76102">
        <w:rPr>
          <w:rFonts w:ascii="Book Antiqua" w:hAnsi="Book Antiqua" w:cs="Arial"/>
        </w:rPr>
        <w:t xml:space="preserve">of the 2002 Act </w:t>
      </w:r>
      <w:r w:rsidR="007A7F13">
        <w:rPr>
          <w:rFonts w:ascii="Book Antiqua" w:hAnsi="Book Antiqua" w:cs="Arial"/>
        </w:rPr>
        <w:t xml:space="preserve">applies i.e. would the “effect of C’s deportation” on M or the children be “unduly harsh”.    To use the language of paragraph 399 of the Immigration Rules, </w:t>
      </w:r>
      <w:r w:rsidR="00B76102">
        <w:rPr>
          <w:rFonts w:ascii="Book Antiqua" w:hAnsi="Book Antiqua" w:cs="Arial"/>
        </w:rPr>
        <w:t xml:space="preserve">although it would be difficult, </w:t>
      </w:r>
      <w:r w:rsidR="007A7F13">
        <w:rPr>
          <w:rFonts w:ascii="Book Antiqua" w:hAnsi="Book Antiqua" w:cs="Arial"/>
        </w:rPr>
        <w:t>it</w:t>
      </w:r>
      <w:r w:rsidR="00B76102">
        <w:rPr>
          <w:rFonts w:ascii="Book Antiqua" w:hAnsi="Book Antiqua" w:cs="Arial"/>
        </w:rPr>
        <w:t xml:space="preserve"> might</w:t>
      </w:r>
      <w:r w:rsidR="007A7F13">
        <w:rPr>
          <w:rFonts w:ascii="Book Antiqua" w:hAnsi="Book Antiqua" w:cs="Arial"/>
        </w:rPr>
        <w:t xml:space="preserve"> not be unduly harsh for M and the children to remain in the UK</w:t>
      </w:r>
      <w:r w:rsidR="00B76102">
        <w:rPr>
          <w:rFonts w:ascii="Book Antiqua" w:hAnsi="Book Antiqua" w:cs="Arial"/>
        </w:rPr>
        <w:t xml:space="preserve"> without the appellant.  I need say no more about this because section 117</w:t>
      </w:r>
      <w:proofErr w:type="gramStart"/>
      <w:r w:rsidR="00B76102">
        <w:rPr>
          <w:rFonts w:ascii="Book Antiqua" w:hAnsi="Book Antiqua" w:cs="Arial"/>
        </w:rPr>
        <w:t>C(</w:t>
      </w:r>
      <w:proofErr w:type="gramEnd"/>
      <w:r w:rsidR="00B76102">
        <w:rPr>
          <w:rFonts w:ascii="Book Antiqua" w:hAnsi="Book Antiqua" w:cs="Arial"/>
        </w:rPr>
        <w:t>5) and paragraph 399 are not relevant to this case.</w:t>
      </w:r>
    </w:p>
    <w:p w:rsidR="00EE0174" w:rsidRPr="000801C7" w:rsidRDefault="00EE0174" w:rsidP="00EE0174">
      <w:pPr>
        <w:spacing w:before="240"/>
        <w:ind w:left="927"/>
        <w:jc w:val="both"/>
        <w:rPr>
          <w:rFonts w:ascii="Book Antiqua" w:hAnsi="Book Antiqua" w:cs="Arial"/>
          <w:b/>
          <w:u w:val="single"/>
        </w:rPr>
      </w:pPr>
    </w:p>
    <w:p w:rsidR="00D8549B" w:rsidRPr="006806BA" w:rsidRDefault="006806BA" w:rsidP="00110DA1">
      <w:pPr>
        <w:tabs>
          <w:tab w:val="left" w:pos="567"/>
        </w:tabs>
        <w:jc w:val="both"/>
        <w:rPr>
          <w:rFonts w:ascii="Book Antiqua" w:hAnsi="Book Antiqua" w:cs="Arial"/>
          <w:b/>
        </w:rPr>
      </w:pPr>
      <w:r w:rsidRPr="006806BA">
        <w:rPr>
          <w:rFonts w:ascii="Book Antiqua" w:hAnsi="Book Antiqua" w:cs="Arial"/>
          <w:b/>
        </w:rPr>
        <w:t>Decision</w:t>
      </w:r>
    </w:p>
    <w:p w:rsidR="006806BA" w:rsidRPr="00EC3EB0" w:rsidRDefault="006806BA" w:rsidP="00110DA1">
      <w:pPr>
        <w:tabs>
          <w:tab w:val="left" w:pos="567"/>
        </w:tabs>
        <w:jc w:val="both"/>
        <w:rPr>
          <w:rFonts w:ascii="Book Antiqua" w:hAnsi="Book Antiqua" w:cs="Arial"/>
          <w:b/>
          <w:u w:val="single"/>
        </w:rPr>
      </w:pPr>
    </w:p>
    <w:p w:rsidR="00C95D49" w:rsidRDefault="002E432C" w:rsidP="002241A0">
      <w:pPr>
        <w:tabs>
          <w:tab w:val="left" w:pos="567"/>
        </w:tabs>
        <w:jc w:val="both"/>
        <w:rPr>
          <w:rFonts w:ascii="Book Antiqua" w:hAnsi="Book Antiqua" w:cs="Arial"/>
          <w:b/>
        </w:rPr>
      </w:pPr>
      <w:r w:rsidRPr="00EC3EB0">
        <w:rPr>
          <w:rFonts w:ascii="Book Antiqua" w:hAnsi="Book Antiqua" w:cs="Arial"/>
          <w:b/>
        </w:rPr>
        <w:t xml:space="preserve">I </w:t>
      </w:r>
      <w:r w:rsidR="00123F76" w:rsidRPr="00EC3EB0">
        <w:rPr>
          <w:rFonts w:ascii="Book Antiqua" w:hAnsi="Book Antiqua" w:cs="Arial"/>
          <w:b/>
        </w:rPr>
        <w:t>re-</w:t>
      </w:r>
      <w:r w:rsidR="00E643E9" w:rsidRPr="00EC3EB0">
        <w:rPr>
          <w:rFonts w:ascii="Book Antiqua" w:hAnsi="Book Antiqua" w:cs="Arial"/>
          <w:b/>
        </w:rPr>
        <w:t xml:space="preserve">make the </w:t>
      </w:r>
      <w:r w:rsidR="00123F76" w:rsidRPr="00EC3EB0">
        <w:rPr>
          <w:rFonts w:ascii="Book Antiqua" w:hAnsi="Book Antiqua" w:cs="Arial"/>
          <w:b/>
        </w:rPr>
        <w:t>decision</w:t>
      </w:r>
      <w:r w:rsidR="00D8549B">
        <w:rPr>
          <w:rFonts w:ascii="Book Antiqua" w:hAnsi="Book Antiqua" w:cs="Arial"/>
          <w:b/>
        </w:rPr>
        <w:t xml:space="preserve"> by</w:t>
      </w:r>
      <w:r w:rsidR="00E13247" w:rsidRPr="00EC3EB0">
        <w:rPr>
          <w:rFonts w:ascii="Book Antiqua" w:hAnsi="Book Antiqua" w:cs="Arial"/>
          <w:b/>
        </w:rPr>
        <w:t xml:space="preserve"> </w:t>
      </w:r>
      <w:r w:rsidR="00A24D24">
        <w:rPr>
          <w:rFonts w:ascii="Book Antiqua" w:hAnsi="Book Antiqua" w:cs="Arial"/>
          <w:b/>
        </w:rPr>
        <w:t>allow</w:t>
      </w:r>
      <w:r w:rsidR="00D8549B">
        <w:rPr>
          <w:rFonts w:ascii="Book Antiqua" w:hAnsi="Book Antiqua" w:cs="Arial"/>
          <w:b/>
        </w:rPr>
        <w:t>ing</w:t>
      </w:r>
      <w:r w:rsidR="00E13247" w:rsidRPr="00EC3EB0">
        <w:rPr>
          <w:rFonts w:ascii="Book Antiqua" w:hAnsi="Book Antiqua" w:cs="Arial"/>
          <w:b/>
        </w:rPr>
        <w:t xml:space="preserve"> the appeal</w:t>
      </w:r>
      <w:r w:rsidR="006806BA">
        <w:rPr>
          <w:rFonts w:ascii="Book Antiqua" w:hAnsi="Book Antiqua" w:cs="Arial"/>
          <w:b/>
        </w:rPr>
        <w:t xml:space="preserve"> on Article 8 grounds</w:t>
      </w:r>
      <w:r w:rsidR="00E13247" w:rsidRPr="00EC3EB0">
        <w:rPr>
          <w:rFonts w:ascii="Book Antiqua" w:hAnsi="Book Antiqua" w:cs="Arial"/>
          <w:b/>
        </w:rPr>
        <w:t>.</w:t>
      </w:r>
    </w:p>
    <w:p w:rsidR="00D8549B" w:rsidRDefault="002A6E80" w:rsidP="00933B65">
      <w:pPr>
        <w:tabs>
          <w:tab w:val="left" w:pos="567"/>
        </w:tabs>
        <w:jc w:val="both"/>
        <w:rPr>
          <w:rFonts w:ascii="Book Antiqua" w:hAnsi="Book Antiqua" w:cs="Arial"/>
        </w:rPr>
      </w:pPr>
      <w:r>
        <w:rPr>
          <w:rFonts w:ascii="Book Antiqua" w:hAnsi="Book Antiqua" w:cs="Arial"/>
        </w:rPr>
        <w:tab/>
      </w:r>
    </w:p>
    <w:p w:rsidR="00D8549B" w:rsidRDefault="00D8549B"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D8549B">
        <w:rPr>
          <w:rFonts w:ascii="Book Antiqua" w:hAnsi="Book Antiqua" w:cs="Arial"/>
        </w:rPr>
        <w:tab/>
      </w:r>
      <w:r w:rsidR="00D8549B">
        <w:rPr>
          <w:rFonts w:ascii="Book Antiqua" w:hAnsi="Book Antiqua" w:cs="Arial"/>
        </w:rPr>
        <w:tab/>
      </w:r>
      <w:r w:rsidR="00D8549B">
        <w:rPr>
          <w:rFonts w:ascii="Book Antiqua" w:hAnsi="Book Antiqua" w:cs="Arial"/>
        </w:rPr>
        <w:tab/>
      </w:r>
      <w:r w:rsidR="00D8549B">
        <w:rPr>
          <w:rFonts w:ascii="Book Antiqua" w:hAnsi="Book Antiqua" w:cs="Arial"/>
        </w:rPr>
        <w:tab/>
      </w:r>
      <w:r w:rsidR="00D8549B">
        <w:rPr>
          <w:rFonts w:ascii="Book Antiqua" w:hAnsi="Book Antiqua" w:cs="Arial"/>
        </w:rPr>
        <w:tab/>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6810E0">
        <w:rPr>
          <w:rFonts w:ascii="Book Antiqua" w:hAnsi="Book Antiqua" w:cs="Arial"/>
        </w:rPr>
        <w:tab/>
      </w:r>
      <w:r w:rsidR="006810E0">
        <w:rPr>
          <w:rFonts w:ascii="Book Antiqua" w:hAnsi="Book Antiqua" w:cs="Arial"/>
        </w:rPr>
        <w:tab/>
      </w:r>
      <w:r>
        <w:rPr>
          <w:rFonts w:ascii="Book Antiqua" w:hAnsi="Book Antiqua" w:cs="Arial"/>
        </w:rPr>
        <w:t>Date</w:t>
      </w:r>
      <w:r w:rsidR="002A6E80">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6C7C57">
        <w:rPr>
          <w:rFonts w:ascii="Book Antiqua" w:hAnsi="Book Antiqua" w:cs="Arial"/>
        </w:rPr>
        <w:t xml:space="preserve"> </w:t>
      </w:r>
      <w:r w:rsidR="006806BA">
        <w:rPr>
          <w:rFonts w:ascii="Book Antiqua" w:hAnsi="Book Antiqua" w:cs="Arial"/>
        </w:rPr>
        <w:t>12 July</w:t>
      </w:r>
      <w:r w:rsidR="00E13247">
        <w:rPr>
          <w:rFonts w:ascii="Book Antiqua" w:hAnsi="Book Antiqua" w:cs="Arial"/>
        </w:rPr>
        <w:t xml:space="preserve"> 2018</w:t>
      </w:r>
    </w:p>
    <w:p w:rsidR="008832E8" w:rsidRDefault="00546523" w:rsidP="00DC331B">
      <w:pPr>
        <w:tabs>
          <w:tab w:val="left" w:pos="567"/>
        </w:tabs>
        <w:jc w:val="both"/>
        <w:rPr>
          <w:rFonts w:ascii="Book Antiqua" w:hAnsi="Book Antiqua" w:cs="Arial"/>
        </w:rPr>
      </w:pPr>
      <w:r>
        <w:rPr>
          <w:rFonts w:ascii="Book Antiqua" w:hAnsi="Book Antiqua" w:cs="Arial"/>
        </w:rPr>
        <w:t>Upper Tribunal Judg</w:t>
      </w:r>
      <w:r w:rsidR="00D8549B">
        <w:rPr>
          <w:rFonts w:ascii="Book Antiqua" w:hAnsi="Book Antiqua" w:cs="Arial"/>
        </w:rPr>
        <w:t xml:space="preserve">e </w:t>
      </w:r>
      <w:proofErr w:type="spellStart"/>
      <w:r w:rsidR="00D8549B">
        <w:rPr>
          <w:rFonts w:ascii="Book Antiqua" w:hAnsi="Book Antiqua" w:cs="Arial"/>
        </w:rPr>
        <w:t>Plimmer</w:t>
      </w:r>
      <w:proofErr w:type="spellEnd"/>
    </w:p>
    <w:sectPr w:rsidR="008832E8"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D92" w:rsidRDefault="00E36D92">
      <w:r>
        <w:separator/>
      </w:r>
    </w:p>
  </w:endnote>
  <w:endnote w:type="continuationSeparator" w:id="0">
    <w:p w:rsidR="00E36D92" w:rsidRDefault="00E36D92">
      <w:r>
        <w:continuationSeparator/>
      </w:r>
    </w:p>
  </w:endnote>
  <w:endnote w:type="continuationNotice" w:id="1">
    <w:p w:rsidR="00E36D92" w:rsidRDefault="00E36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B1A" w:rsidRPr="00593795" w:rsidRDefault="00E51B1A"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66B83">
      <w:rPr>
        <w:rStyle w:val="PageNumber"/>
        <w:rFonts w:ascii="Arial" w:hAnsi="Arial" w:cs="Arial"/>
        <w:noProof/>
        <w:sz w:val="16"/>
        <w:szCs w:val="16"/>
      </w:rPr>
      <w:t>13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B1A" w:rsidRPr="00090CF9" w:rsidRDefault="00E51B1A"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D92" w:rsidRDefault="00E36D92">
      <w:r>
        <w:separator/>
      </w:r>
    </w:p>
  </w:footnote>
  <w:footnote w:type="continuationSeparator" w:id="0">
    <w:p w:rsidR="00E36D92" w:rsidRDefault="00E36D92">
      <w:r>
        <w:continuationSeparator/>
      </w:r>
    </w:p>
  </w:footnote>
  <w:footnote w:type="continuationNotice" w:id="1">
    <w:p w:rsidR="00E36D92" w:rsidRDefault="00E36D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B1A" w:rsidRPr="00995012" w:rsidRDefault="00E51B1A" w:rsidP="00283B9A">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HU/08836/2015</w:t>
    </w:r>
  </w:p>
  <w:p w:rsidR="00E51B1A" w:rsidRPr="001C2435" w:rsidRDefault="00E51B1A"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30B"/>
    <w:multiLevelType w:val="hybridMultilevel"/>
    <w:tmpl w:val="A63826F4"/>
    <w:lvl w:ilvl="0" w:tplc="BC72DD06">
      <w:start w:val="1"/>
      <w:numFmt w:val="decimal"/>
      <w:lvlText w:val="(%1)"/>
      <w:lvlJc w:val="left"/>
      <w:pPr>
        <w:ind w:left="1800" w:hanging="360"/>
      </w:pPr>
      <w:rPr>
        <w:rFonts w:ascii="Book Antiqua" w:eastAsia="Times New Roman" w:hAnsi="Book Antiqua"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76AA"/>
    <w:multiLevelType w:val="hybridMultilevel"/>
    <w:tmpl w:val="4C109696"/>
    <w:lvl w:ilvl="0" w:tplc="D188056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1707A"/>
    <w:multiLevelType w:val="hybridMultilevel"/>
    <w:tmpl w:val="4E92B8FA"/>
    <w:lvl w:ilvl="0" w:tplc="A45A9608">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4" w15:restartNumberingAfterBreak="0">
    <w:nsid w:val="119230BB"/>
    <w:multiLevelType w:val="hybridMultilevel"/>
    <w:tmpl w:val="683AF790"/>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16FE380E"/>
    <w:multiLevelType w:val="hybridMultilevel"/>
    <w:tmpl w:val="D83AE666"/>
    <w:lvl w:ilvl="0" w:tplc="D6004692">
      <w:start w:val="1"/>
      <w:numFmt w:val="lowerRoman"/>
      <w:lvlText w:val="(%1)"/>
      <w:lvlJc w:val="left"/>
      <w:pPr>
        <w:ind w:left="3237" w:hanging="720"/>
      </w:pPr>
      <w:rPr>
        <w:rFonts w:hint="default"/>
      </w:rPr>
    </w:lvl>
    <w:lvl w:ilvl="1" w:tplc="08090019" w:tentative="1">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6" w15:restartNumberingAfterBreak="0">
    <w:nsid w:val="1A125032"/>
    <w:multiLevelType w:val="hybridMultilevel"/>
    <w:tmpl w:val="45A663CE"/>
    <w:lvl w:ilvl="0" w:tplc="E4981EBA">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548776B"/>
    <w:multiLevelType w:val="hybridMultilevel"/>
    <w:tmpl w:val="1E306B84"/>
    <w:lvl w:ilvl="0" w:tplc="125EFC6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8D36A24"/>
    <w:multiLevelType w:val="multilevel"/>
    <w:tmpl w:val="49547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B8E32B5"/>
    <w:multiLevelType w:val="hybridMultilevel"/>
    <w:tmpl w:val="A37AEEFE"/>
    <w:lvl w:ilvl="0" w:tplc="615ED02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95375D"/>
    <w:multiLevelType w:val="hybridMultilevel"/>
    <w:tmpl w:val="780272EE"/>
    <w:lvl w:ilvl="0" w:tplc="CE0C3458">
      <w:numFmt w:val="bullet"/>
      <w:lvlText w:val="-"/>
      <w:lvlJc w:val="left"/>
      <w:pPr>
        <w:ind w:left="1800" w:hanging="360"/>
      </w:pPr>
      <w:rPr>
        <w:rFonts w:ascii="Book Antiqua" w:eastAsia="Times New Roman" w:hAnsi="Book Antiqua"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0B71CA0"/>
    <w:multiLevelType w:val="hybridMultilevel"/>
    <w:tmpl w:val="AD4CB854"/>
    <w:lvl w:ilvl="0" w:tplc="AF6AE2A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17F737A"/>
    <w:multiLevelType w:val="hybridMultilevel"/>
    <w:tmpl w:val="A694EFA6"/>
    <w:lvl w:ilvl="0" w:tplc="73B6A7DC">
      <w:start w:val="3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41897431"/>
    <w:multiLevelType w:val="hybridMultilevel"/>
    <w:tmpl w:val="889C54F4"/>
    <w:lvl w:ilvl="0" w:tplc="93EEBB92">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6"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0" w15:restartNumberingAfterBreak="0">
    <w:nsid w:val="51CA7E96"/>
    <w:multiLevelType w:val="hybridMultilevel"/>
    <w:tmpl w:val="AB8A5A9C"/>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1" w15:restartNumberingAfterBreak="0">
    <w:nsid w:val="57D130C9"/>
    <w:multiLevelType w:val="hybridMultilevel"/>
    <w:tmpl w:val="8D047F0C"/>
    <w:lvl w:ilvl="0" w:tplc="33D60DBE">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2" w15:restartNumberingAfterBreak="0">
    <w:nsid w:val="5B1D24CA"/>
    <w:multiLevelType w:val="hybridMultilevel"/>
    <w:tmpl w:val="D0B074F4"/>
    <w:lvl w:ilvl="0" w:tplc="203ACF9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F557B33"/>
    <w:multiLevelType w:val="hybridMultilevel"/>
    <w:tmpl w:val="D9CE4F3C"/>
    <w:lvl w:ilvl="0" w:tplc="DA464E1C">
      <w:start w:val="1"/>
      <w:numFmt w:val="lowerLetter"/>
      <w:lvlText w:val="(%1)"/>
      <w:lvlJc w:val="left"/>
      <w:pPr>
        <w:ind w:left="2517" w:hanging="36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4"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27" w15:restartNumberingAfterBreak="0">
    <w:nsid w:val="73945660"/>
    <w:multiLevelType w:val="multilevel"/>
    <w:tmpl w:val="EB20D32C"/>
    <w:lvl w:ilvl="0">
      <w:start w:val="1"/>
      <w:numFmt w:val="decimal"/>
      <w:lvlText w:val="%1."/>
      <w:lvlJc w:val="left"/>
      <w:pPr>
        <w:tabs>
          <w:tab w:val="num" w:pos="1710"/>
        </w:tabs>
        <w:ind w:left="1710" w:hanging="360"/>
      </w:pPr>
    </w:lvl>
    <w:lvl w:ilvl="1">
      <w:start w:val="1"/>
      <w:numFmt w:val="decimal"/>
      <w:lvlText w:val="%2."/>
      <w:lvlJc w:val="left"/>
      <w:pPr>
        <w:tabs>
          <w:tab w:val="num" w:pos="2430"/>
        </w:tabs>
        <w:ind w:left="2430" w:hanging="360"/>
      </w:pPr>
    </w:lvl>
    <w:lvl w:ilvl="2">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8" w15:restartNumberingAfterBreak="0">
    <w:nsid w:val="74EE20CD"/>
    <w:multiLevelType w:val="hybridMultilevel"/>
    <w:tmpl w:val="013CA3BA"/>
    <w:lvl w:ilvl="0" w:tplc="46B86F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9"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7CBD2387"/>
    <w:multiLevelType w:val="hybridMultilevel"/>
    <w:tmpl w:val="849A888A"/>
    <w:lvl w:ilvl="0" w:tplc="D2FE098C">
      <w:start w:val="9"/>
      <w:numFmt w:val="lowerLetter"/>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abstractNumId w:val="19"/>
  </w:num>
  <w:num w:numId="2">
    <w:abstractNumId w:val="9"/>
  </w:num>
  <w:num w:numId="3">
    <w:abstractNumId w:val="17"/>
  </w:num>
  <w:num w:numId="4">
    <w:abstractNumId w:val="26"/>
  </w:num>
  <w:num w:numId="5">
    <w:abstractNumId w:val="4"/>
  </w:num>
  <w:num w:numId="6">
    <w:abstractNumId w:val="16"/>
  </w:num>
  <w:num w:numId="7">
    <w:abstractNumId w:val="24"/>
  </w:num>
  <w:num w:numId="8">
    <w:abstractNumId w:val="25"/>
  </w:num>
  <w:num w:numId="9">
    <w:abstractNumId w:val="29"/>
  </w:num>
  <w:num w:numId="10">
    <w:abstractNumId w:val="18"/>
  </w:num>
  <w:num w:numId="11">
    <w:abstractNumId w:val="3"/>
  </w:num>
  <w:num w:numId="12">
    <w:abstractNumId w:val="28"/>
  </w:num>
  <w:num w:numId="13">
    <w:abstractNumId w:val="15"/>
  </w:num>
  <w:num w:numId="14">
    <w:abstractNumId w:val="11"/>
  </w:num>
  <w:num w:numId="15">
    <w:abstractNumId w:val="22"/>
  </w:num>
  <w:num w:numId="16">
    <w:abstractNumId w:val="6"/>
  </w:num>
  <w:num w:numId="17">
    <w:abstractNumId w:val="7"/>
  </w:num>
  <w:num w:numId="18">
    <w:abstractNumId w:val="30"/>
  </w:num>
  <w:num w:numId="19">
    <w:abstractNumId w:val="8"/>
  </w:num>
  <w:num w:numId="20">
    <w:abstractNumId w:val="27"/>
  </w:num>
  <w:num w:numId="21">
    <w:abstractNumId w:val="23"/>
  </w:num>
  <w:num w:numId="22">
    <w:abstractNumId w:val="5"/>
  </w:num>
  <w:num w:numId="23">
    <w:abstractNumId w:val="1"/>
  </w:num>
  <w:num w:numId="24">
    <w:abstractNumId w:val="21"/>
  </w:num>
  <w:num w:numId="25">
    <w:abstractNumId w:val="2"/>
  </w:num>
  <w:num w:numId="26">
    <w:abstractNumId w:val="0"/>
  </w:num>
  <w:num w:numId="27">
    <w:abstractNumId w:val="14"/>
  </w:num>
  <w:num w:numId="28">
    <w:abstractNumId w:val="20"/>
  </w:num>
  <w:num w:numId="29">
    <w:abstractNumId w:val="10"/>
  </w:num>
  <w:num w:numId="30">
    <w:abstractNumId w:val="1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0011"/>
    <w:rsid w:val="00002486"/>
    <w:rsid w:val="00002FC2"/>
    <w:rsid w:val="00010415"/>
    <w:rsid w:val="00017BD6"/>
    <w:rsid w:val="00021289"/>
    <w:rsid w:val="000222AF"/>
    <w:rsid w:val="000245E0"/>
    <w:rsid w:val="000249C2"/>
    <w:rsid w:val="00026948"/>
    <w:rsid w:val="0002779F"/>
    <w:rsid w:val="0003736A"/>
    <w:rsid w:val="00042619"/>
    <w:rsid w:val="00043FED"/>
    <w:rsid w:val="0004472B"/>
    <w:rsid w:val="00044954"/>
    <w:rsid w:val="00044E0B"/>
    <w:rsid w:val="00046D3B"/>
    <w:rsid w:val="00050956"/>
    <w:rsid w:val="00051B5B"/>
    <w:rsid w:val="0005337D"/>
    <w:rsid w:val="000561EC"/>
    <w:rsid w:val="0005710A"/>
    <w:rsid w:val="00057703"/>
    <w:rsid w:val="00057F25"/>
    <w:rsid w:val="0006043E"/>
    <w:rsid w:val="000644CE"/>
    <w:rsid w:val="00065DCD"/>
    <w:rsid w:val="00073F28"/>
    <w:rsid w:val="000777FF"/>
    <w:rsid w:val="00077E83"/>
    <w:rsid w:val="000801C7"/>
    <w:rsid w:val="000837F1"/>
    <w:rsid w:val="00083816"/>
    <w:rsid w:val="00087D4B"/>
    <w:rsid w:val="000923A6"/>
    <w:rsid w:val="0009327C"/>
    <w:rsid w:val="000A16AD"/>
    <w:rsid w:val="000A1810"/>
    <w:rsid w:val="000A224F"/>
    <w:rsid w:val="000A46F9"/>
    <w:rsid w:val="000C0334"/>
    <w:rsid w:val="000C5D5F"/>
    <w:rsid w:val="000C6434"/>
    <w:rsid w:val="000C732B"/>
    <w:rsid w:val="000D6CBE"/>
    <w:rsid w:val="000E090E"/>
    <w:rsid w:val="000E0920"/>
    <w:rsid w:val="000E5731"/>
    <w:rsid w:val="000E6247"/>
    <w:rsid w:val="000F32DF"/>
    <w:rsid w:val="000F6299"/>
    <w:rsid w:val="000F6CD2"/>
    <w:rsid w:val="00100177"/>
    <w:rsid w:val="0010323A"/>
    <w:rsid w:val="0010580E"/>
    <w:rsid w:val="001058E3"/>
    <w:rsid w:val="00110DA1"/>
    <w:rsid w:val="001124BB"/>
    <w:rsid w:val="00112828"/>
    <w:rsid w:val="00114048"/>
    <w:rsid w:val="00115648"/>
    <w:rsid w:val="00116187"/>
    <w:rsid w:val="00116898"/>
    <w:rsid w:val="00116B5B"/>
    <w:rsid w:val="001205DD"/>
    <w:rsid w:val="001225AD"/>
    <w:rsid w:val="00123F76"/>
    <w:rsid w:val="00127F8F"/>
    <w:rsid w:val="00133186"/>
    <w:rsid w:val="001353E0"/>
    <w:rsid w:val="001417A0"/>
    <w:rsid w:val="00142E04"/>
    <w:rsid w:val="0014609C"/>
    <w:rsid w:val="00147E13"/>
    <w:rsid w:val="00150E38"/>
    <w:rsid w:val="001537B6"/>
    <w:rsid w:val="00154BAA"/>
    <w:rsid w:val="001628EA"/>
    <w:rsid w:val="00170894"/>
    <w:rsid w:val="001737A3"/>
    <w:rsid w:val="00187CB1"/>
    <w:rsid w:val="00194269"/>
    <w:rsid w:val="001A373D"/>
    <w:rsid w:val="001A598B"/>
    <w:rsid w:val="001B0689"/>
    <w:rsid w:val="001B0DB6"/>
    <w:rsid w:val="001B1043"/>
    <w:rsid w:val="001B2EC2"/>
    <w:rsid w:val="001B5AE7"/>
    <w:rsid w:val="001B5C8C"/>
    <w:rsid w:val="001B7DDF"/>
    <w:rsid w:val="001C02A3"/>
    <w:rsid w:val="001C140B"/>
    <w:rsid w:val="001C2435"/>
    <w:rsid w:val="001C3DAE"/>
    <w:rsid w:val="001C6228"/>
    <w:rsid w:val="001C6743"/>
    <w:rsid w:val="001C76DF"/>
    <w:rsid w:val="001D242B"/>
    <w:rsid w:val="001D6E9D"/>
    <w:rsid w:val="001E76AB"/>
    <w:rsid w:val="001F7964"/>
    <w:rsid w:val="00200009"/>
    <w:rsid w:val="00200671"/>
    <w:rsid w:val="00200E3C"/>
    <w:rsid w:val="0021298B"/>
    <w:rsid w:val="00217205"/>
    <w:rsid w:val="0022326D"/>
    <w:rsid w:val="00223294"/>
    <w:rsid w:val="0022414D"/>
    <w:rsid w:val="002241A0"/>
    <w:rsid w:val="002317F8"/>
    <w:rsid w:val="00231E1A"/>
    <w:rsid w:val="00233DBF"/>
    <w:rsid w:val="00234BDC"/>
    <w:rsid w:val="00236E51"/>
    <w:rsid w:val="0023741F"/>
    <w:rsid w:val="002415AB"/>
    <w:rsid w:val="002425B6"/>
    <w:rsid w:val="00242D8C"/>
    <w:rsid w:val="002436DB"/>
    <w:rsid w:val="00247D70"/>
    <w:rsid w:val="00255546"/>
    <w:rsid w:val="002645B2"/>
    <w:rsid w:val="00264A55"/>
    <w:rsid w:val="00265927"/>
    <w:rsid w:val="00266FFE"/>
    <w:rsid w:val="00270D89"/>
    <w:rsid w:val="00273B9D"/>
    <w:rsid w:val="002773D7"/>
    <w:rsid w:val="00283B9A"/>
    <w:rsid w:val="002874F9"/>
    <w:rsid w:val="00293FDA"/>
    <w:rsid w:val="0029513D"/>
    <w:rsid w:val="00297367"/>
    <w:rsid w:val="002A6E80"/>
    <w:rsid w:val="002A70E3"/>
    <w:rsid w:val="002A751F"/>
    <w:rsid w:val="002B3C12"/>
    <w:rsid w:val="002B3EDE"/>
    <w:rsid w:val="002B5B7A"/>
    <w:rsid w:val="002B622F"/>
    <w:rsid w:val="002C3AE9"/>
    <w:rsid w:val="002C423E"/>
    <w:rsid w:val="002E0AE0"/>
    <w:rsid w:val="002E1983"/>
    <w:rsid w:val="002E432C"/>
    <w:rsid w:val="002E541B"/>
    <w:rsid w:val="002F275C"/>
    <w:rsid w:val="002F4876"/>
    <w:rsid w:val="002F49C0"/>
    <w:rsid w:val="002F686C"/>
    <w:rsid w:val="002F6D78"/>
    <w:rsid w:val="003034B5"/>
    <w:rsid w:val="00310E00"/>
    <w:rsid w:val="003129A4"/>
    <w:rsid w:val="0031469A"/>
    <w:rsid w:val="003165BE"/>
    <w:rsid w:val="00323DE8"/>
    <w:rsid w:val="0033297D"/>
    <w:rsid w:val="00345182"/>
    <w:rsid w:val="003470B5"/>
    <w:rsid w:val="0035473C"/>
    <w:rsid w:val="00360A06"/>
    <w:rsid w:val="0036211D"/>
    <w:rsid w:val="00365325"/>
    <w:rsid w:val="00365E22"/>
    <w:rsid w:val="00366ABB"/>
    <w:rsid w:val="0038284C"/>
    <w:rsid w:val="0038349A"/>
    <w:rsid w:val="00385FB5"/>
    <w:rsid w:val="00397A5C"/>
    <w:rsid w:val="003A1140"/>
    <w:rsid w:val="003A342C"/>
    <w:rsid w:val="003A4DDA"/>
    <w:rsid w:val="003A52BD"/>
    <w:rsid w:val="003A69B2"/>
    <w:rsid w:val="003A69CA"/>
    <w:rsid w:val="003B159F"/>
    <w:rsid w:val="003B22BB"/>
    <w:rsid w:val="003B5DC1"/>
    <w:rsid w:val="003B68AF"/>
    <w:rsid w:val="003C0633"/>
    <w:rsid w:val="003C090E"/>
    <w:rsid w:val="003C2FCF"/>
    <w:rsid w:val="003C3E80"/>
    <w:rsid w:val="003C5047"/>
    <w:rsid w:val="003C5A70"/>
    <w:rsid w:val="003D7895"/>
    <w:rsid w:val="003E0908"/>
    <w:rsid w:val="003E1F55"/>
    <w:rsid w:val="003E6C9C"/>
    <w:rsid w:val="003F071F"/>
    <w:rsid w:val="003F1265"/>
    <w:rsid w:val="003F61B4"/>
    <w:rsid w:val="00400A00"/>
    <w:rsid w:val="00403258"/>
    <w:rsid w:val="004121BF"/>
    <w:rsid w:val="004171D0"/>
    <w:rsid w:val="00417318"/>
    <w:rsid w:val="0042142E"/>
    <w:rsid w:val="00427C98"/>
    <w:rsid w:val="004314E7"/>
    <w:rsid w:val="004349B6"/>
    <w:rsid w:val="00434C18"/>
    <w:rsid w:val="00435C31"/>
    <w:rsid w:val="004410A2"/>
    <w:rsid w:val="0044131A"/>
    <w:rsid w:val="0044240D"/>
    <w:rsid w:val="00446103"/>
    <w:rsid w:val="00455B98"/>
    <w:rsid w:val="00461DC1"/>
    <w:rsid w:val="004630D5"/>
    <w:rsid w:val="00464809"/>
    <w:rsid w:val="00466B83"/>
    <w:rsid w:val="00490949"/>
    <w:rsid w:val="004A012D"/>
    <w:rsid w:val="004A13AF"/>
    <w:rsid w:val="004A4D99"/>
    <w:rsid w:val="004B0701"/>
    <w:rsid w:val="004D293C"/>
    <w:rsid w:val="004D341F"/>
    <w:rsid w:val="004E212A"/>
    <w:rsid w:val="004E2C3E"/>
    <w:rsid w:val="004E2E8E"/>
    <w:rsid w:val="004E322D"/>
    <w:rsid w:val="004E5146"/>
    <w:rsid w:val="004E7C16"/>
    <w:rsid w:val="004F544C"/>
    <w:rsid w:val="00503D4C"/>
    <w:rsid w:val="00507652"/>
    <w:rsid w:val="00513B3A"/>
    <w:rsid w:val="00515E6B"/>
    <w:rsid w:val="0051780C"/>
    <w:rsid w:val="00522AF8"/>
    <w:rsid w:val="0052470A"/>
    <w:rsid w:val="005320AB"/>
    <w:rsid w:val="00540736"/>
    <w:rsid w:val="00546044"/>
    <w:rsid w:val="00546523"/>
    <w:rsid w:val="00550967"/>
    <w:rsid w:val="0055164B"/>
    <w:rsid w:val="00554478"/>
    <w:rsid w:val="005551AD"/>
    <w:rsid w:val="005552E3"/>
    <w:rsid w:val="005608BE"/>
    <w:rsid w:val="00561AB6"/>
    <w:rsid w:val="00562644"/>
    <w:rsid w:val="00563B8E"/>
    <w:rsid w:val="00564C45"/>
    <w:rsid w:val="005677C9"/>
    <w:rsid w:val="0057020B"/>
    <w:rsid w:val="005819E4"/>
    <w:rsid w:val="00582C9E"/>
    <w:rsid w:val="00585D93"/>
    <w:rsid w:val="0059152B"/>
    <w:rsid w:val="005920A7"/>
    <w:rsid w:val="00595924"/>
    <w:rsid w:val="005979D2"/>
    <w:rsid w:val="005A2866"/>
    <w:rsid w:val="005A3956"/>
    <w:rsid w:val="005A48AB"/>
    <w:rsid w:val="005A519A"/>
    <w:rsid w:val="005B119B"/>
    <w:rsid w:val="005C1A7E"/>
    <w:rsid w:val="005C324E"/>
    <w:rsid w:val="005C7F77"/>
    <w:rsid w:val="005D14A6"/>
    <w:rsid w:val="005D1BA3"/>
    <w:rsid w:val="005D7A7D"/>
    <w:rsid w:val="005E27B4"/>
    <w:rsid w:val="005E4964"/>
    <w:rsid w:val="005E52C5"/>
    <w:rsid w:val="005F475E"/>
    <w:rsid w:val="005F7C82"/>
    <w:rsid w:val="00601EA3"/>
    <w:rsid w:val="006029B1"/>
    <w:rsid w:val="00606460"/>
    <w:rsid w:val="006147DD"/>
    <w:rsid w:val="00614E94"/>
    <w:rsid w:val="00616CA7"/>
    <w:rsid w:val="006200B4"/>
    <w:rsid w:val="00624188"/>
    <w:rsid w:val="00627FC4"/>
    <w:rsid w:val="00630928"/>
    <w:rsid w:val="00631896"/>
    <w:rsid w:val="00633137"/>
    <w:rsid w:val="006349E9"/>
    <w:rsid w:val="00640B73"/>
    <w:rsid w:val="0065782E"/>
    <w:rsid w:val="006603AD"/>
    <w:rsid w:val="006615B1"/>
    <w:rsid w:val="00667B8A"/>
    <w:rsid w:val="00670ADD"/>
    <w:rsid w:val="00672B1B"/>
    <w:rsid w:val="00673D65"/>
    <w:rsid w:val="0068059E"/>
    <w:rsid w:val="006806BA"/>
    <w:rsid w:val="006810E0"/>
    <w:rsid w:val="00684A32"/>
    <w:rsid w:val="00690628"/>
    <w:rsid w:val="00691124"/>
    <w:rsid w:val="00691AA9"/>
    <w:rsid w:val="006948A5"/>
    <w:rsid w:val="006A364A"/>
    <w:rsid w:val="006A3E3F"/>
    <w:rsid w:val="006B5E63"/>
    <w:rsid w:val="006B67A5"/>
    <w:rsid w:val="006B69B4"/>
    <w:rsid w:val="006C06E7"/>
    <w:rsid w:val="006C638A"/>
    <w:rsid w:val="006C7C57"/>
    <w:rsid w:val="006D1AFC"/>
    <w:rsid w:val="006D3578"/>
    <w:rsid w:val="006D440F"/>
    <w:rsid w:val="006D5D0D"/>
    <w:rsid w:val="006D6974"/>
    <w:rsid w:val="006D7127"/>
    <w:rsid w:val="006D76D8"/>
    <w:rsid w:val="006E6C12"/>
    <w:rsid w:val="006E6ECE"/>
    <w:rsid w:val="006F03A8"/>
    <w:rsid w:val="006F60FA"/>
    <w:rsid w:val="006F799E"/>
    <w:rsid w:val="0070417F"/>
    <w:rsid w:val="007053F4"/>
    <w:rsid w:val="00706C98"/>
    <w:rsid w:val="00712F2F"/>
    <w:rsid w:val="007140FB"/>
    <w:rsid w:val="00724C28"/>
    <w:rsid w:val="00732041"/>
    <w:rsid w:val="00744EAD"/>
    <w:rsid w:val="00746F45"/>
    <w:rsid w:val="00747D26"/>
    <w:rsid w:val="00752A9D"/>
    <w:rsid w:val="007535E9"/>
    <w:rsid w:val="00754D7C"/>
    <w:rsid w:val="00755352"/>
    <w:rsid w:val="007617E5"/>
    <w:rsid w:val="007667F0"/>
    <w:rsid w:val="00766992"/>
    <w:rsid w:val="00770538"/>
    <w:rsid w:val="00783644"/>
    <w:rsid w:val="007910CB"/>
    <w:rsid w:val="00795E5C"/>
    <w:rsid w:val="007A4305"/>
    <w:rsid w:val="007A45B8"/>
    <w:rsid w:val="007A4740"/>
    <w:rsid w:val="007A7CB9"/>
    <w:rsid w:val="007A7F13"/>
    <w:rsid w:val="007B0C83"/>
    <w:rsid w:val="007B1C8C"/>
    <w:rsid w:val="007C092A"/>
    <w:rsid w:val="007C2EC7"/>
    <w:rsid w:val="007C68D1"/>
    <w:rsid w:val="007D4815"/>
    <w:rsid w:val="007D4F6E"/>
    <w:rsid w:val="007E30F7"/>
    <w:rsid w:val="007E44B8"/>
    <w:rsid w:val="007E4C23"/>
    <w:rsid w:val="007E60ED"/>
    <w:rsid w:val="007F04CE"/>
    <w:rsid w:val="007F1592"/>
    <w:rsid w:val="007F37E3"/>
    <w:rsid w:val="008064FF"/>
    <w:rsid w:val="0080769D"/>
    <w:rsid w:val="0082483A"/>
    <w:rsid w:val="00832795"/>
    <w:rsid w:val="00834C92"/>
    <w:rsid w:val="00835E77"/>
    <w:rsid w:val="008400AD"/>
    <w:rsid w:val="00841D9C"/>
    <w:rsid w:val="008474B4"/>
    <w:rsid w:val="008519DF"/>
    <w:rsid w:val="008522D4"/>
    <w:rsid w:val="00855E0F"/>
    <w:rsid w:val="008636A1"/>
    <w:rsid w:val="00865CEA"/>
    <w:rsid w:val="008713ED"/>
    <w:rsid w:val="008806BD"/>
    <w:rsid w:val="008830B0"/>
    <w:rsid w:val="008832E8"/>
    <w:rsid w:val="00884A06"/>
    <w:rsid w:val="00892C08"/>
    <w:rsid w:val="00897442"/>
    <w:rsid w:val="00897456"/>
    <w:rsid w:val="008A1BE0"/>
    <w:rsid w:val="008A3329"/>
    <w:rsid w:val="008A3B24"/>
    <w:rsid w:val="008A44A9"/>
    <w:rsid w:val="008A6BD6"/>
    <w:rsid w:val="008B08E5"/>
    <w:rsid w:val="008B1FDE"/>
    <w:rsid w:val="008B302B"/>
    <w:rsid w:val="008B64D8"/>
    <w:rsid w:val="008B7FB2"/>
    <w:rsid w:val="008C7786"/>
    <w:rsid w:val="008D08BB"/>
    <w:rsid w:val="008D3E9C"/>
    <w:rsid w:val="008D6A17"/>
    <w:rsid w:val="008E0B03"/>
    <w:rsid w:val="008E3AFF"/>
    <w:rsid w:val="008E3CED"/>
    <w:rsid w:val="008F190D"/>
    <w:rsid w:val="008F570A"/>
    <w:rsid w:val="00902301"/>
    <w:rsid w:val="009104A3"/>
    <w:rsid w:val="00925C93"/>
    <w:rsid w:val="00930425"/>
    <w:rsid w:val="00933B65"/>
    <w:rsid w:val="00934222"/>
    <w:rsid w:val="00937297"/>
    <w:rsid w:val="00944E62"/>
    <w:rsid w:val="009453ED"/>
    <w:rsid w:val="00947A36"/>
    <w:rsid w:val="009521B0"/>
    <w:rsid w:val="0095371D"/>
    <w:rsid w:val="00953990"/>
    <w:rsid w:val="00960EC1"/>
    <w:rsid w:val="00961CBF"/>
    <w:rsid w:val="00963080"/>
    <w:rsid w:val="00963F3B"/>
    <w:rsid w:val="009666E4"/>
    <w:rsid w:val="009701EB"/>
    <w:rsid w:val="00971AE7"/>
    <w:rsid w:val="0097201F"/>
    <w:rsid w:val="009737D2"/>
    <w:rsid w:val="0097492B"/>
    <w:rsid w:val="00975569"/>
    <w:rsid w:val="009942DD"/>
    <w:rsid w:val="009947DB"/>
    <w:rsid w:val="00995012"/>
    <w:rsid w:val="009A1DFB"/>
    <w:rsid w:val="009A7979"/>
    <w:rsid w:val="009B3BBC"/>
    <w:rsid w:val="009B6798"/>
    <w:rsid w:val="009B684C"/>
    <w:rsid w:val="009B73C5"/>
    <w:rsid w:val="009C4340"/>
    <w:rsid w:val="009C6307"/>
    <w:rsid w:val="009D2005"/>
    <w:rsid w:val="009D2298"/>
    <w:rsid w:val="009D5EB6"/>
    <w:rsid w:val="009D7F0F"/>
    <w:rsid w:val="009E0EFF"/>
    <w:rsid w:val="009E1E98"/>
    <w:rsid w:val="009E5058"/>
    <w:rsid w:val="009E6F42"/>
    <w:rsid w:val="009E7A66"/>
    <w:rsid w:val="009F14C4"/>
    <w:rsid w:val="00A03E4C"/>
    <w:rsid w:val="00A1009E"/>
    <w:rsid w:val="00A12F4F"/>
    <w:rsid w:val="00A147A1"/>
    <w:rsid w:val="00A14BC4"/>
    <w:rsid w:val="00A20920"/>
    <w:rsid w:val="00A2242F"/>
    <w:rsid w:val="00A224FA"/>
    <w:rsid w:val="00A2366B"/>
    <w:rsid w:val="00A24480"/>
    <w:rsid w:val="00A24D24"/>
    <w:rsid w:val="00A24ED7"/>
    <w:rsid w:val="00A305C0"/>
    <w:rsid w:val="00A32F1E"/>
    <w:rsid w:val="00A3362A"/>
    <w:rsid w:val="00A44FE4"/>
    <w:rsid w:val="00A458C7"/>
    <w:rsid w:val="00A56345"/>
    <w:rsid w:val="00A57676"/>
    <w:rsid w:val="00A6490C"/>
    <w:rsid w:val="00A673B7"/>
    <w:rsid w:val="00A7051D"/>
    <w:rsid w:val="00A722C1"/>
    <w:rsid w:val="00A73DFD"/>
    <w:rsid w:val="00A764FC"/>
    <w:rsid w:val="00A83F11"/>
    <w:rsid w:val="00A86A8D"/>
    <w:rsid w:val="00A903E0"/>
    <w:rsid w:val="00AA278C"/>
    <w:rsid w:val="00AA27EE"/>
    <w:rsid w:val="00AA3A29"/>
    <w:rsid w:val="00AA7B5D"/>
    <w:rsid w:val="00AB09C1"/>
    <w:rsid w:val="00AB10B3"/>
    <w:rsid w:val="00AB11E3"/>
    <w:rsid w:val="00AB72FE"/>
    <w:rsid w:val="00AC2B7A"/>
    <w:rsid w:val="00AC728C"/>
    <w:rsid w:val="00AD16D9"/>
    <w:rsid w:val="00AE2DBD"/>
    <w:rsid w:val="00AF219C"/>
    <w:rsid w:val="00AF2E1F"/>
    <w:rsid w:val="00B00C82"/>
    <w:rsid w:val="00B01F86"/>
    <w:rsid w:val="00B120C3"/>
    <w:rsid w:val="00B14510"/>
    <w:rsid w:val="00B15813"/>
    <w:rsid w:val="00B215E3"/>
    <w:rsid w:val="00B32F2E"/>
    <w:rsid w:val="00B33FF0"/>
    <w:rsid w:val="00B35DE4"/>
    <w:rsid w:val="00B36EE3"/>
    <w:rsid w:val="00B43524"/>
    <w:rsid w:val="00B43C37"/>
    <w:rsid w:val="00B43CF2"/>
    <w:rsid w:val="00B45691"/>
    <w:rsid w:val="00B51993"/>
    <w:rsid w:val="00B54AAD"/>
    <w:rsid w:val="00B55295"/>
    <w:rsid w:val="00B62670"/>
    <w:rsid w:val="00B6393F"/>
    <w:rsid w:val="00B66FD4"/>
    <w:rsid w:val="00B723E7"/>
    <w:rsid w:val="00B729A0"/>
    <w:rsid w:val="00B73603"/>
    <w:rsid w:val="00B73850"/>
    <w:rsid w:val="00B7387D"/>
    <w:rsid w:val="00B75D20"/>
    <w:rsid w:val="00B76102"/>
    <w:rsid w:val="00B76C1E"/>
    <w:rsid w:val="00B824B5"/>
    <w:rsid w:val="00B84099"/>
    <w:rsid w:val="00B8596B"/>
    <w:rsid w:val="00B93081"/>
    <w:rsid w:val="00B9620A"/>
    <w:rsid w:val="00BA1CC9"/>
    <w:rsid w:val="00BA3F7D"/>
    <w:rsid w:val="00BA719D"/>
    <w:rsid w:val="00BB40C3"/>
    <w:rsid w:val="00BB4426"/>
    <w:rsid w:val="00BC033A"/>
    <w:rsid w:val="00BC6755"/>
    <w:rsid w:val="00BD69F6"/>
    <w:rsid w:val="00BE27D1"/>
    <w:rsid w:val="00BF74FC"/>
    <w:rsid w:val="00C00274"/>
    <w:rsid w:val="00C02AF7"/>
    <w:rsid w:val="00C03F64"/>
    <w:rsid w:val="00C05247"/>
    <w:rsid w:val="00C1109B"/>
    <w:rsid w:val="00C1291A"/>
    <w:rsid w:val="00C13711"/>
    <w:rsid w:val="00C20332"/>
    <w:rsid w:val="00C23AC4"/>
    <w:rsid w:val="00C24B14"/>
    <w:rsid w:val="00C30145"/>
    <w:rsid w:val="00C339BB"/>
    <w:rsid w:val="00C356EE"/>
    <w:rsid w:val="00C37066"/>
    <w:rsid w:val="00C376B8"/>
    <w:rsid w:val="00C417BD"/>
    <w:rsid w:val="00C566F8"/>
    <w:rsid w:val="00C56E05"/>
    <w:rsid w:val="00C57040"/>
    <w:rsid w:val="00C6218A"/>
    <w:rsid w:val="00C64390"/>
    <w:rsid w:val="00C67669"/>
    <w:rsid w:val="00C84274"/>
    <w:rsid w:val="00C95D49"/>
    <w:rsid w:val="00C96DDA"/>
    <w:rsid w:val="00C97EFD"/>
    <w:rsid w:val="00CA35D6"/>
    <w:rsid w:val="00CA519A"/>
    <w:rsid w:val="00CA604A"/>
    <w:rsid w:val="00CA6605"/>
    <w:rsid w:val="00CA6FE9"/>
    <w:rsid w:val="00CB7AEB"/>
    <w:rsid w:val="00CC674B"/>
    <w:rsid w:val="00CC67CC"/>
    <w:rsid w:val="00CD00B6"/>
    <w:rsid w:val="00CD2429"/>
    <w:rsid w:val="00CD530C"/>
    <w:rsid w:val="00CE08A7"/>
    <w:rsid w:val="00CE4EC8"/>
    <w:rsid w:val="00CF78C6"/>
    <w:rsid w:val="00D005D3"/>
    <w:rsid w:val="00D020FE"/>
    <w:rsid w:val="00D06387"/>
    <w:rsid w:val="00D13422"/>
    <w:rsid w:val="00D13999"/>
    <w:rsid w:val="00D2187A"/>
    <w:rsid w:val="00D2331F"/>
    <w:rsid w:val="00D23823"/>
    <w:rsid w:val="00D23DF7"/>
    <w:rsid w:val="00D25C76"/>
    <w:rsid w:val="00D32082"/>
    <w:rsid w:val="00D3274C"/>
    <w:rsid w:val="00D3346C"/>
    <w:rsid w:val="00D36F32"/>
    <w:rsid w:val="00D4021A"/>
    <w:rsid w:val="00D42E13"/>
    <w:rsid w:val="00D43676"/>
    <w:rsid w:val="00D450A9"/>
    <w:rsid w:val="00D457CA"/>
    <w:rsid w:val="00D51590"/>
    <w:rsid w:val="00D520CA"/>
    <w:rsid w:val="00D56315"/>
    <w:rsid w:val="00D567A2"/>
    <w:rsid w:val="00D63529"/>
    <w:rsid w:val="00D6528C"/>
    <w:rsid w:val="00D7047D"/>
    <w:rsid w:val="00D75A45"/>
    <w:rsid w:val="00D80E8E"/>
    <w:rsid w:val="00D8549B"/>
    <w:rsid w:val="00D85A70"/>
    <w:rsid w:val="00DA0084"/>
    <w:rsid w:val="00DA205B"/>
    <w:rsid w:val="00DA2743"/>
    <w:rsid w:val="00DA34E4"/>
    <w:rsid w:val="00DA3C29"/>
    <w:rsid w:val="00DB08CF"/>
    <w:rsid w:val="00DB450A"/>
    <w:rsid w:val="00DC09E3"/>
    <w:rsid w:val="00DC1D69"/>
    <w:rsid w:val="00DC331B"/>
    <w:rsid w:val="00DD0C2B"/>
    <w:rsid w:val="00DD1083"/>
    <w:rsid w:val="00DD77EC"/>
    <w:rsid w:val="00DE08A5"/>
    <w:rsid w:val="00DE43BA"/>
    <w:rsid w:val="00DE69D3"/>
    <w:rsid w:val="00DE6F8D"/>
    <w:rsid w:val="00DE7067"/>
    <w:rsid w:val="00DF40D7"/>
    <w:rsid w:val="00DF50B4"/>
    <w:rsid w:val="00E02BBF"/>
    <w:rsid w:val="00E05043"/>
    <w:rsid w:val="00E0620F"/>
    <w:rsid w:val="00E073AD"/>
    <w:rsid w:val="00E076E1"/>
    <w:rsid w:val="00E13247"/>
    <w:rsid w:val="00E17C4A"/>
    <w:rsid w:val="00E20B55"/>
    <w:rsid w:val="00E2585E"/>
    <w:rsid w:val="00E26215"/>
    <w:rsid w:val="00E271C0"/>
    <w:rsid w:val="00E2791E"/>
    <w:rsid w:val="00E32687"/>
    <w:rsid w:val="00E32DBA"/>
    <w:rsid w:val="00E368B7"/>
    <w:rsid w:val="00E36D92"/>
    <w:rsid w:val="00E41E4B"/>
    <w:rsid w:val="00E43B9A"/>
    <w:rsid w:val="00E468D9"/>
    <w:rsid w:val="00E46D74"/>
    <w:rsid w:val="00E47045"/>
    <w:rsid w:val="00E4746A"/>
    <w:rsid w:val="00E47504"/>
    <w:rsid w:val="00E47ACB"/>
    <w:rsid w:val="00E47ACF"/>
    <w:rsid w:val="00E51B1A"/>
    <w:rsid w:val="00E563BD"/>
    <w:rsid w:val="00E56C67"/>
    <w:rsid w:val="00E56F77"/>
    <w:rsid w:val="00E643E4"/>
    <w:rsid w:val="00E643E9"/>
    <w:rsid w:val="00E75834"/>
    <w:rsid w:val="00E764D7"/>
    <w:rsid w:val="00E80302"/>
    <w:rsid w:val="00E87157"/>
    <w:rsid w:val="00E904EB"/>
    <w:rsid w:val="00E93AEC"/>
    <w:rsid w:val="00E96A83"/>
    <w:rsid w:val="00EB57FA"/>
    <w:rsid w:val="00EB7BAE"/>
    <w:rsid w:val="00EC0E52"/>
    <w:rsid w:val="00EC3EB0"/>
    <w:rsid w:val="00EC767D"/>
    <w:rsid w:val="00ED13D4"/>
    <w:rsid w:val="00ED4EB6"/>
    <w:rsid w:val="00ED624E"/>
    <w:rsid w:val="00EE0174"/>
    <w:rsid w:val="00EE0366"/>
    <w:rsid w:val="00EE0C3E"/>
    <w:rsid w:val="00EE4435"/>
    <w:rsid w:val="00EE4DB4"/>
    <w:rsid w:val="00EF0682"/>
    <w:rsid w:val="00EF09D6"/>
    <w:rsid w:val="00EF1ED8"/>
    <w:rsid w:val="00EF32C3"/>
    <w:rsid w:val="00EF3575"/>
    <w:rsid w:val="00EF4A10"/>
    <w:rsid w:val="00F011B7"/>
    <w:rsid w:val="00F03123"/>
    <w:rsid w:val="00F032E2"/>
    <w:rsid w:val="00F04C04"/>
    <w:rsid w:val="00F04C1E"/>
    <w:rsid w:val="00F128BA"/>
    <w:rsid w:val="00F131CD"/>
    <w:rsid w:val="00F13CED"/>
    <w:rsid w:val="00F21C15"/>
    <w:rsid w:val="00F223F2"/>
    <w:rsid w:val="00F2779A"/>
    <w:rsid w:val="00F30A03"/>
    <w:rsid w:val="00F361D6"/>
    <w:rsid w:val="00F44C50"/>
    <w:rsid w:val="00F4566B"/>
    <w:rsid w:val="00F47B2C"/>
    <w:rsid w:val="00F52652"/>
    <w:rsid w:val="00F61B4A"/>
    <w:rsid w:val="00F63B74"/>
    <w:rsid w:val="00F648C0"/>
    <w:rsid w:val="00F6559B"/>
    <w:rsid w:val="00F6638D"/>
    <w:rsid w:val="00F73FBC"/>
    <w:rsid w:val="00F74ECC"/>
    <w:rsid w:val="00F75541"/>
    <w:rsid w:val="00F7625C"/>
    <w:rsid w:val="00F76AEE"/>
    <w:rsid w:val="00F77376"/>
    <w:rsid w:val="00F8115F"/>
    <w:rsid w:val="00F859B3"/>
    <w:rsid w:val="00F93F09"/>
    <w:rsid w:val="00F95B15"/>
    <w:rsid w:val="00F95C8C"/>
    <w:rsid w:val="00F9640D"/>
    <w:rsid w:val="00FA0388"/>
    <w:rsid w:val="00FA0A2E"/>
    <w:rsid w:val="00FA3FDF"/>
    <w:rsid w:val="00FA409F"/>
    <w:rsid w:val="00FA5894"/>
    <w:rsid w:val="00FB0516"/>
    <w:rsid w:val="00FB0E00"/>
    <w:rsid w:val="00FB2A47"/>
    <w:rsid w:val="00FB5094"/>
    <w:rsid w:val="00FB6557"/>
    <w:rsid w:val="00FC4923"/>
    <w:rsid w:val="00FD61E1"/>
    <w:rsid w:val="00FD6FDE"/>
    <w:rsid w:val="00FF49F3"/>
    <w:rsid w:val="00FF6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9477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6B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Heading5Char">
    <w:name w:val="Heading 5 Char"/>
    <w:link w:val="Heading5"/>
    <w:semiHidden/>
    <w:rsid w:val="00C376B8"/>
    <w:rPr>
      <w:rFonts w:ascii="Calibri" w:eastAsia="Times New Roman" w:hAnsi="Calibri" w:cs="Times New Roman"/>
      <w:b/>
      <w:bCs/>
      <w:i/>
      <w:iCs/>
      <w:sz w:val="26"/>
      <w:szCs w:val="26"/>
    </w:rPr>
  </w:style>
  <w:style w:type="character" w:customStyle="1" w:styleId="legamendingtext">
    <w:name w:val="legamendingtext"/>
    <w:rsid w:val="00C376B8"/>
  </w:style>
  <w:style w:type="paragraph" w:customStyle="1" w:styleId="legclearfix">
    <w:name w:val="legclearfix"/>
    <w:basedOn w:val="Normal"/>
    <w:rsid w:val="00C376B8"/>
    <w:pPr>
      <w:spacing w:before="100" w:beforeAutospacing="1" w:after="100" w:afterAutospacing="1"/>
    </w:pPr>
  </w:style>
  <w:style w:type="paragraph" w:customStyle="1" w:styleId="legrhs">
    <w:name w:val="legrhs"/>
    <w:basedOn w:val="Normal"/>
    <w:rsid w:val="00C376B8"/>
    <w:pPr>
      <w:spacing w:before="100" w:beforeAutospacing="1" w:after="100" w:afterAutospacing="1"/>
    </w:pPr>
  </w:style>
  <w:style w:type="character" w:styleId="Hyperlink">
    <w:name w:val="Hyperlink"/>
    <w:uiPriority w:val="99"/>
    <w:unhideWhenUsed/>
    <w:rsid w:val="00287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87172">
      <w:bodyDiv w:val="1"/>
      <w:marLeft w:val="0"/>
      <w:marRight w:val="0"/>
      <w:marTop w:val="0"/>
      <w:marBottom w:val="0"/>
      <w:divBdr>
        <w:top w:val="none" w:sz="0" w:space="0" w:color="auto"/>
        <w:left w:val="none" w:sz="0" w:space="0" w:color="auto"/>
        <w:bottom w:val="none" w:sz="0" w:space="0" w:color="auto"/>
        <w:right w:val="none" w:sz="0" w:space="0" w:color="auto"/>
      </w:divBdr>
    </w:div>
    <w:div w:id="1360740934">
      <w:bodyDiv w:val="1"/>
      <w:marLeft w:val="0"/>
      <w:marRight w:val="0"/>
      <w:marTop w:val="0"/>
      <w:marBottom w:val="0"/>
      <w:divBdr>
        <w:top w:val="none" w:sz="0" w:space="0" w:color="auto"/>
        <w:left w:val="none" w:sz="0" w:space="0" w:color="auto"/>
        <w:bottom w:val="none" w:sz="0" w:space="0" w:color="auto"/>
        <w:right w:val="none" w:sz="0" w:space="0" w:color="auto"/>
      </w:divBdr>
    </w:div>
    <w:div w:id="1611162992">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6028</Words>
  <Characters>30004</Characters>
  <Application>Microsoft Office Word</Application>
  <DocSecurity>0</DocSecurity>
  <Lines>250</Lines>
  <Paragraphs>71</Paragraphs>
  <ScaleCrop>false</ScaleCrop>
  <Company/>
  <LinksUpToDate>false</LinksUpToDate>
  <CharactersWithSpaces>35961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2018-08-01T13:39:00Z</dcterms:created>
  <dcterms:modified xsi:type="dcterms:W3CDTF">2018-08-01T13:39:00Z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