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Default="000D401A" w:rsidP="008A6059">
      <w:pPr>
        <w:jc w:val="center"/>
      </w:pPr>
      <w:r>
        <w:rPr>
          <w:noProof/>
        </w:rPr>
        <w:drawing>
          <wp:inline distT="0" distB="0" distL="0" distR="0">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bookmarkStart w:id="0" w:name="_GoBack"/>
      <w:bookmarkEnd w:id="0"/>
    </w:p>
    <w:p w:rsidR="007B0824" w:rsidRPr="000F0B3D" w:rsidRDefault="008A6059" w:rsidP="00780F86">
      <w:pPr>
        <w:tabs>
          <w:tab w:val="right" w:pos="9720"/>
        </w:tabs>
        <w:ind w:right="-82"/>
        <w:rPr>
          <w:rFonts w:ascii="Book Antiqua" w:hAnsi="Book Antiqua" w:cs="Arial"/>
          <w:b/>
          <w:caps/>
          <w:color w:val="000000"/>
        </w:rPr>
      </w:pPr>
      <w:r w:rsidRPr="009B7433">
        <w:rPr>
          <w:rFonts w:ascii="Book Antiqua" w:hAnsi="Book Antiqua" w:cs="Arial"/>
          <w:b/>
          <w:color w:val="000000"/>
        </w:rPr>
        <w:t xml:space="preserve">(Immigration and Asylum </w:t>
      </w:r>
      <w:proofErr w:type="gramStart"/>
      <w:r w:rsidRPr="009B7433">
        <w:rPr>
          <w:rFonts w:ascii="Book Antiqua" w:hAnsi="Book Antiqua" w:cs="Arial"/>
          <w:b/>
          <w:color w:val="000000"/>
        </w:rPr>
        <w:t>Chamber)</w:t>
      </w:r>
      <w:r w:rsidR="000F0B3D">
        <w:rPr>
          <w:rFonts w:ascii="Book Antiqua" w:hAnsi="Book Antiqua" w:cs="Arial"/>
          <w:b/>
          <w:color w:val="000000"/>
        </w:rPr>
        <w:t xml:space="preserve">   </w:t>
      </w:r>
      <w:proofErr w:type="gramEnd"/>
      <w:r w:rsidR="000F0B3D">
        <w:rPr>
          <w:rFonts w:ascii="Book Antiqua" w:hAnsi="Book Antiqua" w:cs="Arial"/>
          <w:b/>
          <w:color w:val="000000"/>
        </w:rPr>
        <w:t xml:space="preserve">                   </w:t>
      </w:r>
      <w:r w:rsidR="00B3524D" w:rsidRPr="000F0B3D">
        <w:rPr>
          <w:rFonts w:ascii="Book Antiqua" w:hAnsi="Book Antiqua" w:cs="Arial"/>
          <w:b/>
          <w:color w:val="000000"/>
        </w:rPr>
        <w:t>Appeal Number</w:t>
      </w:r>
      <w:r w:rsidR="00D53769" w:rsidRPr="000F0B3D">
        <w:rPr>
          <w:rFonts w:ascii="Book Antiqua" w:hAnsi="Book Antiqua" w:cs="Arial"/>
          <w:b/>
          <w:color w:val="000000"/>
        </w:rPr>
        <w:t>:</w:t>
      </w:r>
      <w:r w:rsidR="00B3524D" w:rsidRPr="000F0B3D">
        <w:rPr>
          <w:rFonts w:ascii="Book Antiqua" w:hAnsi="Book Antiqua" w:cs="Arial"/>
          <w:b/>
          <w:color w:val="000000"/>
        </w:rPr>
        <w:t xml:space="preserve"> </w:t>
      </w:r>
      <w:r w:rsidR="00183F92" w:rsidRPr="000F0B3D">
        <w:rPr>
          <w:rFonts w:ascii="Book Antiqua" w:hAnsi="Book Antiqua" w:cs="Arial"/>
          <w:b/>
          <w:color w:val="000000"/>
        </w:rPr>
        <w:t>HU/08846/2016</w:t>
      </w:r>
    </w:p>
    <w:p w:rsidR="00617200" w:rsidRPr="00974915" w:rsidRDefault="00617200" w:rsidP="00C345E1">
      <w:pPr>
        <w:jc w:val="center"/>
        <w:rPr>
          <w:rFonts w:ascii="Book Antiqua" w:hAnsi="Book Antiqua" w:cs="Arial"/>
          <w:b/>
          <w:color w:val="000000"/>
          <w:u w:val="single"/>
        </w:rPr>
      </w:pPr>
    </w:p>
    <w:p w:rsidR="00C345E1" w:rsidRPr="00036ABB" w:rsidRDefault="00C345E1" w:rsidP="00C345E1">
      <w:pPr>
        <w:jc w:val="center"/>
        <w:rPr>
          <w:rFonts w:ascii="Book Antiqua" w:hAnsi="Book Antiqua" w:cs="Arial"/>
          <w:b/>
          <w:color w:val="000000"/>
          <w:u w:val="single"/>
          <w:lang w:val="es-ES"/>
        </w:rPr>
      </w:pPr>
      <w:r w:rsidRPr="00036ABB">
        <w:rPr>
          <w:rFonts w:ascii="Book Antiqua" w:hAnsi="Book Antiqua" w:cs="Arial"/>
          <w:b/>
          <w:color w:val="000000"/>
          <w:u w:val="single"/>
          <w:lang w:val="es-ES"/>
        </w:rPr>
        <w:t>THE IMMIGRATION ACTS</w:t>
      </w:r>
    </w:p>
    <w:p w:rsidR="00C345E1" w:rsidRPr="00036ABB" w:rsidRDefault="00C345E1" w:rsidP="00C345E1">
      <w:pPr>
        <w:jc w:val="center"/>
        <w:rPr>
          <w:rFonts w:ascii="Book Antiqua" w:hAnsi="Book Antiqua" w:cs="Arial"/>
          <w:b/>
          <w:u w:val="single"/>
          <w:lang w:val="es-ES"/>
        </w:rPr>
      </w:pPr>
    </w:p>
    <w:tbl>
      <w:tblPr>
        <w:tblW w:w="10008" w:type="dxa"/>
        <w:tblLook w:val="01E0" w:firstRow="1" w:lastRow="1" w:firstColumn="1" w:lastColumn="1" w:noHBand="0" w:noVBand="0"/>
      </w:tblPr>
      <w:tblGrid>
        <w:gridCol w:w="5103"/>
        <w:gridCol w:w="4905"/>
      </w:tblGrid>
      <w:tr w:rsidR="00D22636" w:rsidRPr="00FC2785" w:rsidTr="000F0B3D">
        <w:tc>
          <w:tcPr>
            <w:tcW w:w="5103" w:type="dxa"/>
            <w:shd w:val="clear" w:color="auto" w:fill="auto"/>
          </w:tcPr>
          <w:p w:rsidR="00D22636" w:rsidRPr="00FC2785" w:rsidRDefault="00693991" w:rsidP="00FC2785">
            <w:pPr>
              <w:jc w:val="both"/>
              <w:rPr>
                <w:rFonts w:ascii="Book Antiqua" w:hAnsi="Book Antiqua" w:cs="Arial"/>
                <w:b/>
              </w:rPr>
            </w:pPr>
            <w:r>
              <w:rPr>
                <w:rFonts w:ascii="Book Antiqua" w:hAnsi="Book Antiqua" w:cs="Arial"/>
                <w:b/>
              </w:rPr>
              <w:t>Heard at Glasgow</w:t>
            </w:r>
          </w:p>
        </w:tc>
        <w:tc>
          <w:tcPr>
            <w:tcW w:w="4905" w:type="dxa"/>
            <w:shd w:val="clear" w:color="auto" w:fill="auto"/>
          </w:tcPr>
          <w:p w:rsidR="00D22636" w:rsidRPr="00FC2785" w:rsidRDefault="000F0B3D" w:rsidP="00FC2785">
            <w:pPr>
              <w:jc w:val="both"/>
              <w:rPr>
                <w:rFonts w:ascii="Book Antiqua" w:hAnsi="Book Antiqua" w:cs="Arial"/>
                <w:b/>
                <w:color w:val="000000"/>
              </w:rPr>
            </w:pPr>
            <w:r>
              <w:rPr>
                <w:rFonts w:ascii="Book Antiqua" w:hAnsi="Book Antiqua" w:cs="Arial"/>
                <w:b/>
                <w:color w:val="000000"/>
              </w:rPr>
              <w:t xml:space="preserve">  </w:t>
            </w:r>
            <w:r w:rsidR="00D949B7" w:rsidRPr="00FC2785">
              <w:rPr>
                <w:rFonts w:ascii="Book Antiqua" w:hAnsi="Book Antiqua" w:cs="Arial"/>
                <w:b/>
                <w:color w:val="000000"/>
              </w:rPr>
              <w:t>Decision &amp; Reasons</w:t>
            </w:r>
            <w:r w:rsidR="00283659" w:rsidRPr="00FC2785">
              <w:rPr>
                <w:rFonts w:ascii="Book Antiqua" w:hAnsi="Book Antiqua" w:cs="Arial"/>
                <w:b/>
                <w:color w:val="000000"/>
              </w:rPr>
              <w:t xml:space="preserve"> Promulgated</w:t>
            </w:r>
          </w:p>
        </w:tc>
      </w:tr>
      <w:tr w:rsidR="00D22636" w:rsidRPr="00FC2785" w:rsidTr="000F0B3D">
        <w:tc>
          <w:tcPr>
            <w:tcW w:w="5103" w:type="dxa"/>
            <w:shd w:val="clear" w:color="auto" w:fill="auto"/>
          </w:tcPr>
          <w:p w:rsidR="00C1328D" w:rsidRPr="00FC2785" w:rsidRDefault="0043035D" w:rsidP="00FC2785">
            <w:pPr>
              <w:jc w:val="both"/>
              <w:rPr>
                <w:rFonts w:ascii="Book Antiqua" w:hAnsi="Book Antiqua" w:cs="Arial"/>
                <w:b/>
              </w:rPr>
            </w:pPr>
            <w:r>
              <w:rPr>
                <w:rFonts w:ascii="Book Antiqua" w:hAnsi="Book Antiqua" w:cs="Arial"/>
                <w:b/>
              </w:rPr>
              <w:t>15</w:t>
            </w:r>
            <w:r w:rsidR="00183F92">
              <w:rPr>
                <w:rFonts w:ascii="Book Antiqua" w:hAnsi="Book Antiqua" w:cs="Arial"/>
                <w:b/>
              </w:rPr>
              <w:t xml:space="preserve"> </w:t>
            </w:r>
            <w:r w:rsidR="00693991">
              <w:rPr>
                <w:rFonts w:ascii="Book Antiqua" w:hAnsi="Book Antiqua" w:cs="Arial"/>
                <w:b/>
              </w:rPr>
              <w:t xml:space="preserve">August </w:t>
            </w:r>
            <w:r w:rsidR="00BD56D0" w:rsidRPr="00FC2785">
              <w:rPr>
                <w:rFonts w:ascii="Book Antiqua" w:hAnsi="Book Antiqua" w:cs="Arial"/>
                <w:b/>
              </w:rPr>
              <w:t>2018</w:t>
            </w:r>
          </w:p>
        </w:tc>
        <w:tc>
          <w:tcPr>
            <w:tcW w:w="4905" w:type="dxa"/>
            <w:shd w:val="clear" w:color="auto" w:fill="auto"/>
          </w:tcPr>
          <w:p w:rsidR="00D22636" w:rsidRPr="00FC2785" w:rsidRDefault="000F0B3D" w:rsidP="00FC2785">
            <w:pPr>
              <w:jc w:val="both"/>
              <w:rPr>
                <w:rFonts w:ascii="Book Antiqua" w:hAnsi="Book Antiqua" w:cs="Arial"/>
                <w:b/>
              </w:rPr>
            </w:pPr>
            <w:r>
              <w:rPr>
                <w:rFonts w:ascii="Book Antiqua" w:hAnsi="Book Antiqua" w:cs="Arial"/>
                <w:b/>
              </w:rPr>
              <w:t xml:space="preserve">  </w:t>
            </w:r>
            <w:r w:rsidR="001947F3">
              <w:rPr>
                <w:rFonts w:ascii="Book Antiqua" w:hAnsi="Book Antiqua" w:cs="Arial"/>
                <w:b/>
              </w:rPr>
              <w:t>19 November 2018</w:t>
            </w:r>
          </w:p>
        </w:tc>
      </w:tr>
    </w:tbl>
    <w:p w:rsidR="00DE7B28" w:rsidRDefault="00DE7B28" w:rsidP="00A15234">
      <w:pPr>
        <w:jc w:val="center"/>
        <w:rPr>
          <w:rFonts w:ascii="Book Antiqua" w:hAnsi="Book Antiqua" w:cs="Arial"/>
          <w:b/>
        </w:rPr>
      </w:pPr>
    </w:p>
    <w:p w:rsidR="000F0B3D" w:rsidRDefault="000F0B3D" w:rsidP="00A15234">
      <w:pPr>
        <w:jc w:val="center"/>
        <w:rPr>
          <w:rFonts w:ascii="Book Antiqua" w:hAnsi="Book Antiqua" w:cs="Arial"/>
          <w:b/>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4A2D15" w:rsidRDefault="00342DE4" w:rsidP="004A2D15">
      <w:pPr>
        <w:jc w:val="center"/>
        <w:rPr>
          <w:rFonts w:ascii="Book Antiqua" w:hAnsi="Book Antiqua" w:cs="Arial"/>
          <w:b/>
          <w:color w:val="000000"/>
        </w:rPr>
      </w:pPr>
      <w:r>
        <w:rPr>
          <w:rFonts w:ascii="Book Antiqua" w:hAnsi="Book Antiqua" w:cs="Arial"/>
          <w:b/>
          <w:color w:val="000000"/>
        </w:rPr>
        <w:t>MR C M G OCKELTON, VICE PRESIDENT</w:t>
      </w:r>
    </w:p>
    <w:p w:rsidR="00693991" w:rsidRDefault="00693991" w:rsidP="004A2D15">
      <w:pPr>
        <w:jc w:val="center"/>
        <w:rPr>
          <w:rFonts w:ascii="Book Antiqua" w:hAnsi="Book Antiqua" w:cs="Arial"/>
          <w:b/>
          <w:color w:val="000000"/>
        </w:rPr>
      </w:pPr>
      <w:r>
        <w:rPr>
          <w:rFonts w:ascii="Book Antiqua" w:hAnsi="Book Antiqua" w:cs="Arial"/>
          <w:b/>
          <w:color w:val="000000"/>
        </w:rPr>
        <w:t>DEPUTY UPPER TRIBUNAL JUDG</w:t>
      </w:r>
      <w:r w:rsidR="00183F92">
        <w:rPr>
          <w:rFonts w:ascii="Book Antiqua" w:hAnsi="Book Antiqua" w:cs="Arial"/>
          <w:b/>
          <w:color w:val="000000"/>
        </w:rPr>
        <w:t>E MACLEMAN</w:t>
      </w:r>
    </w:p>
    <w:p w:rsidR="00D20757" w:rsidRPr="009B7433" w:rsidRDefault="00D20757"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Default="00A845DC" w:rsidP="00A15234">
      <w:pPr>
        <w:jc w:val="center"/>
        <w:rPr>
          <w:rFonts w:ascii="Book Antiqua" w:hAnsi="Book Antiqua" w:cs="Arial"/>
          <w:b/>
        </w:rPr>
      </w:pPr>
    </w:p>
    <w:p w:rsidR="00D949B7" w:rsidRDefault="003A56D0" w:rsidP="00D949B7">
      <w:pPr>
        <w:jc w:val="center"/>
        <w:rPr>
          <w:rFonts w:ascii="Book Antiqua" w:hAnsi="Book Antiqua" w:cs="Arial"/>
          <w:b/>
          <w:caps/>
        </w:rPr>
      </w:pPr>
      <w:r>
        <w:rPr>
          <w:rFonts w:ascii="Book Antiqua" w:hAnsi="Book Antiqua" w:cs="Arial"/>
          <w:b/>
          <w:caps/>
        </w:rPr>
        <w:t xml:space="preserve"> ignatius </w:t>
      </w:r>
      <w:r w:rsidR="009214FB">
        <w:rPr>
          <w:rFonts w:ascii="Book Antiqua" w:hAnsi="Book Antiqua" w:cs="Arial"/>
          <w:b/>
          <w:caps/>
        </w:rPr>
        <w:t xml:space="preserve">CHUKA </w:t>
      </w:r>
      <w:r>
        <w:rPr>
          <w:rFonts w:ascii="Book Antiqua" w:hAnsi="Book Antiqua" w:cs="Arial"/>
          <w:b/>
          <w:caps/>
        </w:rPr>
        <w:t>monek</w:t>
      </w:r>
      <w:r w:rsidR="009214FB">
        <w:rPr>
          <w:rFonts w:ascii="Book Antiqua" w:hAnsi="Book Antiqua" w:cs="Arial"/>
          <w:b/>
          <w:caps/>
        </w:rPr>
        <w:t>E</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0F0B3D" w:rsidRDefault="000F0B3D" w:rsidP="00704B61">
      <w:pPr>
        <w:jc w:val="center"/>
        <w:rPr>
          <w:rFonts w:ascii="Book Antiqua" w:hAnsi="Book Antiqua" w:cs="Arial"/>
          <w:b/>
        </w:rPr>
      </w:pP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1A31FA" w:rsidRDefault="00665AC8" w:rsidP="007933E8">
      <w:pPr>
        <w:jc w:val="center"/>
        <w:rPr>
          <w:rFonts w:ascii="Book Antiqua" w:hAnsi="Book Antiqua" w:cs="Arial"/>
          <w:b/>
          <w:caps/>
        </w:rPr>
      </w:pPr>
      <w:r>
        <w:rPr>
          <w:rFonts w:ascii="Book Antiqua" w:hAnsi="Book Antiqua" w:cs="Arial"/>
          <w:b/>
          <w:caps/>
        </w:rPr>
        <w:t>THE SECRETARY OF STATE FOR THE HOME DEPARTMENT</w:t>
      </w: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0F0B3D" w:rsidRDefault="000F0B3D" w:rsidP="001A31FA">
      <w:pPr>
        <w:rPr>
          <w:rFonts w:ascii="Book Antiqua" w:hAnsi="Book Antiqua" w:cs="Arial"/>
          <w:b/>
          <w:u w:val="single"/>
        </w:rPr>
      </w:pPr>
    </w:p>
    <w:p w:rsidR="001A31FA" w:rsidRPr="009B7433" w:rsidRDefault="001A31FA" w:rsidP="001A31FA">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1A31FA" w:rsidRPr="009B7433" w:rsidRDefault="001A31FA" w:rsidP="001A31FA">
      <w:pPr>
        <w:rPr>
          <w:rFonts w:ascii="Book Antiqua" w:hAnsi="Book Antiqua" w:cs="Arial"/>
        </w:rPr>
      </w:pPr>
    </w:p>
    <w:p w:rsidR="001A31FA" w:rsidRPr="009B7433" w:rsidRDefault="001A31FA" w:rsidP="001A31FA">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9214FB">
        <w:rPr>
          <w:rFonts w:ascii="Book Antiqua" w:hAnsi="Book Antiqua" w:cs="Arial"/>
        </w:rPr>
        <w:t>Mr Sh</w:t>
      </w:r>
      <w:r w:rsidR="00822C19">
        <w:rPr>
          <w:rFonts w:ascii="Book Antiqua" w:hAnsi="Book Antiqua" w:cs="Arial"/>
        </w:rPr>
        <w:t>arma of The Chamber Practice</w:t>
      </w:r>
      <w:r w:rsidR="00BD56D0">
        <w:rPr>
          <w:rFonts w:ascii="Book Antiqua" w:hAnsi="Book Antiqua" w:cs="Arial"/>
        </w:rPr>
        <w:t>.</w:t>
      </w:r>
    </w:p>
    <w:p w:rsidR="001A31FA" w:rsidRPr="009B7433" w:rsidRDefault="001A31FA" w:rsidP="00956431">
      <w:pPr>
        <w:tabs>
          <w:tab w:val="left" w:pos="2520"/>
        </w:tabs>
        <w:ind w:left="2520" w:hanging="2520"/>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9214FB">
        <w:rPr>
          <w:rFonts w:ascii="Book Antiqua" w:hAnsi="Book Antiqua" w:cs="Arial"/>
        </w:rPr>
        <w:t xml:space="preserve">Mr </w:t>
      </w:r>
      <w:r w:rsidR="000D401A">
        <w:rPr>
          <w:rFonts w:ascii="Book Antiqua" w:hAnsi="Book Antiqua" w:cs="Arial"/>
        </w:rPr>
        <w:t>A. Gov</w:t>
      </w:r>
      <w:r w:rsidR="0043035D">
        <w:rPr>
          <w:rFonts w:ascii="Book Antiqua" w:hAnsi="Book Antiqua" w:cs="Arial"/>
        </w:rPr>
        <w:t>an</w:t>
      </w:r>
      <w:r w:rsidR="00665AC8">
        <w:rPr>
          <w:rFonts w:ascii="Book Antiqua" w:hAnsi="Book Antiqua" w:cs="Arial"/>
        </w:rPr>
        <w:t xml:space="preserve"> Home Office Presenting Officer</w:t>
      </w:r>
      <w:r w:rsidR="00214CB4">
        <w:rPr>
          <w:rFonts w:ascii="Book Antiqua" w:hAnsi="Book Antiqua" w:cs="Arial"/>
        </w:rPr>
        <w:t>.</w:t>
      </w:r>
    </w:p>
    <w:p w:rsidR="00DD5071" w:rsidRPr="009B7433" w:rsidRDefault="00DD5071" w:rsidP="00DD5071">
      <w:pPr>
        <w:rPr>
          <w:rFonts w:ascii="Book Antiqua" w:hAnsi="Book Antiqua" w:cs="Arial"/>
          <w:u w:val="single"/>
        </w:rPr>
      </w:pPr>
    </w:p>
    <w:p w:rsidR="00DE7DB7" w:rsidRPr="009B7433" w:rsidRDefault="00DE7DB7" w:rsidP="00402B9E">
      <w:pPr>
        <w:tabs>
          <w:tab w:val="left" w:pos="2520"/>
        </w:tabs>
        <w:jc w:val="center"/>
        <w:rPr>
          <w:rFonts w:ascii="Book Antiqua" w:hAnsi="Book Antiqua" w:cs="Arial"/>
        </w:rPr>
      </w:pPr>
    </w:p>
    <w:p w:rsidR="00402B9E" w:rsidRDefault="00214CB4" w:rsidP="004D6B45">
      <w:pPr>
        <w:tabs>
          <w:tab w:val="left" w:pos="2520"/>
        </w:tabs>
        <w:jc w:val="center"/>
        <w:rPr>
          <w:rFonts w:ascii="Book Antiqua" w:hAnsi="Book Antiqua" w:cs="Arial"/>
          <w:b/>
          <w:u w:val="single"/>
        </w:rPr>
      </w:pPr>
      <w:r>
        <w:rPr>
          <w:rFonts w:ascii="Book Antiqua" w:hAnsi="Book Antiqua" w:cs="Arial"/>
          <w:b/>
          <w:u w:val="single"/>
        </w:rPr>
        <w:t>DETERMINATION AND REASONS</w:t>
      </w:r>
    </w:p>
    <w:p w:rsidR="00E51104" w:rsidRDefault="00227B46" w:rsidP="00227B46">
      <w:pPr>
        <w:numPr>
          <w:ilvl w:val="0"/>
          <w:numId w:val="1"/>
        </w:numPr>
        <w:tabs>
          <w:tab w:val="clear" w:pos="567"/>
        </w:tabs>
        <w:spacing w:before="240"/>
        <w:jc w:val="both"/>
        <w:rPr>
          <w:rFonts w:ascii="Book Antiqua" w:hAnsi="Book Antiqua"/>
        </w:rPr>
      </w:pPr>
      <w:r w:rsidRPr="00DE1480">
        <w:rPr>
          <w:rFonts w:ascii="Book Antiqua" w:hAnsi="Book Antiqua"/>
        </w:rPr>
        <w:t>Th</w:t>
      </w:r>
      <w:r w:rsidR="00956431">
        <w:rPr>
          <w:rFonts w:ascii="Book Antiqua" w:hAnsi="Book Antiqua"/>
        </w:rPr>
        <w:t xml:space="preserve">e </w:t>
      </w:r>
      <w:r w:rsidR="003716FA">
        <w:rPr>
          <w:rFonts w:ascii="Book Antiqua" w:hAnsi="Book Antiqua"/>
        </w:rPr>
        <w:t xml:space="preserve">appellant is a national of Nigeria.  He came to the United Kingdom in April 2006 as a student.  He has been in the United Kingdom, apparently with leave, ever since. On 18 March 2016 he applied for indefinite leave to remain </w:t>
      </w:r>
      <w:proofErr w:type="gramStart"/>
      <w:r w:rsidR="003716FA">
        <w:rPr>
          <w:rFonts w:ascii="Book Antiqua" w:hAnsi="Book Antiqua"/>
        </w:rPr>
        <w:t>on the basis of</w:t>
      </w:r>
      <w:proofErr w:type="gramEnd"/>
      <w:r w:rsidR="003716FA">
        <w:rPr>
          <w:rFonts w:ascii="Book Antiqua" w:hAnsi="Book Antiqua"/>
        </w:rPr>
        <w:t xml:space="preserve"> ten years long residence.  The decision on that application is, perhaps rather surprisingly, dated the same day, 18 March 2016.  It refuses the appellant’s application.  The refusal does not take the point that, at the date of the refusal, the appellant had not been in the United Kingdom for (quite) ten years.  The refusal is primarily </w:t>
      </w:r>
      <w:proofErr w:type="gramStart"/>
      <w:r w:rsidR="003716FA">
        <w:rPr>
          <w:rFonts w:ascii="Book Antiqua" w:hAnsi="Book Antiqua"/>
        </w:rPr>
        <w:t>on the ground that</w:t>
      </w:r>
      <w:proofErr w:type="gramEnd"/>
      <w:r w:rsidR="003716FA">
        <w:rPr>
          <w:rFonts w:ascii="Book Antiqua" w:hAnsi="Book Antiqua"/>
        </w:rPr>
        <w:t xml:space="preserve"> paragraph 322(5) of the </w:t>
      </w:r>
      <w:r w:rsidR="003716FA" w:rsidRPr="003716FA">
        <w:rPr>
          <w:rFonts w:ascii="Book Antiqua" w:hAnsi="Book Antiqua"/>
          <w:u w:val="single"/>
        </w:rPr>
        <w:t>Statement of Changes in Immigration Rules</w:t>
      </w:r>
      <w:r w:rsidR="003716FA">
        <w:rPr>
          <w:rFonts w:ascii="Book Antiqua" w:hAnsi="Book Antiqua"/>
        </w:rPr>
        <w:t xml:space="preserve">, HC 395 (as amended) applies to the appellant.  That paragraph </w:t>
      </w:r>
      <w:r w:rsidR="008A2E98">
        <w:rPr>
          <w:rFonts w:ascii="Book Antiqua" w:hAnsi="Book Antiqua"/>
        </w:rPr>
        <w:t>falls under the head of “Grounds on which leave to remain … should normally be refused”, and is as follows:</w:t>
      </w:r>
    </w:p>
    <w:p w:rsidR="008A2E98" w:rsidRPr="008A2E98" w:rsidRDefault="008A2E98" w:rsidP="008A2E98">
      <w:pPr>
        <w:spacing w:before="240"/>
        <w:ind w:left="1560"/>
        <w:jc w:val="both"/>
        <w:rPr>
          <w:rFonts w:ascii="Book Antiqua" w:hAnsi="Book Antiqua"/>
          <w:sz w:val="22"/>
          <w:szCs w:val="22"/>
        </w:rPr>
      </w:pPr>
      <w:r>
        <w:rPr>
          <w:rFonts w:ascii="Book Antiqua" w:hAnsi="Book Antiqua"/>
          <w:sz w:val="22"/>
          <w:szCs w:val="22"/>
        </w:rPr>
        <w:lastRenderedPageBreak/>
        <w:t>“(5) The undesirability of permitting the person concerned to remain in the United Kingdom in the light of his conduct (including convictions which do not fall within paragraph 322(1C)), character or associations or the fact that he represents a threat to national security.”</w:t>
      </w:r>
    </w:p>
    <w:p w:rsidR="009B205A" w:rsidRDefault="00956431" w:rsidP="00E5766B">
      <w:pPr>
        <w:numPr>
          <w:ilvl w:val="0"/>
          <w:numId w:val="1"/>
        </w:numPr>
        <w:tabs>
          <w:tab w:val="clear" w:pos="567"/>
        </w:tabs>
        <w:spacing w:before="240"/>
        <w:jc w:val="both"/>
        <w:rPr>
          <w:rFonts w:ascii="Book Antiqua" w:hAnsi="Book Antiqua"/>
        </w:rPr>
      </w:pPr>
      <w:r>
        <w:rPr>
          <w:rFonts w:ascii="Book Antiqua" w:hAnsi="Book Antiqua"/>
        </w:rPr>
        <w:t>The</w:t>
      </w:r>
      <w:r w:rsidR="008A2E98">
        <w:rPr>
          <w:rFonts w:ascii="Book Antiqua" w:hAnsi="Book Antiqua"/>
        </w:rPr>
        <w:t xml:space="preserve"> decision-maker went on to consider the appellant’s personal and family circumstances: he has a wife, who also has Nigerian nati</w:t>
      </w:r>
      <w:r w:rsidR="0043035D">
        <w:rPr>
          <w:rFonts w:ascii="Book Antiqua" w:hAnsi="Book Antiqua"/>
        </w:rPr>
        <w:t xml:space="preserve">onality, but who </w:t>
      </w:r>
      <w:r w:rsidR="008A2E98">
        <w:rPr>
          <w:rFonts w:ascii="Book Antiqua" w:hAnsi="Book Antiqua"/>
        </w:rPr>
        <w:t xml:space="preserve">has indefinite leave to remain, and a son born in the United Kingdom in 2009 </w:t>
      </w:r>
      <w:r w:rsidR="00E23530">
        <w:rPr>
          <w:rFonts w:ascii="Book Antiqua" w:hAnsi="Book Antiqua"/>
        </w:rPr>
        <w:t xml:space="preserve">who has recently been granted British citizenship.  The decision-maker concluded that the appellant had no right under the Rules to a grant of leave; and that there was no good reason for considering that he had a right to a grant of leave despite not meeting the requirements of the Rules.  Thus, as we have said, the application for indefinite leave to remain was refused.  </w:t>
      </w:r>
    </w:p>
    <w:p w:rsidR="00EA5ACB" w:rsidRDefault="00EA5ACB" w:rsidP="00E5766B">
      <w:pPr>
        <w:numPr>
          <w:ilvl w:val="0"/>
          <w:numId w:val="1"/>
        </w:numPr>
        <w:tabs>
          <w:tab w:val="clear" w:pos="567"/>
        </w:tabs>
        <w:spacing w:before="240"/>
        <w:jc w:val="both"/>
        <w:rPr>
          <w:rFonts w:ascii="Book Antiqua" w:hAnsi="Book Antiqua"/>
        </w:rPr>
      </w:pPr>
      <w:r>
        <w:rPr>
          <w:rFonts w:ascii="Book Antiqua" w:hAnsi="Book Antiqua"/>
        </w:rPr>
        <w:t>The appellant</w:t>
      </w:r>
      <w:r w:rsidR="005E378E">
        <w:rPr>
          <w:rFonts w:ascii="Book Antiqua" w:hAnsi="Book Antiqua"/>
        </w:rPr>
        <w:t xml:space="preserve"> appealed</w:t>
      </w:r>
      <w:r>
        <w:rPr>
          <w:rFonts w:ascii="Book Antiqua" w:hAnsi="Book Antiqua"/>
        </w:rPr>
        <w:t xml:space="preserve"> to the First-tier Tribunal.  Judge Agnew dismissed his appeal.  He now appeals, with permission, to this Tribunal.  </w:t>
      </w:r>
    </w:p>
    <w:p w:rsidR="00EA5ACB" w:rsidRDefault="00EA5ACB" w:rsidP="00E5766B">
      <w:pPr>
        <w:numPr>
          <w:ilvl w:val="0"/>
          <w:numId w:val="1"/>
        </w:numPr>
        <w:tabs>
          <w:tab w:val="clear" w:pos="567"/>
        </w:tabs>
        <w:spacing w:before="240"/>
        <w:jc w:val="both"/>
        <w:rPr>
          <w:rFonts w:ascii="Book Antiqua" w:hAnsi="Book Antiqua"/>
        </w:rPr>
      </w:pPr>
      <w:r>
        <w:rPr>
          <w:rFonts w:ascii="Book Antiqua" w:hAnsi="Book Antiqua"/>
        </w:rPr>
        <w:t xml:space="preserve">It is always important to identify the decision which is the subject of the appeal, the right of appeal, and the grounds upon which the right of appeal can be exercised.  In the present case the appeal is one to which sections 82 and 84 of the Nationality, Immigration and Asylum Act 2002 as amended by the Immigration Act 2014 apply.  The right of appeal is that </w:t>
      </w:r>
      <w:r w:rsidR="00676507">
        <w:rPr>
          <w:rFonts w:ascii="Book Antiqua" w:hAnsi="Book Antiqua"/>
        </w:rPr>
        <w:t>granted by s. 82</w:t>
      </w:r>
      <w:r>
        <w:rPr>
          <w:rFonts w:ascii="Book Antiqua" w:hAnsi="Book Antiqua"/>
        </w:rPr>
        <w:t xml:space="preserve">(1)(b), that the Secretary of State </w:t>
      </w:r>
      <w:r w:rsidR="00327057">
        <w:rPr>
          <w:rFonts w:ascii="Book Antiqua" w:hAnsi="Book Antiqua"/>
        </w:rPr>
        <w:t xml:space="preserve">has decided to refuse a </w:t>
      </w:r>
      <w:r w:rsidR="00957B42">
        <w:rPr>
          <w:rFonts w:ascii="Book Antiqua" w:hAnsi="Book Antiqua"/>
        </w:rPr>
        <w:t>h</w:t>
      </w:r>
      <w:r w:rsidR="00327057">
        <w:rPr>
          <w:rFonts w:ascii="Book Antiqua" w:hAnsi="Book Antiqua"/>
        </w:rPr>
        <w:t xml:space="preserve">uman </w:t>
      </w:r>
      <w:r w:rsidR="00957B42">
        <w:rPr>
          <w:rFonts w:ascii="Book Antiqua" w:hAnsi="Book Antiqua"/>
        </w:rPr>
        <w:t>r</w:t>
      </w:r>
      <w:r w:rsidR="00327057">
        <w:rPr>
          <w:rFonts w:ascii="Book Antiqua" w:hAnsi="Book Antiqua"/>
        </w:rPr>
        <w:t>ights claim made by the appellant.  The ground of appeal is limited to that specified by s. 84(2):</w:t>
      </w:r>
    </w:p>
    <w:p w:rsidR="00327057" w:rsidRPr="00327057" w:rsidRDefault="00327057" w:rsidP="00F132E9">
      <w:pPr>
        <w:spacing w:before="240"/>
        <w:ind w:left="1560"/>
        <w:jc w:val="both"/>
        <w:rPr>
          <w:rFonts w:ascii="Book Antiqua" w:hAnsi="Book Antiqua"/>
          <w:sz w:val="22"/>
          <w:szCs w:val="22"/>
        </w:rPr>
      </w:pPr>
      <w:r>
        <w:rPr>
          <w:rFonts w:ascii="Book Antiqua" w:hAnsi="Book Antiqua"/>
          <w:sz w:val="22"/>
          <w:szCs w:val="22"/>
        </w:rPr>
        <w:t>“An appeal under section 82(1)(b) (</w:t>
      </w:r>
      <w:r w:rsidR="00A8635B">
        <w:rPr>
          <w:rFonts w:ascii="Book Antiqua" w:hAnsi="Book Antiqua"/>
          <w:sz w:val="22"/>
          <w:szCs w:val="22"/>
        </w:rPr>
        <w:t>r</w:t>
      </w:r>
      <w:r>
        <w:rPr>
          <w:rFonts w:ascii="Book Antiqua" w:hAnsi="Book Antiqua"/>
          <w:sz w:val="22"/>
          <w:szCs w:val="22"/>
        </w:rPr>
        <w:t>efus</w:t>
      </w:r>
      <w:r w:rsidR="00A8635B">
        <w:rPr>
          <w:rFonts w:ascii="Book Antiqua" w:hAnsi="Book Antiqua"/>
          <w:sz w:val="22"/>
          <w:szCs w:val="22"/>
        </w:rPr>
        <w:t>al of human r</w:t>
      </w:r>
      <w:r>
        <w:rPr>
          <w:rFonts w:ascii="Book Antiqua" w:hAnsi="Book Antiqua"/>
          <w:sz w:val="22"/>
          <w:szCs w:val="22"/>
        </w:rPr>
        <w:t xml:space="preserve">ights claim) must be brought </w:t>
      </w:r>
      <w:proofErr w:type="gramStart"/>
      <w:r>
        <w:rPr>
          <w:rFonts w:ascii="Book Antiqua" w:hAnsi="Book Antiqua"/>
          <w:sz w:val="22"/>
          <w:szCs w:val="22"/>
        </w:rPr>
        <w:t>on the ground that</w:t>
      </w:r>
      <w:proofErr w:type="gramEnd"/>
      <w:r>
        <w:rPr>
          <w:rFonts w:ascii="Book Antiqua" w:hAnsi="Book Antiqua"/>
          <w:sz w:val="22"/>
          <w:szCs w:val="22"/>
        </w:rPr>
        <w:t xml:space="preserve"> the decision is unlawful </w:t>
      </w:r>
      <w:r w:rsidR="0098019E">
        <w:rPr>
          <w:rFonts w:ascii="Book Antiqua" w:hAnsi="Book Antiqua"/>
          <w:sz w:val="22"/>
          <w:szCs w:val="22"/>
        </w:rPr>
        <w:t xml:space="preserve">under </w:t>
      </w:r>
      <w:r w:rsidR="00F132E9">
        <w:rPr>
          <w:rFonts w:ascii="Book Antiqua" w:hAnsi="Book Antiqua"/>
          <w:sz w:val="22"/>
          <w:szCs w:val="22"/>
        </w:rPr>
        <w:t xml:space="preserve">section </w:t>
      </w:r>
      <w:r>
        <w:rPr>
          <w:rFonts w:ascii="Book Antiqua" w:hAnsi="Book Antiqua"/>
          <w:sz w:val="22"/>
          <w:szCs w:val="22"/>
        </w:rPr>
        <w:t>6 of the Human Rights Act 1998.”</w:t>
      </w:r>
    </w:p>
    <w:p w:rsidR="0094482B" w:rsidRPr="00A94471" w:rsidRDefault="0011129E" w:rsidP="00956431">
      <w:pPr>
        <w:numPr>
          <w:ilvl w:val="0"/>
          <w:numId w:val="1"/>
        </w:numPr>
        <w:tabs>
          <w:tab w:val="clear" w:pos="567"/>
        </w:tabs>
        <w:spacing w:before="240"/>
        <w:jc w:val="both"/>
        <w:rPr>
          <w:rFonts w:ascii="Book Antiqua" w:hAnsi="Book Antiqua" w:cs="Arial"/>
        </w:rPr>
      </w:pPr>
      <w:r>
        <w:rPr>
          <w:rFonts w:ascii="Book Antiqua" w:hAnsi="Book Antiqua"/>
        </w:rPr>
        <w:t xml:space="preserve">The right of appeal was correctly stated at the end of the letter of refusal.  </w:t>
      </w:r>
      <w:r w:rsidR="0043035D">
        <w:rPr>
          <w:rFonts w:ascii="Book Antiqua" w:hAnsi="Book Antiqua"/>
        </w:rPr>
        <w:t>D</w:t>
      </w:r>
      <w:r w:rsidR="00A5693D">
        <w:rPr>
          <w:rFonts w:ascii="Book Antiqua" w:hAnsi="Book Antiqua"/>
        </w:rPr>
        <w:t xml:space="preserve">espite the lengthy grounds submitted on the appellant’s behalf to the First-tier Tribunal and to this Tribunal, and despite Mr Sharma’s attempts to argue the point before us, there is no right of appeal </w:t>
      </w:r>
      <w:proofErr w:type="gramStart"/>
      <w:r w:rsidR="00A5693D">
        <w:rPr>
          <w:rFonts w:ascii="Book Antiqua" w:hAnsi="Book Antiqua"/>
        </w:rPr>
        <w:t>on the ground that</w:t>
      </w:r>
      <w:proofErr w:type="gramEnd"/>
      <w:r w:rsidR="00A5693D">
        <w:rPr>
          <w:rFonts w:ascii="Book Antiqua" w:hAnsi="Book Antiqua"/>
        </w:rPr>
        <w:t xml:space="preserve"> the decision was not in accordance with the immigration rules, nor on the ground that a discretion conferred by the immigration rules should have been exercised differently, nor on the general ground that the decision is not in accord</w:t>
      </w:r>
      <w:r w:rsidR="0043035D">
        <w:rPr>
          <w:rFonts w:ascii="Book Antiqua" w:hAnsi="Book Antiqua"/>
        </w:rPr>
        <w:t>ance with the law.  Those grounds of appeal have not been available</w:t>
      </w:r>
      <w:r w:rsidR="00A5693D">
        <w:rPr>
          <w:rFonts w:ascii="Book Antiqua" w:hAnsi="Book Antiqua"/>
        </w:rPr>
        <w:t xml:space="preserve"> since the coming into force of the amendments introduced by the 2014 Act.  Mr Sharma’s apparent ignorance of this development in the law is reprehensible.  What is particularly unfortunate is that he attempted to support his submissions in relation to the admissible grounds of appeal by reference to </w:t>
      </w:r>
      <w:r w:rsidR="004F3976">
        <w:rPr>
          <w:rFonts w:ascii="Book Antiqua" w:hAnsi="Book Antiqua"/>
        </w:rPr>
        <w:t>passing comments in a decision of this Tribunal</w:t>
      </w:r>
      <w:r w:rsidR="006D56A5">
        <w:rPr>
          <w:rFonts w:ascii="Book Antiqua" w:hAnsi="Book Antiqua"/>
        </w:rPr>
        <w:t xml:space="preserve"> which, as he should have known, a subsequent decision </w:t>
      </w:r>
      <w:r w:rsidR="00C4178A">
        <w:rPr>
          <w:rFonts w:ascii="Book Antiqua" w:hAnsi="Book Antiqua"/>
        </w:rPr>
        <w:t>of the Tri</w:t>
      </w:r>
      <w:r w:rsidR="004C3CDD">
        <w:rPr>
          <w:rFonts w:ascii="Book Antiqua" w:hAnsi="Book Antiqua"/>
        </w:rPr>
        <w:t>bunal has since pointed out was</w:t>
      </w:r>
      <w:r w:rsidR="00C4178A">
        <w:rPr>
          <w:rFonts w:ascii="Book Antiqua" w:hAnsi="Book Antiqua"/>
        </w:rPr>
        <w:t xml:space="preserve"> clearly wrong</w:t>
      </w:r>
      <w:r w:rsidR="000D401A">
        <w:rPr>
          <w:rFonts w:ascii="Book Antiqua" w:hAnsi="Book Antiqua"/>
        </w:rPr>
        <w:t xml:space="preserve"> (s</w:t>
      </w:r>
      <w:r w:rsidR="004C3CDD">
        <w:rPr>
          <w:rFonts w:ascii="Book Antiqua" w:hAnsi="Book Antiqua"/>
        </w:rPr>
        <w:t xml:space="preserve">ee </w:t>
      </w:r>
      <w:r w:rsidR="004C3CDD" w:rsidRPr="004C3CDD">
        <w:rPr>
          <w:rFonts w:ascii="Book Antiqua" w:hAnsi="Book Antiqua"/>
          <w:u w:val="single"/>
        </w:rPr>
        <w:t>Charles</w:t>
      </w:r>
      <w:r w:rsidR="004C3CDD">
        <w:rPr>
          <w:rFonts w:ascii="Book Antiqua" w:hAnsi="Book Antiqua"/>
        </w:rPr>
        <w:t xml:space="preserve"> [2018] UKUT 89 (IAC) at [45] to [46]</w:t>
      </w:r>
      <w:r w:rsidR="00C4178A">
        <w:rPr>
          <w:rFonts w:ascii="Book Antiqua" w:hAnsi="Book Antiqua"/>
        </w:rPr>
        <w:t xml:space="preserve">.  Compliance or non-compliance with the Immigration Rules may be of some relevance in assessing the proportionality of the Secretary of State’s decision and hence it </w:t>
      </w:r>
      <w:proofErr w:type="gramStart"/>
      <w:r w:rsidR="00C4178A">
        <w:rPr>
          <w:rFonts w:ascii="Book Antiqua" w:hAnsi="Book Antiqua"/>
        </w:rPr>
        <w:t>determining</w:t>
      </w:r>
      <w:proofErr w:type="gramEnd"/>
      <w:r w:rsidR="00C4178A">
        <w:rPr>
          <w:rFonts w:ascii="Book Antiqua" w:hAnsi="Book Antiqua"/>
        </w:rPr>
        <w:t xml:space="preserve"> whether it can be said to have been unlawful under s. 6 of the 1998 Act; but detailed grounds such as would have been available </w:t>
      </w:r>
      <w:r w:rsidR="00A94471">
        <w:rPr>
          <w:rFonts w:ascii="Book Antiqua" w:hAnsi="Book Antiqua"/>
        </w:rPr>
        <w:t xml:space="preserve">under the old appeals procedure, have no place in an appeal of this sort. </w:t>
      </w:r>
    </w:p>
    <w:p w:rsidR="004C3CDD" w:rsidRPr="004C3CDD" w:rsidRDefault="00A94471" w:rsidP="00956431">
      <w:pPr>
        <w:numPr>
          <w:ilvl w:val="0"/>
          <w:numId w:val="1"/>
        </w:numPr>
        <w:tabs>
          <w:tab w:val="clear" w:pos="567"/>
        </w:tabs>
        <w:spacing w:before="240"/>
        <w:jc w:val="both"/>
        <w:rPr>
          <w:rFonts w:ascii="Book Antiqua" w:hAnsi="Book Antiqua" w:cs="Arial"/>
        </w:rPr>
      </w:pPr>
      <w:r>
        <w:rPr>
          <w:rFonts w:ascii="Book Antiqua" w:hAnsi="Book Antiqua"/>
        </w:rPr>
        <w:lastRenderedPageBreak/>
        <w:t>The basis of the complaint in relation to the primary reason for refusal was that the Secretary of State was not entitled to apply paragraph 322(5) to the appellant.  Mr Sharma went on to say that even if paragraph 322(5) applied to the appellant, the Secretary of State shoul</w:t>
      </w:r>
      <w:r w:rsidR="00350572">
        <w:rPr>
          <w:rFonts w:ascii="Book Antiqua" w:hAnsi="Book Antiqua"/>
        </w:rPr>
        <w:t>d have exercised her discretion</w:t>
      </w:r>
      <w:r>
        <w:rPr>
          <w:rFonts w:ascii="Book Antiqua" w:hAnsi="Book Antiqua"/>
        </w:rPr>
        <w:t xml:space="preserve"> not </w:t>
      </w:r>
      <w:r w:rsidR="00350572">
        <w:rPr>
          <w:rFonts w:ascii="Book Antiqua" w:hAnsi="Book Antiqua"/>
        </w:rPr>
        <w:t xml:space="preserve">to apply it in the individual case.  As we have said, we do not have jurisdiction to respond to those complaints.  </w:t>
      </w:r>
      <w:r w:rsidR="00A92DC7">
        <w:rPr>
          <w:rFonts w:ascii="Book Antiqua" w:hAnsi="Book Antiqua"/>
        </w:rPr>
        <w:t xml:space="preserve">The factors which the Secretary of State applied in determining this application, by a person who had been in the United Kingdom for ten years (or very nearly so) are, however, matters which we do </w:t>
      </w:r>
      <w:proofErr w:type="gramStart"/>
      <w:r w:rsidR="00A92DC7">
        <w:rPr>
          <w:rFonts w:ascii="Book Antiqua" w:hAnsi="Book Antiqua"/>
        </w:rPr>
        <w:t>take into account</w:t>
      </w:r>
      <w:proofErr w:type="gramEnd"/>
      <w:r w:rsidR="00A92DC7">
        <w:rPr>
          <w:rFonts w:ascii="Book Antiqua" w:hAnsi="Book Antiqua"/>
        </w:rPr>
        <w:t xml:space="preserve"> in assessing proportionality. </w:t>
      </w:r>
    </w:p>
    <w:p w:rsidR="00BD46B9" w:rsidRPr="00BB204F" w:rsidRDefault="00A92DC7" w:rsidP="00956431">
      <w:pPr>
        <w:numPr>
          <w:ilvl w:val="0"/>
          <w:numId w:val="1"/>
        </w:numPr>
        <w:tabs>
          <w:tab w:val="clear" w:pos="567"/>
        </w:tabs>
        <w:spacing w:before="240"/>
        <w:jc w:val="both"/>
        <w:rPr>
          <w:rFonts w:ascii="Book Antiqua" w:hAnsi="Book Antiqua" w:cs="Arial"/>
        </w:rPr>
      </w:pPr>
      <w:r>
        <w:rPr>
          <w:rFonts w:ascii="Book Antiqua" w:hAnsi="Book Antiqua"/>
        </w:rPr>
        <w:t>The position is that in considering the appellant’s application in March 2016, the Secretary of State discovered that some years earlier, in March 2011 and May 2013, the appellant had made applications for further leave</w:t>
      </w:r>
      <w:r w:rsidR="00BB204F">
        <w:rPr>
          <w:rFonts w:ascii="Book Antiqua" w:hAnsi="Book Antiqua"/>
        </w:rPr>
        <w:t xml:space="preserve"> as a Tier 1 (G</w:t>
      </w:r>
      <w:r w:rsidR="00BD46B9">
        <w:rPr>
          <w:rFonts w:ascii="Book Antiqua" w:hAnsi="Book Antiqua"/>
        </w:rPr>
        <w:t xml:space="preserve">eneral) Migrant, based on </w:t>
      </w:r>
      <w:r w:rsidR="00BB204F">
        <w:rPr>
          <w:rFonts w:ascii="Book Antiqua" w:hAnsi="Book Antiqua"/>
        </w:rPr>
        <w:t xml:space="preserve">income of (in each case) about £56,000, including about £39,000 from self-employment, whereas the amounts declared to HMRC  for the purposes of tax were very different: in 2010/11 the total income declared was £17,500; in 2012/13 the total income was £16,809, including a declared sum of £550 from self-employment.  The decision-maker took the view that it would be against the public interest to grant the appellant indefinite leave to remain </w:t>
      </w:r>
      <w:proofErr w:type="gramStart"/>
      <w:r w:rsidR="00BB204F">
        <w:rPr>
          <w:rFonts w:ascii="Book Antiqua" w:hAnsi="Book Antiqua"/>
        </w:rPr>
        <w:t>taking into account</w:t>
      </w:r>
      <w:proofErr w:type="gramEnd"/>
      <w:r w:rsidR="00BB204F">
        <w:rPr>
          <w:rFonts w:ascii="Book Antiqua" w:hAnsi="Book Antiqua"/>
        </w:rPr>
        <w:t xml:space="preserve"> his character and conduct in representing to the Immigration authorities that his income was high enough to merit the grant of leave, whilst representing to the Tax authorities a wholly different and much lower sum, so reducing his tax liability.  </w:t>
      </w:r>
    </w:p>
    <w:p w:rsidR="00BB204F" w:rsidRPr="00BD46B9" w:rsidRDefault="00BB204F" w:rsidP="00956431">
      <w:pPr>
        <w:numPr>
          <w:ilvl w:val="0"/>
          <w:numId w:val="1"/>
        </w:numPr>
        <w:tabs>
          <w:tab w:val="clear" w:pos="567"/>
        </w:tabs>
        <w:spacing w:before="240"/>
        <w:jc w:val="both"/>
        <w:rPr>
          <w:rFonts w:ascii="Book Antiqua" w:hAnsi="Book Antiqua" w:cs="Arial"/>
        </w:rPr>
      </w:pPr>
      <w:r>
        <w:rPr>
          <w:rFonts w:ascii="Book Antiqua" w:hAnsi="Book Antiqua"/>
        </w:rPr>
        <w:t xml:space="preserve">The grounds of appeal to the First-tier Tribunal </w:t>
      </w:r>
      <w:r w:rsidR="005702E6">
        <w:rPr>
          <w:rFonts w:ascii="Book Antiqua" w:hAnsi="Book Antiqua"/>
        </w:rPr>
        <w:t>were</w:t>
      </w:r>
      <w:r>
        <w:rPr>
          <w:rFonts w:ascii="Book Antiqua" w:hAnsi="Book Antiqua"/>
        </w:rPr>
        <w:t xml:space="preserve"> submitted in March 2016.  They assert that the appellant was not dishonest.  It is, however, the case that only after receipt of the decision now under appeal did he seek to make any arrangement with HMRC and to pay the tax that he had underpaid.  In a later statement, the appellant says that </w:t>
      </w:r>
      <w:r w:rsidR="00DB6CC5">
        <w:rPr>
          <w:rFonts w:ascii="Book Antiqua" w:hAnsi="Book Antiqua"/>
        </w:rPr>
        <w:t>his “failure to file a return” was not dishonest, but, as we understand the facts, there must have been at least one false return filed, declaring the £550</w:t>
      </w:r>
      <w:r w:rsidR="00087E7E">
        <w:rPr>
          <w:rFonts w:ascii="Book Antiqua" w:hAnsi="Book Antiqua"/>
        </w:rPr>
        <w:t xml:space="preserve"> of self-employed income rather than the £39,000 or thereabouts declared to the Secretary of State.</w:t>
      </w:r>
    </w:p>
    <w:p w:rsidR="00BD46B9" w:rsidRDefault="00087E7E" w:rsidP="00956431">
      <w:pPr>
        <w:numPr>
          <w:ilvl w:val="0"/>
          <w:numId w:val="1"/>
        </w:numPr>
        <w:tabs>
          <w:tab w:val="clear" w:pos="567"/>
        </w:tabs>
        <w:spacing w:before="240"/>
        <w:jc w:val="both"/>
        <w:rPr>
          <w:rFonts w:ascii="Book Antiqua" w:hAnsi="Book Antiqua" w:cs="Arial"/>
        </w:rPr>
      </w:pPr>
      <w:r>
        <w:rPr>
          <w:rFonts w:ascii="Book Antiqua" w:hAnsi="Book Antiqua" w:cs="Arial"/>
        </w:rPr>
        <w:t xml:space="preserve">Mr Sharma’s argument that in these circumstances the Secretary of State </w:t>
      </w:r>
      <w:r w:rsidR="0001165E">
        <w:rPr>
          <w:rFonts w:ascii="Book Antiqua" w:hAnsi="Book Antiqua" w:cs="Arial"/>
        </w:rPr>
        <w:t>was not entitled to apply paragraph 322(5) to the appellant is, quite frankly, hopeless.  Although the appellant is now said to have begun to repay the tax he owes, the position at th</w:t>
      </w:r>
      <w:r w:rsidR="00BE3BD6">
        <w:rPr>
          <w:rFonts w:ascii="Book Antiqua" w:hAnsi="Book Antiqua" w:cs="Arial"/>
        </w:rPr>
        <w:t>e date of the decision wa</w:t>
      </w:r>
      <w:r w:rsidR="0001165E">
        <w:rPr>
          <w:rFonts w:ascii="Book Antiqua" w:hAnsi="Book Antiqua" w:cs="Arial"/>
        </w:rPr>
        <w:t xml:space="preserve">s clearly that he had not done so; and his conduct in the period before that decision obviously justified that conclusion the Secretary of State reached.  Although the appellant has claimed not to be dishonest, he offers no explanation for how he came to think that the tax he was paying was the appropriate calculation in relation to an income of the level he was declaring to the Secretary of State, nor why he thought that a self-employed income of £38,000 a year (or thereabouts) would not lead to a substantial charge to tax.  </w:t>
      </w:r>
    </w:p>
    <w:p w:rsidR="0004468B" w:rsidRDefault="0001165E" w:rsidP="00956431">
      <w:pPr>
        <w:numPr>
          <w:ilvl w:val="0"/>
          <w:numId w:val="1"/>
        </w:numPr>
        <w:tabs>
          <w:tab w:val="clear" w:pos="567"/>
        </w:tabs>
        <w:spacing w:before="240"/>
        <w:jc w:val="both"/>
        <w:rPr>
          <w:rFonts w:ascii="Book Antiqua" w:hAnsi="Book Antiqua" w:cs="Arial"/>
        </w:rPr>
      </w:pPr>
      <w:r>
        <w:rPr>
          <w:rFonts w:ascii="Book Antiqua" w:hAnsi="Book Antiqua" w:cs="Arial"/>
        </w:rPr>
        <w:t xml:space="preserve">We are reinforced on our conclusions on that point </w:t>
      </w:r>
      <w:r w:rsidR="0004468B">
        <w:rPr>
          <w:rFonts w:ascii="Book Antiqua" w:hAnsi="Book Antiqua" w:cs="Arial"/>
        </w:rPr>
        <w:t xml:space="preserve">by the decision of Spencer J in </w:t>
      </w:r>
      <w:r w:rsidR="0004468B" w:rsidRPr="0004468B">
        <w:rPr>
          <w:rFonts w:ascii="Book Antiqua" w:hAnsi="Book Antiqua" w:cs="Arial"/>
          <w:u w:val="single"/>
        </w:rPr>
        <w:t>R (Khan) v SSHD (JR/3097/2017</w:t>
      </w:r>
      <w:r w:rsidR="0004468B">
        <w:rPr>
          <w:rFonts w:ascii="Book Antiqua" w:hAnsi="Book Antiqua" w:cs="Arial"/>
        </w:rPr>
        <w:t>) a decision on judicial review, not on appeal:</w:t>
      </w:r>
    </w:p>
    <w:p w:rsidR="0004468B" w:rsidRDefault="0004468B" w:rsidP="00146261">
      <w:pPr>
        <w:spacing w:before="240"/>
        <w:ind w:left="567" w:firstLine="426"/>
        <w:jc w:val="both"/>
        <w:rPr>
          <w:rFonts w:ascii="Book Antiqua" w:hAnsi="Book Antiqua" w:cs="Arial"/>
          <w:sz w:val="22"/>
          <w:szCs w:val="22"/>
        </w:rPr>
      </w:pPr>
      <w:r>
        <w:rPr>
          <w:rFonts w:ascii="Book Antiqua" w:hAnsi="Book Antiqua" w:cs="Arial"/>
          <w:sz w:val="22"/>
          <w:szCs w:val="22"/>
        </w:rPr>
        <w:t>“[37] …</w:t>
      </w:r>
    </w:p>
    <w:p w:rsidR="0004468B" w:rsidRDefault="0004468B" w:rsidP="0004468B">
      <w:pPr>
        <w:numPr>
          <w:ilvl w:val="2"/>
          <w:numId w:val="1"/>
        </w:numPr>
        <w:spacing w:before="240"/>
        <w:jc w:val="both"/>
        <w:rPr>
          <w:rFonts w:ascii="Book Antiqua" w:hAnsi="Book Antiqua" w:cs="Arial"/>
          <w:sz w:val="22"/>
          <w:szCs w:val="22"/>
        </w:rPr>
      </w:pPr>
      <w:r>
        <w:rPr>
          <w:rFonts w:ascii="Book Antiqua" w:hAnsi="Book Antiqua" w:cs="Arial"/>
          <w:sz w:val="22"/>
          <w:szCs w:val="22"/>
        </w:rPr>
        <w:t>Where there has been a significant difference between the income clai</w:t>
      </w:r>
      <w:r w:rsidR="00146261">
        <w:rPr>
          <w:rFonts w:ascii="Book Antiqua" w:hAnsi="Book Antiqua" w:cs="Arial"/>
          <w:sz w:val="22"/>
          <w:szCs w:val="22"/>
        </w:rPr>
        <w:t>med in</w:t>
      </w:r>
      <w:r w:rsidR="00C406AE">
        <w:rPr>
          <w:rFonts w:ascii="Book Antiqua" w:hAnsi="Book Antiqua" w:cs="Arial"/>
          <w:sz w:val="22"/>
          <w:szCs w:val="22"/>
        </w:rPr>
        <w:t xml:space="preserve"> a previous application </w:t>
      </w:r>
      <w:r w:rsidR="00146261">
        <w:rPr>
          <w:rFonts w:ascii="Book Antiqua" w:hAnsi="Book Antiqua" w:cs="Arial"/>
          <w:sz w:val="22"/>
          <w:szCs w:val="22"/>
        </w:rPr>
        <w:t xml:space="preserve">for leave to remain and the income declared to HMRC, the </w:t>
      </w:r>
      <w:r w:rsidR="00146261">
        <w:rPr>
          <w:rFonts w:ascii="Book Antiqua" w:hAnsi="Book Antiqua" w:cs="Arial"/>
          <w:sz w:val="22"/>
          <w:szCs w:val="22"/>
        </w:rPr>
        <w:lastRenderedPageBreak/>
        <w:t>Secretary of State is entitled to draw an inference that the applicant has been deceitful or dishonest and therefore he should be refused ILR within paragraph 322(5) of the Immigration Rules.  I would expect the Secretary of State to draw that inference where there is no plausible explanation for the discrepancy</w:t>
      </w:r>
    </w:p>
    <w:p w:rsidR="00146261" w:rsidRPr="0004468B" w:rsidRDefault="00146261" w:rsidP="0004468B">
      <w:pPr>
        <w:numPr>
          <w:ilvl w:val="2"/>
          <w:numId w:val="1"/>
        </w:numPr>
        <w:spacing w:before="240"/>
        <w:jc w:val="both"/>
        <w:rPr>
          <w:rFonts w:ascii="Book Antiqua" w:hAnsi="Book Antiqua" w:cs="Arial"/>
          <w:sz w:val="22"/>
          <w:szCs w:val="22"/>
        </w:rPr>
      </w:pPr>
      <w:r>
        <w:rPr>
          <w:rFonts w:ascii="Book Antiqua" w:hAnsi="Book Antiqua" w:cs="Arial"/>
          <w:sz w:val="22"/>
          <w:szCs w:val="22"/>
        </w:rPr>
        <w:t xml:space="preserve">However, where an applicant has </w:t>
      </w:r>
      <w:r w:rsidRPr="00146261">
        <w:rPr>
          <w:rFonts w:ascii="Book Antiqua" w:hAnsi="Book Antiqua" w:cs="Arial"/>
          <w:sz w:val="22"/>
          <w:szCs w:val="22"/>
          <w:u w:val="single"/>
        </w:rPr>
        <w:t>presented evidence to show</w:t>
      </w:r>
      <w:r>
        <w:rPr>
          <w:rFonts w:ascii="Book Antiqua" w:hAnsi="Book Antiqua" w:cs="Arial"/>
          <w:sz w:val="22"/>
          <w:szCs w:val="22"/>
        </w:rPr>
        <w:t xml:space="preserve"> that, despite the prima facia inference, he was not in fact dishonest but only careless, then the Secretary of State is presented with a fact-finding task: she must decide whether the explanation and evidence is sufficient, in her view, to displace the prima facia inference of deceit/dishonesty.” (Emphasis added).</w:t>
      </w:r>
    </w:p>
    <w:p w:rsidR="0004468B" w:rsidRDefault="007C54B4" w:rsidP="00956431">
      <w:pPr>
        <w:numPr>
          <w:ilvl w:val="0"/>
          <w:numId w:val="1"/>
        </w:numPr>
        <w:tabs>
          <w:tab w:val="clear" w:pos="567"/>
        </w:tabs>
        <w:spacing w:before="240"/>
        <w:jc w:val="both"/>
        <w:rPr>
          <w:rFonts w:ascii="Book Antiqua" w:hAnsi="Book Antiqua" w:cs="Arial"/>
        </w:rPr>
      </w:pPr>
      <w:r>
        <w:rPr>
          <w:rFonts w:ascii="Book Antiqua" w:hAnsi="Book Antiqua" w:cs="Arial"/>
        </w:rPr>
        <w:t>There is, in the present case, no evidence of any mistake.  So far as concerns Mr Sharma’s submission that this was not a case to which paragraph 322(5) applied, therefore, we reject his argument.</w:t>
      </w:r>
    </w:p>
    <w:p w:rsidR="007C54B4" w:rsidRDefault="007C54B4" w:rsidP="00956431">
      <w:pPr>
        <w:numPr>
          <w:ilvl w:val="0"/>
          <w:numId w:val="1"/>
        </w:numPr>
        <w:tabs>
          <w:tab w:val="clear" w:pos="567"/>
        </w:tabs>
        <w:spacing w:before="240"/>
        <w:jc w:val="both"/>
        <w:rPr>
          <w:rFonts w:ascii="Book Antiqua" w:hAnsi="Book Antiqua" w:cs="Arial"/>
        </w:rPr>
      </w:pPr>
      <w:r>
        <w:rPr>
          <w:rFonts w:ascii="Book Antiqua" w:hAnsi="Book Antiqua" w:cs="Arial"/>
        </w:rPr>
        <w:t>Even if there were available to Mr Sharma an argument that the d</w:t>
      </w:r>
      <w:r w:rsidR="00DE7B28">
        <w:rPr>
          <w:rFonts w:ascii="Book Antiqua" w:hAnsi="Book Antiqua" w:cs="Arial"/>
        </w:rPr>
        <w:t>iscretion implicit in the word “normally”</w:t>
      </w:r>
      <w:r>
        <w:rPr>
          <w:rFonts w:ascii="Book Antiqua" w:hAnsi="Book Antiqua" w:cs="Arial"/>
        </w:rPr>
        <w:t xml:space="preserve"> in the heading to paragraph 322(5) should hav</w:t>
      </w:r>
      <w:r w:rsidR="00DE7B28">
        <w:rPr>
          <w:rFonts w:ascii="Book Antiqua" w:hAnsi="Book Antiqua" w:cs="Arial"/>
        </w:rPr>
        <w:t>e been exercised differently, t</w:t>
      </w:r>
      <w:r>
        <w:rPr>
          <w:rFonts w:ascii="Book Antiqua" w:hAnsi="Book Antiqua" w:cs="Arial"/>
        </w:rPr>
        <w:t>here is no evidence in the present case that could have established that ground.  In present circumstances Mr Sharma’s argument simply goes nowhere.  There is no proper basis for cha</w:t>
      </w:r>
      <w:r w:rsidR="005D44EA">
        <w:rPr>
          <w:rFonts w:ascii="Book Antiqua" w:hAnsi="Book Antiqua" w:cs="Arial"/>
        </w:rPr>
        <w:t xml:space="preserve">llenging the Secretary of State’s decision to refuse the application for indefinite leave to remain on the grounds set out in paragraph 322(5). </w:t>
      </w:r>
    </w:p>
    <w:p w:rsidR="005D44EA" w:rsidRDefault="005D44EA" w:rsidP="00956431">
      <w:pPr>
        <w:numPr>
          <w:ilvl w:val="0"/>
          <w:numId w:val="1"/>
        </w:numPr>
        <w:tabs>
          <w:tab w:val="clear" w:pos="567"/>
        </w:tabs>
        <w:spacing w:before="240"/>
        <w:jc w:val="both"/>
        <w:rPr>
          <w:rFonts w:ascii="Book Antiqua" w:hAnsi="Book Antiqua" w:cs="Arial"/>
        </w:rPr>
      </w:pPr>
      <w:r>
        <w:rPr>
          <w:rFonts w:ascii="Book Antiqua" w:hAnsi="Book Antiqua" w:cs="Arial"/>
        </w:rPr>
        <w:t xml:space="preserve">That factor then falls to be </w:t>
      </w:r>
      <w:proofErr w:type="gramStart"/>
      <w:r>
        <w:rPr>
          <w:rFonts w:ascii="Book Antiqua" w:hAnsi="Book Antiqua" w:cs="Arial"/>
        </w:rPr>
        <w:t>taken into account</w:t>
      </w:r>
      <w:proofErr w:type="gramEnd"/>
      <w:r>
        <w:rPr>
          <w:rFonts w:ascii="Book Antiqua" w:hAnsi="Book Antiqua" w:cs="Arial"/>
        </w:rPr>
        <w:t xml:space="preserve"> in considering whether the refusal of indefinite leave to remain </w:t>
      </w:r>
      <w:r w:rsidR="00633FE3">
        <w:rPr>
          <w:rFonts w:ascii="Book Antiqua" w:hAnsi="Book Antiqua" w:cs="Arial"/>
        </w:rPr>
        <w:t xml:space="preserve">was disproportionate.  In general terms, the public interest balance </w:t>
      </w:r>
      <w:r w:rsidR="009665CC">
        <w:rPr>
          <w:rFonts w:ascii="Book Antiqua" w:hAnsi="Book Antiqua" w:cs="Arial"/>
        </w:rPr>
        <w:t xml:space="preserve">in private and family life cases </w:t>
      </w:r>
      <w:proofErr w:type="gramStart"/>
      <w:r w:rsidR="009665CC">
        <w:rPr>
          <w:rFonts w:ascii="Book Antiqua" w:hAnsi="Book Antiqua" w:cs="Arial"/>
        </w:rPr>
        <w:t>has to</w:t>
      </w:r>
      <w:proofErr w:type="gramEnd"/>
      <w:r w:rsidR="009665CC">
        <w:rPr>
          <w:rFonts w:ascii="Book Antiqua" w:hAnsi="Book Antiqua" w:cs="Arial"/>
        </w:rPr>
        <w:t xml:space="preserve"> be taken to be that set out in the Immigration Rules.  As the decision-maker correctly concluded, this </w:t>
      </w:r>
      <w:r w:rsidR="006E1537">
        <w:rPr>
          <w:rFonts w:ascii="Book Antiqua" w:hAnsi="Book Antiqua" w:cs="Arial"/>
        </w:rPr>
        <w:t xml:space="preserve">application did not fall to be granted under any </w:t>
      </w:r>
      <w:r w:rsidR="00BB0263">
        <w:rPr>
          <w:rFonts w:ascii="Book Antiqua" w:hAnsi="Book Antiqua" w:cs="Arial"/>
        </w:rPr>
        <w:t xml:space="preserve">of the </w:t>
      </w:r>
      <w:r w:rsidR="006E1537">
        <w:rPr>
          <w:rFonts w:ascii="Book Antiqua" w:hAnsi="Book Antiqua" w:cs="Arial"/>
        </w:rPr>
        <w:t xml:space="preserve">paragraphs of the Immigration Rules relating to private or family life.  </w:t>
      </w:r>
    </w:p>
    <w:p w:rsidR="006E1537" w:rsidRDefault="006E1537" w:rsidP="00956431">
      <w:pPr>
        <w:numPr>
          <w:ilvl w:val="0"/>
          <w:numId w:val="1"/>
        </w:numPr>
        <w:tabs>
          <w:tab w:val="clear" w:pos="567"/>
        </w:tabs>
        <w:spacing w:before="240"/>
        <w:jc w:val="both"/>
        <w:rPr>
          <w:rFonts w:ascii="Book Antiqua" w:hAnsi="Book Antiqua" w:cs="Arial"/>
        </w:rPr>
      </w:pPr>
      <w:r>
        <w:rPr>
          <w:rFonts w:ascii="Book Antiqua" w:hAnsi="Book Antiqua" w:cs="Arial"/>
        </w:rPr>
        <w:t>The question then is whether the appellant’s circumstances, or the circumstances of some member of his family, or some combination of them, gives the appellant some right to the leave he sought, despite not being able to meet the requirements of the Rules.  The general rehearsal of the family circumstances again get</w:t>
      </w:r>
      <w:r w:rsidR="00996880">
        <w:rPr>
          <w:rFonts w:ascii="Book Antiqua" w:hAnsi="Book Antiqua" w:cs="Arial"/>
        </w:rPr>
        <w:t>s</w:t>
      </w:r>
      <w:r>
        <w:rPr>
          <w:rFonts w:ascii="Book Antiqua" w:hAnsi="Book Antiqua" w:cs="Arial"/>
        </w:rPr>
        <w:t xml:space="preserve"> the appellant nowhere.  The point on which Mr Sharma particularly relied before us was that s.</w:t>
      </w:r>
      <w:r w:rsidR="003066AA">
        <w:rPr>
          <w:rFonts w:ascii="Book Antiqua" w:hAnsi="Book Antiqua" w:cs="Arial"/>
        </w:rPr>
        <w:t xml:space="preserve"> </w:t>
      </w:r>
      <w:r>
        <w:rPr>
          <w:rFonts w:ascii="Book Antiqua" w:hAnsi="Book Antiqua" w:cs="Arial"/>
        </w:rPr>
        <w:t>117</w:t>
      </w:r>
      <w:proofErr w:type="gramStart"/>
      <w:r>
        <w:rPr>
          <w:rFonts w:ascii="Book Antiqua" w:hAnsi="Book Antiqua" w:cs="Arial"/>
        </w:rPr>
        <w:t>B(</w:t>
      </w:r>
      <w:proofErr w:type="gramEnd"/>
      <w:r>
        <w:rPr>
          <w:rFonts w:ascii="Book Antiqua" w:hAnsi="Book Antiqua" w:cs="Arial"/>
        </w:rPr>
        <w:t>6) of the 2002 Act is as follows:</w:t>
      </w:r>
    </w:p>
    <w:p w:rsidR="006E1537" w:rsidRDefault="006E1537" w:rsidP="00B9126D">
      <w:pPr>
        <w:spacing w:before="240"/>
        <w:ind w:left="1701" w:hanging="425"/>
        <w:jc w:val="both"/>
        <w:rPr>
          <w:rFonts w:ascii="Book Antiqua" w:hAnsi="Book Antiqua" w:cs="Arial"/>
          <w:sz w:val="22"/>
          <w:szCs w:val="22"/>
        </w:rPr>
      </w:pPr>
      <w:r>
        <w:rPr>
          <w:rFonts w:ascii="Book Antiqua" w:hAnsi="Book Antiqua" w:cs="Arial"/>
          <w:sz w:val="22"/>
          <w:szCs w:val="22"/>
        </w:rPr>
        <w:t xml:space="preserve">“(6) In the case of a person who is not liable to deportation, the public interest does not require the person’s removal where – </w:t>
      </w:r>
    </w:p>
    <w:p w:rsidR="006E1537" w:rsidRDefault="00B9126D" w:rsidP="00B9126D">
      <w:pPr>
        <w:numPr>
          <w:ilvl w:val="1"/>
          <w:numId w:val="1"/>
        </w:numPr>
        <w:spacing w:before="240"/>
        <w:ind w:left="1985" w:hanging="284"/>
        <w:jc w:val="both"/>
        <w:rPr>
          <w:rFonts w:ascii="Book Antiqua" w:hAnsi="Book Antiqua" w:cs="Arial"/>
          <w:sz w:val="22"/>
          <w:szCs w:val="22"/>
        </w:rPr>
      </w:pPr>
      <w:r>
        <w:rPr>
          <w:rFonts w:ascii="Book Antiqua" w:hAnsi="Book Antiqua" w:cs="Arial"/>
          <w:sz w:val="22"/>
          <w:szCs w:val="22"/>
        </w:rPr>
        <w:t xml:space="preserve"> </w:t>
      </w:r>
      <w:r w:rsidR="00204FED">
        <w:rPr>
          <w:rFonts w:ascii="Book Antiqua" w:hAnsi="Book Antiqua" w:cs="Arial"/>
          <w:sz w:val="22"/>
          <w:szCs w:val="22"/>
        </w:rPr>
        <w:t>t</w:t>
      </w:r>
      <w:r w:rsidR="006E1537">
        <w:rPr>
          <w:rFonts w:ascii="Book Antiqua" w:hAnsi="Book Antiqua" w:cs="Arial"/>
          <w:sz w:val="22"/>
          <w:szCs w:val="22"/>
        </w:rPr>
        <w:t xml:space="preserve">he </w:t>
      </w:r>
      <w:r w:rsidR="0007784F">
        <w:rPr>
          <w:rFonts w:ascii="Book Antiqua" w:hAnsi="Book Antiqua" w:cs="Arial"/>
          <w:sz w:val="22"/>
          <w:szCs w:val="22"/>
        </w:rPr>
        <w:t>person has a genuine</w:t>
      </w:r>
      <w:r w:rsidR="006E1537">
        <w:rPr>
          <w:rFonts w:ascii="Book Antiqua" w:hAnsi="Book Antiqua" w:cs="Arial"/>
          <w:sz w:val="22"/>
          <w:szCs w:val="22"/>
        </w:rPr>
        <w:t xml:space="preserve"> and subsisting parental relationship with </w:t>
      </w:r>
      <w:r w:rsidR="003066AA">
        <w:rPr>
          <w:rFonts w:ascii="Book Antiqua" w:hAnsi="Book Antiqua" w:cs="Arial"/>
          <w:sz w:val="22"/>
          <w:szCs w:val="22"/>
        </w:rPr>
        <w:t>a qualifying</w:t>
      </w:r>
      <w:r w:rsidR="006E1537">
        <w:rPr>
          <w:rFonts w:ascii="Book Antiqua" w:hAnsi="Book Antiqua" w:cs="Arial"/>
          <w:sz w:val="22"/>
          <w:szCs w:val="22"/>
        </w:rPr>
        <w:t xml:space="preserve"> child, and </w:t>
      </w:r>
    </w:p>
    <w:p w:rsidR="006E1537" w:rsidRPr="006E1537" w:rsidRDefault="00204FED" w:rsidP="00B9126D">
      <w:pPr>
        <w:numPr>
          <w:ilvl w:val="1"/>
          <w:numId w:val="1"/>
        </w:numPr>
        <w:spacing w:before="240"/>
        <w:ind w:left="1985" w:hanging="284"/>
        <w:jc w:val="both"/>
        <w:rPr>
          <w:rFonts w:ascii="Book Antiqua" w:hAnsi="Book Antiqua" w:cs="Arial"/>
          <w:sz w:val="22"/>
          <w:szCs w:val="22"/>
        </w:rPr>
      </w:pPr>
      <w:r>
        <w:rPr>
          <w:rFonts w:ascii="Book Antiqua" w:hAnsi="Book Antiqua" w:cs="Arial"/>
          <w:sz w:val="22"/>
          <w:szCs w:val="22"/>
        </w:rPr>
        <w:t xml:space="preserve"> i</w:t>
      </w:r>
      <w:r w:rsidR="006E1537">
        <w:rPr>
          <w:rFonts w:ascii="Book Antiqua" w:hAnsi="Book Antiqua" w:cs="Arial"/>
          <w:sz w:val="22"/>
          <w:szCs w:val="22"/>
        </w:rPr>
        <w:t>t would not be reasonable to expect the child to leave the United Kingdom.”</w:t>
      </w:r>
    </w:p>
    <w:p w:rsidR="0001165E" w:rsidRDefault="006E1537" w:rsidP="00956431">
      <w:pPr>
        <w:numPr>
          <w:ilvl w:val="0"/>
          <w:numId w:val="1"/>
        </w:numPr>
        <w:tabs>
          <w:tab w:val="clear" w:pos="567"/>
        </w:tabs>
        <w:spacing w:before="240"/>
        <w:jc w:val="both"/>
        <w:rPr>
          <w:rFonts w:ascii="Book Antiqua" w:hAnsi="Book Antiqua" w:cs="Arial"/>
        </w:rPr>
      </w:pPr>
      <w:r>
        <w:rPr>
          <w:rFonts w:ascii="Book Antiqua" w:hAnsi="Book Antiqua" w:cs="Arial"/>
        </w:rPr>
        <w:t xml:space="preserve">Mr Sharma said that </w:t>
      </w:r>
      <w:r w:rsidR="0068298A">
        <w:rPr>
          <w:rFonts w:ascii="Book Antiqua" w:hAnsi="Book Antiqua" w:cs="Arial"/>
        </w:rPr>
        <w:t xml:space="preserve">the appellant’s claim under that head was unassailable.  </w:t>
      </w:r>
    </w:p>
    <w:p w:rsidR="0068298A" w:rsidRDefault="0068298A" w:rsidP="00956431">
      <w:pPr>
        <w:numPr>
          <w:ilvl w:val="0"/>
          <w:numId w:val="1"/>
        </w:numPr>
        <w:tabs>
          <w:tab w:val="clear" w:pos="567"/>
        </w:tabs>
        <w:spacing w:before="240"/>
        <w:jc w:val="both"/>
        <w:rPr>
          <w:rFonts w:ascii="Book Antiqua" w:hAnsi="Book Antiqua" w:cs="Arial"/>
        </w:rPr>
      </w:pPr>
      <w:r>
        <w:rPr>
          <w:rFonts w:ascii="Book Antiqua" w:hAnsi="Book Antiqua" w:cs="Arial"/>
        </w:rPr>
        <w:t xml:space="preserve">The position was considered by Judge Agnew.  There is no evidence of the best interests of the appellant’s son.  Judge Agnew pointed out that he has only recently been granted citizenship, his parents both grew up in Nigeria and </w:t>
      </w:r>
      <w:r w:rsidR="00DD7825">
        <w:rPr>
          <w:rFonts w:ascii="Book Antiqua" w:hAnsi="Book Antiqua" w:cs="Arial"/>
        </w:rPr>
        <w:t>could</w:t>
      </w:r>
      <w:r>
        <w:rPr>
          <w:rFonts w:ascii="Book Antiqua" w:hAnsi="Book Antiqua" w:cs="Arial"/>
        </w:rPr>
        <w:t xml:space="preserve"> live there, and that the evidence before her did not show that it would be unreasonable for either the </w:t>
      </w:r>
      <w:r>
        <w:rPr>
          <w:rFonts w:ascii="Book Antiqua" w:hAnsi="Book Antiqua" w:cs="Arial"/>
        </w:rPr>
        <w:lastRenderedPageBreak/>
        <w:t xml:space="preserve">appellant’s wife or his son to accompany the appellant to Nigeria if they chose to do so.   The appellant’s claim </w:t>
      </w:r>
      <w:r w:rsidR="001C632B">
        <w:rPr>
          <w:rFonts w:ascii="Book Antiqua" w:hAnsi="Book Antiqua" w:cs="Arial"/>
        </w:rPr>
        <w:t xml:space="preserve">that that decision was not open to the judge is fanciful.  Mr Sharma pointed to not a shred of evidence which would have justified a contrary conclusion, let alone required one.  </w:t>
      </w:r>
      <w:r w:rsidR="00173406">
        <w:rPr>
          <w:rFonts w:ascii="Book Antiqua" w:hAnsi="Book Antiqua" w:cs="Arial"/>
        </w:rPr>
        <w:t>Section 117</w:t>
      </w:r>
      <w:proofErr w:type="gramStart"/>
      <w:r w:rsidR="00173406">
        <w:rPr>
          <w:rFonts w:ascii="Book Antiqua" w:hAnsi="Book Antiqua" w:cs="Arial"/>
        </w:rPr>
        <w:t>B(</w:t>
      </w:r>
      <w:proofErr w:type="gramEnd"/>
      <w:r w:rsidR="00173406">
        <w:rPr>
          <w:rFonts w:ascii="Book Antiqua" w:hAnsi="Book Antiqua" w:cs="Arial"/>
        </w:rPr>
        <w:t>6) does not apply because the evidence does not establish that s 117B(6)(b) applies.</w:t>
      </w:r>
    </w:p>
    <w:p w:rsidR="00173406" w:rsidRDefault="00173406" w:rsidP="00956431">
      <w:pPr>
        <w:numPr>
          <w:ilvl w:val="0"/>
          <w:numId w:val="1"/>
        </w:numPr>
        <w:tabs>
          <w:tab w:val="clear" w:pos="567"/>
        </w:tabs>
        <w:spacing w:before="240"/>
        <w:jc w:val="both"/>
        <w:rPr>
          <w:rFonts w:ascii="Book Antiqua" w:hAnsi="Book Antiqua" w:cs="Arial"/>
        </w:rPr>
      </w:pPr>
      <w:r>
        <w:rPr>
          <w:rFonts w:ascii="Book Antiqua" w:hAnsi="Book Antiqua" w:cs="Arial"/>
        </w:rPr>
        <w:t xml:space="preserve">For the foregoing reasons we dismiss the appeal on all the grounds advanced. </w:t>
      </w:r>
    </w:p>
    <w:p w:rsidR="001C632B" w:rsidRPr="00BD46B9" w:rsidRDefault="009E1E9F" w:rsidP="00173406">
      <w:pPr>
        <w:spacing w:before="240"/>
        <w:jc w:val="both"/>
        <w:rPr>
          <w:rFonts w:ascii="Book Antiqua" w:hAnsi="Book Antiqua" w:cs="Arial"/>
        </w:rPr>
      </w:pPr>
      <w:r>
        <w:rPr>
          <w:rFonts w:ascii="Book Antiqua" w:hAnsi="Book Antiqua" w:cs="Arial"/>
        </w:rPr>
        <w:t xml:space="preserve"> </w:t>
      </w:r>
    </w:p>
    <w:p w:rsidR="00A94471" w:rsidRDefault="00A94471" w:rsidP="00BD46B9">
      <w:pPr>
        <w:spacing w:before="240"/>
        <w:ind w:left="567"/>
        <w:jc w:val="both"/>
        <w:rPr>
          <w:rFonts w:ascii="Book Antiqua" w:hAnsi="Book Antiqua" w:cs="Arial"/>
        </w:rPr>
      </w:pPr>
    </w:p>
    <w:p w:rsidR="004C148A" w:rsidRDefault="004C148A" w:rsidP="000A0743">
      <w:pPr>
        <w:jc w:val="both"/>
        <w:rPr>
          <w:rFonts w:ascii="Book Antiqua" w:hAnsi="Book Antiqua" w:cs="Arial"/>
        </w:rPr>
      </w:pPr>
    </w:p>
    <w:p w:rsidR="004C148A" w:rsidRPr="009B7433" w:rsidRDefault="004C148A" w:rsidP="000A0743">
      <w:pPr>
        <w:jc w:val="both"/>
        <w:rPr>
          <w:rFonts w:ascii="Book Antiqua" w:hAnsi="Book Antiqua" w:cs="Arial"/>
        </w:rPr>
      </w:pPr>
    </w:p>
    <w:p w:rsidR="009F5220" w:rsidRPr="009B7433" w:rsidRDefault="009F5220" w:rsidP="000A0743">
      <w:pPr>
        <w:jc w:val="both"/>
        <w:rPr>
          <w:rFonts w:ascii="Book Antiqua" w:hAnsi="Book Antiqua" w:cs="Arial"/>
        </w:rPr>
      </w:pPr>
    </w:p>
    <w:p w:rsidR="00342DE4" w:rsidRDefault="000418A0" w:rsidP="00342DE4">
      <w:pPr>
        <w:ind w:left="4500"/>
        <w:jc w:val="right"/>
        <w:rPr>
          <w:rFonts w:ascii="Book Antiqua" w:hAnsi="Book Antiqua"/>
        </w:rPr>
      </w:pPr>
      <w:r>
        <w:rPr>
          <w:rFonts w:ascii="Book Antiqua" w:hAnsi="Book Antiqua"/>
        </w:rPr>
        <w:t>C</w:t>
      </w:r>
      <w:r w:rsidR="00342DE4">
        <w:rPr>
          <w:rFonts w:ascii="Book Antiqua" w:hAnsi="Book Antiqua"/>
        </w:rPr>
        <w:t>. M. G. OCKELTON</w:t>
      </w:r>
    </w:p>
    <w:p w:rsidR="00342DE4" w:rsidRDefault="00342DE4" w:rsidP="00342DE4">
      <w:pPr>
        <w:ind w:left="4500"/>
        <w:jc w:val="right"/>
        <w:rPr>
          <w:rFonts w:ascii="Book Antiqua" w:hAnsi="Book Antiqua"/>
        </w:rPr>
      </w:pPr>
      <w:r>
        <w:rPr>
          <w:rFonts w:ascii="Book Antiqua" w:hAnsi="Book Antiqua"/>
        </w:rPr>
        <w:t>VICE PRESIDENT OF THE UPPER TRIBUNAL</w:t>
      </w:r>
    </w:p>
    <w:p w:rsidR="00342DE4" w:rsidRPr="0057456D" w:rsidRDefault="00342DE4" w:rsidP="00342DE4">
      <w:pPr>
        <w:ind w:left="4500"/>
        <w:jc w:val="right"/>
        <w:rPr>
          <w:rFonts w:ascii="Book Antiqua" w:hAnsi="Book Antiqua"/>
        </w:rPr>
      </w:pPr>
      <w:r w:rsidRPr="0057456D">
        <w:rPr>
          <w:rFonts w:ascii="Book Antiqua" w:hAnsi="Book Antiqua"/>
        </w:rPr>
        <w:t>IMMIGRATION AND ASYLUM CHAMBER</w:t>
      </w:r>
    </w:p>
    <w:p w:rsidR="00342DE4" w:rsidRDefault="00342DE4" w:rsidP="000418A0">
      <w:pPr>
        <w:tabs>
          <w:tab w:val="left" w:pos="2520"/>
        </w:tabs>
        <w:jc w:val="right"/>
        <w:rPr>
          <w:rFonts w:ascii="Book Antiqua" w:hAnsi="Book Antiqua" w:cs="Arial"/>
        </w:rPr>
      </w:pPr>
      <w:r>
        <w:rPr>
          <w:rFonts w:ascii="Book Antiqua" w:hAnsi="Book Antiqua"/>
        </w:rPr>
        <w:t xml:space="preserve">Date: </w:t>
      </w:r>
      <w:r w:rsidR="00173406">
        <w:rPr>
          <w:rFonts w:ascii="Book Antiqua" w:hAnsi="Book Antiqua"/>
        </w:rPr>
        <w:t>31</w:t>
      </w:r>
      <w:r w:rsidR="003A1C81">
        <w:rPr>
          <w:rFonts w:ascii="Book Antiqua" w:hAnsi="Book Antiqua"/>
        </w:rPr>
        <w:t xml:space="preserve"> October</w:t>
      </w:r>
      <w:r w:rsidR="00E5766B">
        <w:rPr>
          <w:rFonts w:ascii="Book Antiqua" w:hAnsi="Book Antiqua"/>
        </w:rPr>
        <w:t xml:space="preserve"> </w:t>
      </w:r>
      <w:r w:rsidR="00C91E5C">
        <w:rPr>
          <w:rFonts w:ascii="Book Antiqua" w:hAnsi="Book Antiqua"/>
        </w:rPr>
        <w:t>2018.</w:t>
      </w:r>
    </w:p>
    <w:p w:rsidR="00D949B7" w:rsidRDefault="00D949B7" w:rsidP="009C04E6">
      <w:pPr>
        <w:tabs>
          <w:tab w:val="left" w:pos="2520"/>
        </w:tabs>
        <w:jc w:val="right"/>
        <w:rPr>
          <w:rFonts w:ascii="Book Antiqua" w:hAnsi="Book Antiqua" w:cs="Arial"/>
        </w:rPr>
      </w:pPr>
    </w:p>
    <w:sectPr w:rsidR="00D949B7" w:rsidSect="00C02764">
      <w:headerReference w:type="default" r:id="rId9"/>
      <w:footerReference w:type="default" r:id="rId10"/>
      <w:headerReference w:type="first" r:id="rId11"/>
      <w:footerReference w:type="first" r:id="rId12"/>
      <w:pgSz w:w="11906" w:h="16838"/>
      <w:pgMar w:top="851"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6FA6" w:rsidRDefault="00C36FA6">
      <w:r>
        <w:separator/>
      </w:r>
    </w:p>
  </w:endnote>
  <w:endnote w:type="continuationSeparator" w:id="0">
    <w:p w:rsidR="00C36FA6" w:rsidRDefault="00C36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7219" w:rsidRPr="00E76BE5" w:rsidRDefault="000F7219" w:rsidP="00593795">
    <w:pPr>
      <w:pStyle w:val="Footer"/>
      <w:jc w:val="center"/>
      <w:rPr>
        <w:rFonts w:ascii="Book Antiqua" w:hAnsi="Book Antiqua" w:cs="Arial"/>
      </w:rPr>
    </w:pPr>
    <w:r w:rsidRPr="00E76BE5">
      <w:rPr>
        <w:rStyle w:val="PageNumber"/>
        <w:rFonts w:ascii="Book Antiqua" w:hAnsi="Book Antiqua" w:cs="Arial"/>
      </w:rPr>
      <w:fldChar w:fldCharType="begin"/>
    </w:r>
    <w:r w:rsidRPr="00E76BE5">
      <w:rPr>
        <w:rStyle w:val="PageNumber"/>
        <w:rFonts w:ascii="Book Antiqua" w:hAnsi="Book Antiqua" w:cs="Arial"/>
      </w:rPr>
      <w:instrText xml:space="preserve"> PAGE </w:instrText>
    </w:r>
    <w:r w:rsidRPr="00E76BE5">
      <w:rPr>
        <w:rStyle w:val="PageNumber"/>
        <w:rFonts w:ascii="Book Antiqua" w:hAnsi="Book Antiqua" w:cs="Arial"/>
      </w:rPr>
      <w:fldChar w:fldCharType="separate"/>
    </w:r>
    <w:r w:rsidR="00BA6C30">
      <w:rPr>
        <w:rStyle w:val="PageNumber"/>
        <w:rFonts w:ascii="Book Antiqua" w:hAnsi="Book Antiqua" w:cs="Arial"/>
        <w:noProof/>
      </w:rPr>
      <w:t>5</w:t>
    </w:r>
    <w:r w:rsidRPr="00E76BE5">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7219" w:rsidRPr="009B7433" w:rsidRDefault="000F7219"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6FA6" w:rsidRDefault="00C36FA6">
      <w:r>
        <w:separator/>
      </w:r>
    </w:p>
  </w:footnote>
  <w:footnote w:type="continuationSeparator" w:id="0">
    <w:p w:rsidR="00C36FA6" w:rsidRDefault="00C36F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7219" w:rsidRPr="00E76BE5" w:rsidRDefault="000F7219" w:rsidP="00403974">
    <w:pPr>
      <w:tabs>
        <w:tab w:val="right" w:pos="9720"/>
      </w:tabs>
      <w:ind w:right="-82"/>
      <w:jc w:val="right"/>
      <w:rPr>
        <w:rFonts w:ascii="Book Antiqua" w:hAnsi="Book Antiqua" w:cs="Arial"/>
        <w:caps/>
        <w:color w:val="000000"/>
        <w:sz w:val="16"/>
        <w:szCs w:val="16"/>
        <w:lang w:val="es-ES"/>
      </w:rPr>
    </w:pPr>
    <w:r w:rsidRPr="00E76BE5">
      <w:rPr>
        <w:rFonts w:ascii="Book Antiqua" w:hAnsi="Book Antiqua" w:cs="Arial"/>
        <w:sz w:val="16"/>
        <w:szCs w:val="16"/>
        <w:lang w:val="es-ES"/>
      </w:rPr>
      <w:t>A</w:t>
    </w:r>
    <w:r w:rsidR="00BD56D0" w:rsidRPr="00E76BE5">
      <w:rPr>
        <w:rFonts w:ascii="Book Antiqua" w:hAnsi="Book Antiqua" w:cs="Arial"/>
        <w:sz w:val="16"/>
        <w:szCs w:val="16"/>
        <w:lang w:val="es-ES"/>
      </w:rPr>
      <w:t xml:space="preserve">ppeal </w:t>
    </w:r>
    <w:r w:rsidR="00B20C56" w:rsidRPr="00E76BE5">
      <w:rPr>
        <w:rFonts w:ascii="Book Antiqua" w:hAnsi="Book Antiqua" w:cs="Arial"/>
        <w:sz w:val="16"/>
        <w:szCs w:val="16"/>
        <w:lang w:val="es-ES"/>
      </w:rPr>
      <w:t>N</w:t>
    </w:r>
    <w:r w:rsidR="00E5766B" w:rsidRPr="00E76BE5">
      <w:rPr>
        <w:rFonts w:ascii="Book Antiqua" w:hAnsi="Book Antiqua" w:cs="Arial"/>
        <w:sz w:val="16"/>
        <w:szCs w:val="16"/>
        <w:lang w:val="es-ES"/>
      </w:rPr>
      <w:t xml:space="preserve">umber: </w:t>
    </w:r>
    <w:r w:rsidR="00700211" w:rsidRPr="00E76BE5">
      <w:rPr>
        <w:rFonts w:ascii="Book Antiqua" w:hAnsi="Book Antiqua" w:cs="Arial"/>
        <w:sz w:val="16"/>
        <w:szCs w:val="16"/>
      </w:rPr>
      <w:t>HU/08846/2016</w:t>
    </w:r>
  </w:p>
  <w:p w:rsidR="000F7219" w:rsidRPr="00403974" w:rsidRDefault="000F7219" w:rsidP="00593795">
    <w:pPr>
      <w:pStyle w:val="Header"/>
      <w:jc w:val="right"/>
      <w:rPr>
        <w:rFonts w:ascii="Book Antiqua" w:hAnsi="Book Antiqua" w:cs="Arial"/>
        <w:sz w:val="18"/>
        <w:szCs w:val="18"/>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7219" w:rsidRPr="009B7433" w:rsidRDefault="000F7219">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14584B"/>
    <w:multiLevelType w:val="hybridMultilevel"/>
    <w:tmpl w:val="0824BA84"/>
    <w:lvl w:ilvl="0" w:tplc="08090017">
      <w:start w:val="1"/>
      <w:numFmt w:val="lowerLetter"/>
      <w:lvlText w:val="%1)"/>
      <w:lvlJc w:val="left"/>
      <w:pPr>
        <w:tabs>
          <w:tab w:val="num" w:pos="2040"/>
        </w:tabs>
        <w:ind w:left="2040" w:hanging="360"/>
      </w:pPr>
    </w:lvl>
    <w:lvl w:ilvl="1" w:tplc="08090019" w:tentative="1">
      <w:start w:val="1"/>
      <w:numFmt w:val="lowerLetter"/>
      <w:lvlText w:val="%2."/>
      <w:lvlJc w:val="left"/>
      <w:pPr>
        <w:tabs>
          <w:tab w:val="num" w:pos="2760"/>
        </w:tabs>
        <w:ind w:left="2760" w:hanging="360"/>
      </w:pPr>
    </w:lvl>
    <w:lvl w:ilvl="2" w:tplc="0809001B" w:tentative="1">
      <w:start w:val="1"/>
      <w:numFmt w:val="lowerRoman"/>
      <w:lvlText w:val="%3."/>
      <w:lvlJc w:val="right"/>
      <w:pPr>
        <w:tabs>
          <w:tab w:val="num" w:pos="3480"/>
        </w:tabs>
        <w:ind w:left="3480" w:hanging="180"/>
      </w:pPr>
    </w:lvl>
    <w:lvl w:ilvl="3" w:tplc="0809000F" w:tentative="1">
      <w:start w:val="1"/>
      <w:numFmt w:val="decimal"/>
      <w:lvlText w:val="%4."/>
      <w:lvlJc w:val="left"/>
      <w:pPr>
        <w:tabs>
          <w:tab w:val="num" w:pos="4200"/>
        </w:tabs>
        <w:ind w:left="4200" w:hanging="360"/>
      </w:pPr>
    </w:lvl>
    <w:lvl w:ilvl="4" w:tplc="08090019" w:tentative="1">
      <w:start w:val="1"/>
      <w:numFmt w:val="lowerLetter"/>
      <w:lvlText w:val="%5."/>
      <w:lvlJc w:val="left"/>
      <w:pPr>
        <w:tabs>
          <w:tab w:val="num" w:pos="4920"/>
        </w:tabs>
        <w:ind w:left="4920" w:hanging="360"/>
      </w:pPr>
    </w:lvl>
    <w:lvl w:ilvl="5" w:tplc="0809001B" w:tentative="1">
      <w:start w:val="1"/>
      <w:numFmt w:val="lowerRoman"/>
      <w:lvlText w:val="%6."/>
      <w:lvlJc w:val="right"/>
      <w:pPr>
        <w:tabs>
          <w:tab w:val="num" w:pos="5640"/>
        </w:tabs>
        <w:ind w:left="5640" w:hanging="180"/>
      </w:pPr>
    </w:lvl>
    <w:lvl w:ilvl="6" w:tplc="0809000F" w:tentative="1">
      <w:start w:val="1"/>
      <w:numFmt w:val="decimal"/>
      <w:lvlText w:val="%7."/>
      <w:lvlJc w:val="left"/>
      <w:pPr>
        <w:tabs>
          <w:tab w:val="num" w:pos="6360"/>
        </w:tabs>
        <w:ind w:left="6360" w:hanging="360"/>
      </w:pPr>
    </w:lvl>
    <w:lvl w:ilvl="7" w:tplc="08090019" w:tentative="1">
      <w:start w:val="1"/>
      <w:numFmt w:val="lowerLetter"/>
      <w:lvlText w:val="%8."/>
      <w:lvlJc w:val="left"/>
      <w:pPr>
        <w:tabs>
          <w:tab w:val="num" w:pos="7080"/>
        </w:tabs>
        <w:ind w:left="7080" w:hanging="360"/>
      </w:pPr>
    </w:lvl>
    <w:lvl w:ilvl="8" w:tplc="0809001B" w:tentative="1">
      <w:start w:val="1"/>
      <w:numFmt w:val="lowerRoman"/>
      <w:lvlText w:val="%9."/>
      <w:lvlJc w:val="right"/>
      <w:pPr>
        <w:tabs>
          <w:tab w:val="num" w:pos="7800"/>
        </w:tabs>
        <w:ind w:left="7800" w:hanging="180"/>
      </w:pPr>
    </w:lvl>
  </w:abstractNum>
  <w:abstractNum w:abstractNumId="1"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627"/>
    <w:rsid w:val="00000621"/>
    <w:rsid w:val="000036C2"/>
    <w:rsid w:val="00010B80"/>
    <w:rsid w:val="0001165E"/>
    <w:rsid w:val="00013467"/>
    <w:rsid w:val="00015EFD"/>
    <w:rsid w:val="00016C1A"/>
    <w:rsid w:val="00016EE6"/>
    <w:rsid w:val="00023293"/>
    <w:rsid w:val="00027235"/>
    <w:rsid w:val="00027F09"/>
    <w:rsid w:val="000310EB"/>
    <w:rsid w:val="00031A5D"/>
    <w:rsid w:val="00033588"/>
    <w:rsid w:val="00033D3D"/>
    <w:rsid w:val="00034A7A"/>
    <w:rsid w:val="0003538A"/>
    <w:rsid w:val="00036ABB"/>
    <w:rsid w:val="000418A0"/>
    <w:rsid w:val="0004468B"/>
    <w:rsid w:val="0004776F"/>
    <w:rsid w:val="00052895"/>
    <w:rsid w:val="00053FFE"/>
    <w:rsid w:val="00062F02"/>
    <w:rsid w:val="00065311"/>
    <w:rsid w:val="00067DB1"/>
    <w:rsid w:val="00071130"/>
    <w:rsid w:val="00071A7E"/>
    <w:rsid w:val="000746C0"/>
    <w:rsid w:val="00074D1D"/>
    <w:rsid w:val="00074F9C"/>
    <w:rsid w:val="0007784F"/>
    <w:rsid w:val="000779BF"/>
    <w:rsid w:val="00080D1F"/>
    <w:rsid w:val="00082AC3"/>
    <w:rsid w:val="00082BE8"/>
    <w:rsid w:val="00082F5E"/>
    <w:rsid w:val="00087E7E"/>
    <w:rsid w:val="000900C0"/>
    <w:rsid w:val="00092580"/>
    <w:rsid w:val="00093D4D"/>
    <w:rsid w:val="000942C4"/>
    <w:rsid w:val="000A0743"/>
    <w:rsid w:val="000A29E4"/>
    <w:rsid w:val="000A748F"/>
    <w:rsid w:val="000B5188"/>
    <w:rsid w:val="000C115D"/>
    <w:rsid w:val="000C1382"/>
    <w:rsid w:val="000C3073"/>
    <w:rsid w:val="000C4752"/>
    <w:rsid w:val="000C4E05"/>
    <w:rsid w:val="000C79D6"/>
    <w:rsid w:val="000D0D18"/>
    <w:rsid w:val="000D401A"/>
    <w:rsid w:val="000D50B2"/>
    <w:rsid w:val="000D5D94"/>
    <w:rsid w:val="000D6EA3"/>
    <w:rsid w:val="000E32F6"/>
    <w:rsid w:val="000E5182"/>
    <w:rsid w:val="000F0580"/>
    <w:rsid w:val="000F0B3D"/>
    <w:rsid w:val="000F0EAF"/>
    <w:rsid w:val="000F1A0E"/>
    <w:rsid w:val="000F1AED"/>
    <w:rsid w:val="000F4D42"/>
    <w:rsid w:val="000F53D6"/>
    <w:rsid w:val="000F7219"/>
    <w:rsid w:val="001068AC"/>
    <w:rsid w:val="00107261"/>
    <w:rsid w:val="0011129E"/>
    <w:rsid w:val="001165A7"/>
    <w:rsid w:val="00121C4A"/>
    <w:rsid w:val="0013122B"/>
    <w:rsid w:val="00134D9E"/>
    <w:rsid w:val="00135134"/>
    <w:rsid w:val="0013523C"/>
    <w:rsid w:val="001363D7"/>
    <w:rsid w:val="0014109D"/>
    <w:rsid w:val="001412FF"/>
    <w:rsid w:val="00146261"/>
    <w:rsid w:val="001524FF"/>
    <w:rsid w:val="0015282D"/>
    <w:rsid w:val="00160BA5"/>
    <w:rsid w:val="00163D20"/>
    <w:rsid w:val="0016508E"/>
    <w:rsid w:val="00166A58"/>
    <w:rsid w:val="00167082"/>
    <w:rsid w:val="00167D3A"/>
    <w:rsid w:val="00173225"/>
    <w:rsid w:val="00173406"/>
    <w:rsid w:val="00173F50"/>
    <w:rsid w:val="0017516C"/>
    <w:rsid w:val="00183F92"/>
    <w:rsid w:val="00184E73"/>
    <w:rsid w:val="00185986"/>
    <w:rsid w:val="0019000F"/>
    <w:rsid w:val="001947F3"/>
    <w:rsid w:val="00194DD8"/>
    <w:rsid w:val="00195E27"/>
    <w:rsid w:val="00196E2A"/>
    <w:rsid w:val="001A3082"/>
    <w:rsid w:val="001A31FA"/>
    <w:rsid w:val="001A4B89"/>
    <w:rsid w:val="001A6591"/>
    <w:rsid w:val="001A769E"/>
    <w:rsid w:val="001A7758"/>
    <w:rsid w:val="001A7C2A"/>
    <w:rsid w:val="001B15CB"/>
    <w:rsid w:val="001B186A"/>
    <w:rsid w:val="001B2F75"/>
    <w:rsid w:val="001C40B5"/>
    <w:rsid w:val="001C632B"/>
    <w:rsid w:val="001C6F5F"/>
    <w:rsid w:val="001D3AC7"/>
    <w:rsid w:val="001D6167"/>
    <w:rsid w:val="001D765B"/>
    <w:rsid w:val="001E042F"/>
    <w:rsid w:val="001F2716"/>
    <w:rsid w:val="001F3AC0"/>
    <w:rsid w:val="00202513"/>
    <w:rsid w:val="0020466C"/>
    <w:rsid w:val="00204FED"/>
    <w:rsid w:val="00207617"/>
    <w:rsid w:val="00207A11"/>
    <w:rsid w:val="00214CB4"/>
    <w:rsid w:val="00215EF7"/>
    <w:rsid w:val="00220D95"/>
    <w:rsid w:val="00223914"/>
    <w:rsid w:val="00227B46"/>
    <w:rsid w:val="0023134B"/>
    <w:rsid w:val="00232D0A"/>
    <w:rsid w:val="00232D72"/>
    <w:rsid w:val="0023699E"/>
    <w:rsid w:val="00253232"/>
    <w:rsid w:val="002539F6"/>
    <w:rsid w:val="00254D0C"/>
    <w:rsid w:val="00256382"/>
    <w:rsid w:val="002564FD"/>
    <w:rsid w:val="00256770"/>
    <w:rsid w:val="002638E4"/>
    <w:rsid w:val="00270304"/>
    <w:rsid w:val="00275621"/>
    <w:rsid w:val="00283659"/>
    <w:rsid w:val="00283C06"/>
    <w:rsid w:val="002864AF"/>
    <w:rsid w:val="002950F0"/>
    <w:rsid w:val="002956FC"/>
    <w:rsid w:val="002A5EFE"/>
    <w:rsid w:val="002B1A86"/>
    <w:rsid w:val="002B1BB0"/>
    <w:rsid w:val="002B40E2"/>
    <w:rsid w:val="002B4794"/>
    <w:rsid w:val="002B6692"/>
    <w:rsid w:val="002C6906"/>
    <w:rsid w:val="002C6BD4"/>
    <w:rsid w:val="002C737D"/>
    <w:rsid w:val="002D68BF"/>
    <w:rsid w:val="002D7E82"/>
    <w:rsid w:val="002E3D25"/>
    <w:rsid w:val="002E4541"/>
    <w:rsid w:val="002E46BC"/>
    <w:rsid w:val="002E580A"/>
    <w:rsid w:val="002F1C54"/>
    <w:rsid w:val="002F6B98"/>
    <w:rsid w:val="002F6CF4"/>
    <w:rsid w:val="002F700E"/>
    <w:rsid w:val="0030416A"/>
    <w:rsid w:val="003066AA"/>
    <w:rsid w:val="00306FD1"/>
    <w:rsid w:val="003107C2"/>
    <w:rsid w:val="00312B42"/>
    <w:rsid w:val="0031536C"/>
    <w:rsid w:val="00321A52"/>
    <w:rsid w:val="00321C52"/>
    <w:rsid w:val="00324036"/>
    <w:rsid w:val="00326198"/>
    <w:rsid w:val="00327057"/>
    <w:rsid w:val="003323E6"/>
    <w:rsid w:val="00336CBF"/>
    <w:rsid w:val="003406FA"/>
    <w:rsid w:val="0034098E"/>
    <w:rsid w:val="00341E39"/>
    <w:rsid w:val="00342DE4"/>
    <w:rsid w:val="00343C71"/>
    <w:rsid w:val="00343FE3"/>
    <w:rsid w:val="00344910"/>
    <w:rsid w:val="00346E18"/>
    <w:rsid w:val="00347B1D"/>
    <w:rsid w:val="00350572"/>
    <w:rsid w:val="003546C8"/>
    <w:rsid w:val="00357079"/>
    <w:rsid w:val="003716FA"/>
    <w:rsid w:val="00371DAD"/>
    <w:rsid w:val="0037317D"/>
    <w:rsid w:val="0037777D"/>
    <w:rsid w:val="003825D4"/>
    <w:rsid w:val="00384CF5"/>
    <w:rsid w:val="003922E0"/>
    <w:rsid w:val="00395578"/>
    <w:rsid w:val="003955E2"/>
    <w:rsid w:val="00397B40"/>
    <w:rsid w:val="003A1C81"/>
    <w:rsid w:val="003A28F0"/>
    <w:rsid w:val="003A56D0"/>
    <w:rsid w:val="003A7CF2"/>
    <w:rsid w:val="003B3AF8"/>
    <w:rsid w:val="003B7ABC"/>
    <w:rsid w:val="003C1638"/>
    <w:rsid w:val="003C2CE8"/>
    <w:rsid w:val="003C54EE"/>
    <w:rsid w:val="003C5CA3"/>
    <w:rsid w:val="003C5CE5"/>
    <w:rsid w:val="003C680B"/>
    <w:rsid w:val="003D04E2"/>
    <w:rsid w:val="003D16AF"/>
    <w:rsid w:val="003D205C"/>
    <w:rsid w:val="003D25F1"/>
    <w:rsid w:val="003D2F81"/>
    <w:rsid w:val="003D6FAD"/>
    <w:rsid w:val="003E267B"/>
    <w:rsid w:val="003E4E66"/>
    <w:rsid w:val="003E53D9"/>
    <w:rsid w:val="003E7CD1"/>
    <w:rsid w:val="003F0705"/>
    <w:rsid w:val="003F1DA3"/>
    <w:rsid w:val="003F3593"/>
    <w:rsid w:val="003F58BE"/>
    <w:rsid w:val="003F727E"/>
    <w:rsid w:val="0040219A"/>
    <w:rsid w:val="00402B9E"/>
    <w:rsid w:val="00402CFA"/>
    <w:rsid w:val="00403974"/>
    <w:rsid w:val="004068C7"/>
    <w:rsid w:val="00410372"/>
    <w:rsid w:val="00414FAE"/>
    <w:rsid w:val="00416C42"/>
    <w:rsid w:val="00416FC5"/>
    <w:rsid w:val="00423F42"/>
    <w:rsid w:val="004249CB"/>
    <w:rsid w:val="00426F0F"/>
    <w:rsid w:val="0043035D"/>
    <w:rsid w:val="00430E13"/>
    <w:rsid w:val="0043393D"/>
    <w:rsid w:val="004378D3"/>
    <w:rsid w:val="0044127D"/>
    <w:rsid w:val="00441AD1"/>
    <w:rsid w:val="004448DB"/>
    <w:rsid w:val="00446C9A"/>
    <w:rsid w:val="00452F2B"/>
    <w:rsid w:val="004530F7"/>
    <w:rsid w:val="0045690E"/>
    <w:rsid w:val="004610E3"/>
    <w:rsid w:val="00462A0C"/>
    <w:rsid w:val="00470A95"/>
    <w:rsid w:val="00473102"/>
    <w:rsid w:val="00476B9F"/>
    <w:rsid w:val="00477193"/>
    <w:rsid w:val="004810CB"/>
    <w:rsid w:val="004839E5"/>
    <w:rsid w:val="00496803"/>
    <w:rsid w:val="00496F00"/>
    <w:rsid w:val="004A1848"/>
    <w:rsid w:val="004A2B0F"/>
    <w:rsid w:val="004A2D15"/>
    <w:rsid w:val="004A4853"/>
    <w:rsid w:val="004A534C"/>
    <w:rsid w:val="004A6559"/>
    <w:rsid w:val="004A6F4A"/>
    <w:rsid w:val="004A73A4"/>
    <w:rsid w:val="004A7DE7"/>
    <w:rsid w:val="004B03C9"/>
    <w:rsid w:val="004B2288"/>
    <w:rsid w:val="004B3D26"/>
    <w:rsid w:val="004B70D7"/>
    <w:rsid w:val="004C148A"/>
    <w:rsid w:val="004C30E7"/>
    <w:rsid w:val="004C3CDD"/>
    <w:rsid w:val="004D3CFE"/>
    <w:rsid w:val="004D4518"/>
    <w:rsid w:val="004D67B2"/>
    <w:rsid w:val="004D6B45"/>
    <w:rsid w:val="004D74AE"/>
    <w:rsid w:val="004E4717"/>
    <w:rsid w:val="004F2676"/>
    <w:rsid w:val="004F3976"/>
    <w:rsid w:val="004F557F"/>
    <w:rsid w:val="004F5D02"/>
    <w:rsid w:val="00501671"/>
    <w:rsid w:val="005034AD"/>
    <w:rsid w:val="00504D18"/>
    <w:rsid w:val="005063A0"/>
    <w:rsid w:val="005073C0"/>
    <w:rsid w:val="00507FEC"/>
    <w:rsid w:val="00510B59"/>
    <w:rsid w:val="00510F0E"/>
    <w:rsid w:val="00512CA3"/>
    <w:rsid w:val="00513248"/>
    <w:rsid w:val="005207B0"/>
    <w:rsid w:val="005249A4"/>
    <w:rsid w:val="005255B3"/>
    <w:rsid w:val="00534BF4"/>
    <w:rsid w:val="0053698E"/>
    <w:rsid w:val="005370EF"/>
    <w:rsid w:val="00541E53"/>
    <w:rsid w:val="00545372"/>
    <w:rsid w:val="005479E1"/>
    <w:rsid w:val="00551C3D"/>
    <w:rsid w:val="00553028"/>
    <w:rsid w:val="00553101"/>
    <w:rsid w:val="00553E0A"/>
    <w:rsid w:val="005570FD"/>
    <w:rsid w:val="005575EA"/>
    <w:rsid w:val="00557A35"/>
    <w:rsid w:val="00557AE3"/>
    <w:rsid w:val="0056016C"/>
    <w:rsid w:val="00560ACC"/>
    <w:rsid w:val="005651EF"/>
    <w:rsid w:val="005702E6"/>
    <w:rsid w:val="00571161"/>
    <w:rsid w:val="0057249E"/>
    <w:rsid w:val="00574FB9"/>
    <w:rsid w:val="005766F1"/>
    <w:rsid w:val="00576D96"/>
    <w:rsid w:val="0057790C"/>
    <w:rsid w:val="00581971"/>
    <w:rsid w:val="005835AA"/>
    <w:rsid w:val="00583850"/>
    <w:rsid w:val="005902A3"/>
    <w:rsid w:val="00590556"/>
    <w:rsid w:val="0059245F"/>
    <w:rsid w:val="00593795"/>
    <w:rsid w:val="005A290B"/>
    <w:rsid w:val="005A75FF"/>
    <w:rsid w:val="005B17F7"/>
    <w:rsid w:val="005B7AEE"/>
    <w:rsid w:val="005C1DB1"/>
    <w:rsid w:val="005D10AB"/>
    <w:rsid w:val="005D28F6"/>
    <w:rsid w:val="005D44EA"/>
    <w:rsid w:val="005D67EC"/>
    <w:rsid w:val="005E2779"/>
    <w:rsid w:val="005E378E"/>
    <w:rsid w:val="005E4B34"/>
    <w:rsid w:val="005F112C"/>
    <w:rsid w:val="005F5A60"/>
    <w:rsid w:val="005F70C4"/>
    <w:rsid w:val="005F7D88"/>
    <w:rsid w:val="00601D8F"/>
    <w:rsid w:val="00605582"/>
    <w:rsid w:val="006060F8"/>
    <w:rsid w:val="00611F34"/>
    <w:rsid w:val="00615070"/>
    <w:rsid w:val="006153B3"/>
    <w:rsid w:val="00617200"/>
    <w:rsid w:val="006211E1"/>
    <w:rsid w:val="006214A6"/>
    <w:rsid w:val="00621FE8"/>
    <w:rsid w:val="00622E80"/>
    <w:rsid w:val="006230E9"/>
    <w:rsid w:val="00625C79"/>
    <w:rsid w:val="006273AA"/>
    <w:rsid w:val="006308D6"/>
    <w:rsid w:val="00632B26"/>
    <w:rsid w:val="00633037"/>
    <w:rsid w:val="00633FE3"/>
    <w:rsid w:val="00636C8D"/>
    <w:rsid w:val="006376BD"/>
    <w:rsid w:val="006434B6"/>
    <w:rsid w:val="00653A52"/>
    <w:rsid w:val="00653CC1"/>
    <w:rsid w:val="00653E97"/>
    <w:rsid w:val="00657469"/>
    <w:rsid w:val="00664610"/>
    <w:rsid w:val="00665AC8"/>
    <w:rsid w:val="006667DB"/>
    <w:rsid w:val="00676507"/>
    <w:rsid w:val="00681569"/>
    <w:rsid w:val="0068298A"/>
    <w:rsid w:val="00683021"/>
    <w:rsid w:val="00683355"/>
    <w:rsid w:val="00684A74"/>
    <w:rsid w:val="0068620A"/>
    <w:rsid w:val="00690B8A"/>
    <w:rsid w:val="00693991"/>
    <w:rsid w:val="0069506E"/>
    <w:rsid w:val="00697AE0"/>
    <w:rsid w:val="006A48B8"/>
    <w:rsid w:val="006B1196"/>
    <w:rsid w:val="006B495C"/>
    <w:rsid w:val="006B5152"/>
    <w:rsid w:val="006C7D77"/>
    <w:rsid w:val="006D0E2A"/>
    <w:rsid w:val="006D3B20"/>
    <w:rsid w:val="006D56A5"/>
    <w:rsid w:val="006D60CA"/>
    <w:rsid w:val="006E1537"/>
    <w:rsid w:val="006E26A9"/>
    <w:rsid w:val="006E7AF0"/>
    <w:rsid w:val="006F2CF1"/>
    <w:rsid w:val="00700211"/>
    <w:rsid w:val="007038ED"/>
    <w:rsid w:val="00703BC3"/>
    <w:rsid w:val="00704A21"/>
    <w:rsid w:val="00704B61"/>
    <w:rsid w:val="00707143"/>
    <w:rsid w:val="0071028B"/>
    <w:rsid w:val="00710B07"/>
    <w:rsid w:val="007138F7"/>
    <w:rsid w:val="00715A64"/>
    <w:rsid w:val="007304DB"/>
    <w:rsid w:val="00730589"/>
    <w:rsid w:val="00730C5B"/>
    <w:rsid w:val="00734C83"/>
    <w:rsid w:val="00740C1F"/>
    <w:rsid w:val="007438D7"/>
    <w:rsid w:val="00747FE4"/>
    <w:rsid w:val="00751837"/>
    <w:rsid w:val="00753122"/>
    <w:rsid w:val="007552A9"/>
    <w:rsid w:val="00755973"/>
    <w:rsid w:val="0075658A"/>
    <w:rsid w:val="007600D6"/>
    <w:rsid w:val="00761858"/>
    <w:rsid w:val="00761E2B"/>
    <w:rsid w:val="00762382"/>
    <w:rsid w:val="00767D59"/>
    <w:rsid w:val="00776E97"/>
    <w:rsid w:val="00777818"/>
    <w:rsid w:val="00780F86"/>
    <w:rsid w:val="007845C5"/>
    <w:rsid w:val="00784872"/>
    <w:rsid w:val="00784EC8"/>
    <w:rsid w:val="00790926"/>
    <w:rsid w:val="007912AD"/>
    <w:rsid w:val="007933E8"/>
    <w:rsid w:val="00794F3C"/>
    <w:rsid w:val="00797FCB"/>
    <w:rsid w:val="007A28EF"/>
    <w:rsid w:val="007A4B84"/>
    <w:rsid w:val="007B0824"/>
    <w:rsid w:val="007B5D3C"/>
    <w:rsid w:val="007C1102"/>
    <w:rsid w:val="007C3627"/>
    <w:rsid w:val="007C4370"/>
    <w:rsid w:val="007C54B4"/>
    <w:rsid w:val="007E3137"/>
    <w:rsid w:val="007F2EE2"/>
    <w:rsid w:val="007F5250"/>
    <w:rsid w:val="007F55C4"/>
    <w:rsid w:val="007F5F5D"/>
    <w:rsid w:val="00800ADC"/>
    <w:rsid w:val="00802AA3"/>
    <w:rsid w:val="00802B7F"/>
    <w:rsid w:val="00807AE7"/>
    <w:rsid w:val="00811F94"/>
    <w:rsid w:val="008136D9"/>
    <w:rsid w:val="00814E54"/>
    <w:rsid w:val="00815011"/>
    <w:rsid w:val="00815F6F"/>
    <w:rsid w:val="00816C15"/>
    <w:rsid w:val="00817898"/>
    <w:rsid w:val="00821B72"/>
    <w:rsid w:val="0082229E"/>
    <w:rsid w:val="00822C19"/>
    <w:rsid w:val="00823EF2"/>
    <w:rsid w:val="008241A7"/>
    <w:rsid w:val="00824FAB"/>
    <w:rsid w:val="00825B98"/>
    <w:rsid w:val="008300E7"/>
    <w:rsid w:val="008303B8"/>
    <w:rsid w:val="00833B66"/>
    <w:rsid w:val="00833DCE"/>
    <w:rsid w:val="00833E86"/>
    <w:rsid w:val="00834422"/>
    <w:rsid w:val="0084058D"/>
    <w:rsid w:val="00841B1C"/>
    <w:rsid w:val="00842194"/>
    <w:rsid w:val="00844CBD"/>
    <w:rsid w:val="008453B1"/>
    <w:rsid w:val="00850AAF"/>
    <w:rsid w:val="00852932"/>
    <w:rsid w:val="00862186"/>
    <w:rsid w:val="0086238D"/>
    <w:rsid w:val="00866A9F"/>
    <w:rsid w:val="00866F81"/>
    <w:rsid w:val="00871D34"/>
    <w:rsid w:val="008728E6"/>
    <w:rsid w:val="00876AC9"/>
    <w:rsid w:val="0088377F"/>
    <w:rsid w:val="0088419B"/>
    <w:rsid w:val="00895491"/>
    <w:rsid w:val="008A25EC"/>
    <w:rsid w:val="008A2E98"/>
    <w:rsid w:val="008A410A"/>
    <w:rsid w:val="008A49B3"/>
    <w:rsid w:val="008A5274"/>
    <w:rsid w:val="008A6059"/>
    <w:rsid w:val="008B0636"/>
    <w:rsid w:val="008B270C"/>
    <w:rsid w:val="008B3DBC"/>
    <w:rsid w:val="008B5078"/>
    <w:rsid w:val="008B557B"/>
    <w:rsid w:val="008B6521"/>
    <w:rsid w:val="008C18C2"/>
    <w:rsid w:val="008C3D3D"/>
    <w:rsid w:val="008D0BBA"/>
    <w:rsid w:val="008D1922"/>
    <w:rsid w:val="008D36D1"/>
    <w:rsid w:val="008D40F9"/>
    <w:rsid w:val="008D4131"/>
    <w:rsid w:val="008D463D"/>
    <w:rsid w:val="008D7C7D"/>
    <w:rsid w:val="008E30C7"/>
    <w:rsid w:val="008E3853"/>
    <w:rsid w:val="008E5E15"/>
    <w:rsid w:val="008F1932"/>
    <w:rsid w:val="008F2163"/>
    <w:rsid w:val="008F5D0F"/>
    <w:rsid w:val="008F682E"/>
    <w:rsid w:val="0090151B"/>
    <w:rsid w:val="00901E19"/>
    <w:rsid w:val="009042A9"/>
    <w:rsid w:val="0091125E"/>
    <w:rsid w:val="0092091D"/>
    <w:rsid w:val="00921062"/>
    <w:rsid w:val="009214FB"/>
    <w:rsid w:val="009225BC"/>
    <w:rsid w:val="00932E8B"/>
    <w:rsid w:val="009333BD"/>
    <w:rsid w:val="0094482B"/>
    <w:rsid w:val="0094610A"/>
    <w:rsid w:val="00951644"/>
    <w:rsid w:val="00951985"/>
    <w:rsid w:val="00952B71"/>
    <w:rsid w:val="00956431"/>
    <w:rsid w:val="00957B42"/>
    <w:rsid w:val="009665CC"/>
    <w:rsid w:val="009704A6"/>
    <w:rsid w:val="009722BC"/>
    <w:rsid w:val="009724E1"/>
    <w:rsid w:val="009727A3"/>
    <w:rsid w:val="00972882"/>
    <w:rsid w:val="00974915"/>
    <w:rsid w:val="00976A1F"/>
    <w:rsid w:val="0098019E"/>
    <w:rsid w:val="009806DD"/>
    <w:rsid w:val="009835A2"/>
    <w:rsid w:val="00987774"/>
    <w:rsid w:val="009917EB"/>
    <w:rsid w:val="0099192D"/>
    <w:rsid w:val="009962C1"/>
    <w:rsid w:val="00996880"/>
    <w:rsid w:val="009A11E8"/>
    <w:rsid w:val="009A360B"/>
    <w:rsid w:val="009A742E"/>
    <w:rsid w:val="009B205A"/>
    <w:rsid w:val="009B7433"/>
    <w:rsid w:val="009C04E6"/>
    <w:rsid w:val="009C1EF8"/>
    <w:rsid w:val="009C57C8"/>
    <w:rsid w:val="009D348A"/>
    <w:rsid w:val="009D5C24"/>
    <w:rsid w:val="009E1E9F"/>
    <w:rsid w:val="009E4E66"/>
    <w:rsid w:val="009E68F5"/>
    <w:rsid w:val="009F5220"/>
    <w:rsid w:val="009F7751"/>
    <w:rsid w:val="00A01773"/>
    <w:rsid w:val="00A030B4"/>
    <w:rsid w:val="00A0429F"/>
    <w:rsid w:val="00A07919"/>
    <w:rsid w:val="00A126A0"/>
    <w:rsid w:val="00A137D9"/>
    <w:rsid w:val="00A15234"/>
    <w:rsid w:val="00A172F5"/>
    <w:rsid w:val="00A201AB"/>
    <w:rsid w:val="00A2102B"/>
    <w:rsid w:val="00A227DF"/>
    <w:rsid w:val="00A27C84"/>
    <w:rsid w:val="00A31C8B"/>
    <w:rsid w:val="00A337B1"/>
    <w:rsid w:val="00A379BD"/>
    <w:rsid w:val="00A42DEC"/>
    <w:rsid w:val="00A439CF"/>
    <w:rsid w:val="00A509FA"/>
    <w:rsid w:val="00A5693D"/>
    <w:rsid w:val="00A56C96"/>
    <w:rsid w:val="00A61651"/>
    <w:rsid w:val="00A61BCA"/>
    <w:rsid w:val="00A644D3"/>
    <w:rsid w:val="00A64A36"/>
    <w:rsid w:val="00A71F5E"/>
    <w:rsid w:val="00A81F5C"/>
    <w:rsid w:val="00A82E98"/>
    <w:rsid w:val="00A845DC"/>
    <w:rsid w:val="00A8635B"/>
    <w:rsid w:val="00A87178"/>
    <w:rsid w:val="00A92DC7"/>
    <w:rsid w:val="00A94471"/>
    <w:rsid w:val="00A959E2"/>
    <w:rsid w:val="00AA64FD"/>
    <w:rsid w:val="00AA73D9"/>
    <w:rsid w:val="00AB1FF5"/>
    <w:rsid w:val="00AB28B7"/>
    <w:rsid w:val="00AB4136"/>
    <w:rsid w:val="00AB4E11"/>
    <w:rsid w:val="00AC3054"/>
    <w:rsid w:val="00AC539A"/>
    <w:rsid w:val="00AD524D"/>
    <w:rsid w:val="00AD6A79"/>
    <w:rsid w:val="00AD7C53"/>
    <w:rsid w:val="00AE0930"/>
    <w:rsid w:val="00AE0E65"/>
    <w:rsid w:val="00AE5155"/>
    <w:rsid w:val="00AE5682"/>
    <w:rsid w:val="00AF493F"/>
    <w:rsid w:val="00AF7F2E"/>
    <w:rsid w:val="00B0493E"/>
    <w:rsid w:val="00B11228"/>
    <w:rsid w:val="00B11552"/>
    <w:rsid w:val="00B11F71"/>
    <w:rsid w:val="00B14787"/>
    <w:rsid w:val="00B15BB4"/>
    <w:rsid w:val="00B20C56"/>
    <w:rsid w:val="00B24059"/>
    <w:rsid w:val="00B26233"/>
    <w:rsid w:val="00B268D1"/>
    <w:rsid w:val="00B26AA2"/>
    <w:rsid w:val="00B26E62"/>
    <w:rsid w:val="00B31A59"/>
    <w:rsid w:val="00B3524D"/>
    <w:rsid w:val="00B40F69"/>
    <w:rsid w:val="00B4505E"/>
    <w:rsid w:val="00B46616"/>
    <w:rsid w:val="00B473DD"/>
    <w:rsid w:val="00B47502"/>
    <w:rsid w:val="00B528BB"/>
    <w:rsid w:val="00B62451"/>
    <w:rsid w:val="00B636C7"/>
    <w:rsid w:val="00B66227"/>
    <w:rsid w:val="00B7040A"/>
    <w:rsid w:val="00B7092C"/>
    <w:rsid w:val="00B73F0B"/>
    <w:rsid w:val="00B803E3"/>
    <w:rsid w:val="00B829CE"/>
    <w:rsid w:val="00B83391"/>
    <w:rsid w:val="00B87F87"/>
    <w:rsid w:val="00B906EC"/>
    <w:rsid w:val="00B9126D"/>
    <w:rsid w:val="00B92188"/>
    <w:rsid w:val="00B9412D"/>
    <w:rsid w:val="00B946DD"/>
    <w:rsid w:val="00B95222"/>
    <w:rsid w:val="00B95326"/>
    <w:rsid w:val="00BA6C30"/>
    <w:rsid w:val="00BB0203"/>
    <w:rsid w:val="00BB0263"/>
    <w:rsid w:val="00BB204F"/>
    <w:rsid w:val="00BB232E"/>
    <w:rsid w:val="00BC29F4"/>
    <w:rsid w:val="00BC3068"/>
    <w:rsid w:val="00BC4BF3"/>
    <w:rsid w:val="00BC56E5"/>
    <w:rsid w:val="00BD241D"/>
    <w:rsid w:val="00BD3A5C"/>
    <w:rsid w:val="00BD4196"/>
    <w:rsid w:val="00BD46B9"/>
    <w:rsid w:val="00BD561B"/>
    <w:rsid w:val="00BD56D0"/>
    <w:rsid w:val="00BD7DE2"/>
    <w:rsid w:val="00BE3BD6"/>
    <w:rsid w:val="00BE5313"/>
    <w:rsid w:val="00BF22CA"/>
    <w:rsid w:val="00BF23BB"/>
    <w:rsid w:val="00BF4FFF"/>
    <w:rsid w:val="00C001C9"/>
    <w:rsid w:val="00C02764"/>
    <w:rsid w:val="00C10580"/>
    <w:rsid w:val="00C1328D"/>
    <w:rsid w:val="00C161C4"/>
    <w:rsid w:val="00C16F1D"/>
    <w:rsid w:val="00C23EA1"/>
    <w:rsid w:val="00C26032"/>
    <w:rsid w:val="00C27DC8"/>
    <w:rsid w:val="00C345E1"/>
    <w:rsid w:val="00C36FA6"/>
    <w:rsid w:val="00C406AE"/>
    <w:rsid w:val="00C4178A"/>
    <w:rsid w:val="00C43BFD"/>
    <w:rsid w:val="00C43EDC"/>
    <w:rsid w:val="00C443BE"/>
    <w:rsid w:val="00C4537C"/>
    <w:rsid w:val="00C475A7"/>
    <w:rsid w:val="00C5232A"/>
    <w:rsid w:val="00C548A2"/>
    <w:rsid w:val="00C6048A"/>
    <w:rsid w:val="00C66CA4"/>
    <w:rsid w:val="00C7005B"/>
    <w:rsid w:val="00C73783"/>
    <w:rsid w:val="00C74122"/>
    <w:rsid w:val="00C8639A"/>
    <w:rsid w:val="00C87277"/>
    <w:rsid w:val="00C8752E"/>
    <w:rsid w:val="00C90A1A"/>
    <w:rsid w:val="00C91E5C"/>
    <w:rsid w:val="00C9551E"/>
    <w:rsid w:val="00CA27B2"/>
    <w:rsid w:val="00CA6E56"/>
    <w:rsid w:val="00CA6FE7"/>
    <w:rsid w:val="00CB441E"/>
    <w:rsid w:val="00CB6E35"/>
    <w:rsid w:val="00CC1A9D"/>
    <w:rsid w:val="00CD1FE7"/>
    <w:rsid w:val="00CD299B"/>
    <w:rsid w:val="00CD74BA"/>
    <w:rsid w:val="00CE09B1"/>
    <w:rsid w:val="00CE1A46"/>
    <w:rsid w:val="00CE59E1"/>
    <w:rsid w:val="00CF228C"/>
    <w:rsid w:val="00CF3D3C"/>
    <w:rsid w:val="00CF527D"/>
    <w:rsid w:val="00D031C4"/>
    <w:rsid w:val="00D03818"/>
    <w:rsid w:val="00D05EA6"/>
    <w:rsid w:val="00D07C25"/>
    <w:rsid w:val="00D1039F"/>
    <w:rsid w:val="00D11F13"/>
    <w:rsid w:val="00D13993"/>
    <w:rsid w:val="00D15FAD"/>
    <w:rsid w:val="00D16B1B"/>
    <w:rsid w:val="00D2073E"/>
    <w:rsid w:val="00D20757"/>
    <w:rsid w:val="00D208FC"/>
    <w:rsid w:val="00D22636"/>
    <w:rsid w:val="00D3741B"/>
    <w:rsid w:val="00D40FD9"/>
    <w:rsid w:val="00D45341"/>
    <w:rsid w:val="00D516AF"/>
    <w:rsid w:val="00D519B5"/>
    <w:rsid w:val="00D53769"/>
    <w:rsid w:val="00D60BA3"/>
    <w:rsid w:val="00D61B74"/>
    <w:rsid w:val="00D6602D"/>
    <w:rsid w:val="00D8340F"/>
    <w:rsid w:val="00D8404C"/>
    <w:rsid w:val="00D85C13"/>
    <w:rsid w:val="00D9111A"/>
    <w:rsid w:val="00D91BE3"/>
    <w:rsid w:val="00D949B7"/>
    <w:rsid w:val="00D94AFC"/>
    <w:rsid w:val="00D97607"/>
    <w:rsid w:val="00DA278E"/>
    <w:rsid w:val="00DA2874"/>
    <w:rsid w:val="00DA42C8"/>
    <w:rsid w:val="00DA56CD"/>
    <w:rsid w:val="00DA624A"/>
    <w:rsid w:val="00DA7888"/>
    <w:rsid w:val="00DA7D1D"/>
    <w:rsid w:val="00DB14AC"/>
    <w:rsid w:val="00DB182F"/>
    <w:rsid w:val="00DB5B6F"/>
    <w:rsid w:val="00DB6CC5"/>
    <w:rsid w:val="00DB70AE"/>
    <w:rsid w:val="00DC17E8"/>
    <w:rsid w:val="00DD39DA"/>
    <w:rsid w:val="00DD5071"/>
    <w:rsid w:val="00DD5C39"/>
    <w:rsid w:val="00DD7825"/>
    <w:rsid w:val="00DE1480"/>
    <w:rsid w:val="00DE23CB"/>
    <w:rsid w:val="00DE39B6"/>
    <w:rsid w:val="00DE7B28"/>
    <w:rsid w:val="00DE7DB7"/>
    <w:rsid w:val="00DF2D2B"/>
    <w:rsid w:val="00DF4333"/>
    <w:rsid w:val="00DF71CA"/>
    <w:rsid w:val="00E00A0A"/>
    <w:rsid w:val="00E015E3"/>
    <w:rsid w:val="00E02ECA"/>
    <w:rsid w:val="00E066DE"/>
    <w:rsid w:val="00E07587"/>
    <w:rsid w:val="00E07F57"/>
    <w:rsid w:val="00E14E11"/>
    <w:rsid w:val="00E1579A"/>
    <w:rsid w:val="00E15864"/>
    <w:rsid w:val="00E17265"/>
    <w:rsid w:val="00E23530"/>
    <w:rsid w:val="00E3011B"/>
    <w:rsid w:val="00E30683"/>
    <w:rsid w:val="00E32ADF"/>
    <w:rsid w:val="00E34293"/>
    <w:rsid w:val="00E37308"/>
    <w:rsid w:val="00E42107"/>
    <w:rsid w:val="00E453D8"/>
    <w:rsid w:val="00E47291"/>
    <w:rsid w:val="00E478AB"/>
    <w:rsid w:val="00E50BCE"/>
    <w:rsid w:val="00E51104"/>
    <w:rsid w:val="00E53519"/>
    <w:rsid w:val="00E574BF"/>
    <w:rsid w:val="00E5766B"/>
    <w:rsid w:val="00E61292"/>
    <w:rsid w:val="00E64D1A"/>
    <w:rsid w:val="00E654A0"/>
    <w:rsid w:val="00E67233"/>
    <w:rsid w:val="00E74323"/>
    <w:rsid w:val="00E75DD5"/>
    <w:rsid w:val="00E76BE5"/>
    <w:rsid w:val="00E77C4D"/>
    <w:rsid w:val="00E77E1A"/>
    <w:rsid w:val="00E81D01"/>
    <w:rsid w:val="00E81ED4"/>
    <w:rsid w:val="00E81ED9"/>
    <w:rsid w:val="00E92237"/>
    <w:rsid w:val="00E93817"/>
    <w:rsid w:val="00E95232"/>
    <w:rsid w:val="00E9692D"/>
    <w:rsid w:val="00EA204B"/>
    <w:rsid w:val="00EA5ACB"/>
    <w:rsid w:val="00EA66B5"/>
    <w:rsid w:val="00EA7C81"/>
    <w:rsid w:val="00EB26E7"/>
    <w:rsid w:val="00EB3F63"/>
    <w:rsid w:val="00EB4715"/>
    <w:rsid w:val="00EB485A"/>
    <w:rsid w:val="00EC6050"/>
    <w:rsid w:val="00EC773B"/>
    <w:rsid w:val="00ED7249"/>
    <w:rsid w:val="00EE45D8"/>
    <w:rsid w:val="00EE494F"/>
    <w:rsid w:val="00EF0285"/>
    <w:rsid w:val="00EF7612"/>
    <w:rsid w:val="00EF7F96"/>
    <w:rsid w:val="00F0494B"/>
    <w:rsid w:val="00F1000E"/>
    <w:rsid w:val="00F109C5"/>
    <w:rsid w:val="00F132E9"/>
    <w:rsid w:val="00F1397D"/>
    <w:rsid w:val="00F21F5C"/>
    <w:rsid w:val="00F22EDA"/>
    <w:rsid w:val="00F23189"/>
    <w:rsid w:val="00F26845"/>
    <w:rsid w:val="00F41D81"/>
    <w:rsid w:val="00F470D6"/>
    <w:rsid w:val="00F5589A"/>
    <w:rsid w:val="00F56D60"/>
    <w:rsid w:val="00F60528"/>
    <w:rsid w:val="00F6069D"/>
    <w:rsid w:val="00F73351"/>
    <w:rsid w:val="00F742D3"/>
    <w:rsid w:val="00F903FB"/>
    <w:rsid w:val="00F92BA0"/>
    <w:rsid w:val="00F941DA"/>
    <w:rsid w:val="00FA01C6"/>
    <w:rsid w:val="00FA29D4"/>
    <w:rsid w:val="00FA4C63"/>
    <w:rsid w:val="00FA54CD"/>
    <w:rsid w:val="00FB2865"/>
    <w:rsid w:val="00FC1759"/>
    <w:rsid w:val="00FC2785"/>
    <w:rsid w:val="00FC3CE3"/>
    <w:rsid w:val="00FC40FA"/>
    <w:rsid w:val="00FC4C1C"/>
    <w:rsid w:val="00FD03BD"/>
    <w:rsid w:val="00FD2823"/>
    <w:rsid w:val="00FD49A7"/>
    <w:rsid w:val="00FD5C17"/>
    <w:rsid w:val="00FD7DC0"/>
    <w:rsid w:val="00FF0A42"/>
    <w:rsid w:val="00FF1D38"/>
    <w:rsid w:val="00FF2DE6"/>
    <w:rsid w:val="00FF3BE7"/>
    <w:rsid w:val="00FF7D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14:docId w14:val="5B8168F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609823">
      <w:bodyDiv w:val="1"/>
      <w:marLeft w:val="0"/>
      <w:marRight w:val="0"/>
      <w:marTop w:val="0"/>
      <w:marBottom w:val="0"/>
      <w:divBdr>
        <w:top w:val="none" w:sz="0" w:space="0" w:color="auto"/>
        <w:left w:val="none" w:sz="0" w:space="0" w:color="auto"/>
        <w:bottom w:val="none" w:sz="0" w:space="0" w:color="auto"/>
        <w:right w:val="none" w:sz="0" w:space="0" w:color="auto"/>
      </w:divBdr>
    </w:div>
    <w:div w:id="68682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C3FC0-D420-427F-94C2-54A2788E1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1962</Words>
  <Characters>9661</Characters>
  <Application>Microsoft Office Word</Application>
  <DocSecurity>0</DocSecurity>
  <Lines>80</Lines>
  <Paragraphs>23</Paragraphs>
  <ScaleCrop>false</ScaleCrop>
  <Company/>
  <LinksUpToDate>false</LinksUpToDate>
  <CharactersWithSpaces>11600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2018-12-12T12:01:00Z</dcterms:created>
  <dcterms:modified xsi:type="dcterms:W3CDTF">2018-12-12T12:01:00Z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