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8892B" w14:textId="41B8AB95" w:rsidR="00672CFE" w:rsidRPr="00BC7A59" w:rsidRDefault="00C2256B" w:rsidP="006615D9">
      <w:pPr>
        <w:jc w:val="center"/>
        <w:rPr>
          <w:rFonts w:cs="Arial"/>
          <w:b/>
        </w:rPr>
      </w:pPr>
      <w:r>
        <w:rPr>
          <w:rFonts w:cs="Arial"/>
          <w:b/>
        </w:rPr>
        <w:t xml:space="preserve"> </w:t>
      </w:r>
      <w:r w:rsidR="00A203C6">
        <w:rPr>
          <w:rFonts w:cs="Arial"/>
          <w:b/>
          <w:noProof/>
        </w:rPr>
        <w:drawing>
          <wp:inline distT="0" distB="0" distL="0" distR="0" wp14:anchorId="43F80CD5" wp14:editId="511585BE">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43E2FCAE" w14:textId="77777777" w:rsidR="009E598F" w:rsidRPr="00933B67" w:rsidRDefault="009E598F" w:rsidP="009E598F">
      <w:pPr>
        <w:rPr>
          <w:rFonts w:ascii="Book Antiqua" w:hAnsi="Book Antiqua"/>
        </w:rPr>
      </w:pPr>
      <w:r w:rsidRPr="00933B67">
        <w:rPr>
          <w:rFonts w:ascii="Book Antiqua" w:hAnsi="Book Antiqua"/>
        </w:rPr>
        <w:t xml:space="preserve">Upper Tribunal </w:t>
      </w:r>
    </w:p>
    <w:p w14:paraId="23B06464" w14:textId="57552E88" w:rsidR="009E598F" w:rsidRPr="00933B67" w:rsidRDefault="009E598F" w:rsidP="009F773E">
      <w:pPr>
        <w:tabs>
          <w:tab w:val="right" w:pos="8931"/>
        </w:tabs>
        <w:rPr>
          <w:rFonts w:ascii="Book Antiqua" w:hAnsi="Book Antiqua"/>
        </w:rPr>
      </w:pPr>
      <w:r w:rsidRPr="00933B67">
        <w:rPr>
          <w:rFonts w:ascii="Book Antiqua" w:hAnsi="Book Antiqua"/>
        </w:rPr>
        <w:t>(Immigration and Asylum Chamber)</w:t>
      </w:r>
      <w:r w:rsidR="009F773E">
        <w:rPr>
          <w:rFonts w:ascii="Book Antiqua" w:hAnsi="Book Antiqua"/>
        </w:rPr>
        <w:tab/>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bookmarkStart w:id="0" w:name="_GoBack"/>
      <w:r w:rsidR="00B26801">
        <w:rPr>
          <w:rFonts w:ascii="Book Antiqua" w:hAnsi="Book Antiqua"/>
        </w:rPr>
        <w:t>HU</w:t>
      </w:r>
      <w:r w:rsidR="004A53A7">
        <w:rPr>
          <w:rFonts w:ascii="Book Antiqua" w:hAnsi="Book Antiqua"/>
        </w:rPr>
        <w:t>/0</w:t>
      </w:r>
      <w:r w:rsidR="00B26801">
        <w:rPr>
          <w:rFonts w:ascii="Book Antiqua" w:hAnsi="Book Antiqua"/>
        </w:rPr>
        <w:t>8854</w:t>
      </w:r>
      <w:r w:rsidR="00F96A22">
        <w:rPr>
          <w:rFonts w:ascii="Book Antiqua" w:hAnsi="Book Antiqua"/>
        </w:rPr>
        <w:t>/</w:t>
      </w:r>
      <w:r w:rsidR="00407A77">
        <w:rPr>
          <w:rFonts w:ascii="Book Antiqua" w:hAnsi="Book Antiqua"/>
        </w:rPr>
        <w:t>201</w:t>
      </w:r>
      <w:r w:rsidR="00B26801">
        <w:rPr>
          <w:rFonts w:ascii="Book Antiqua" w:hAnsi="Book Antiqua"/>
        </w:rPr>
        <w:t>6</w:t>
      </w:r>
      <w:r w:rsidR="003900C1">
        <w:rPr>
          <w:rFonts w:ascii="Book Antiqua" w:hAnsi="Book Antiqua"/>
        </w:rPr>
        <w:t xml:space="preserve"> </w:t>
      </w:r>
      <w:bookmarkEnd w:id="0"/>
    </w:p>
    <w:p w14:paraId="41080873" w14:textId="77777777" w:rsidR="003900C1" w:rsidRPr="00933B67" w:rsidRDefault="003900C1" w:rsidP="003900C1">
      <w:pPr>
        <w:rPr>
          <w:rFonts w:ascii="Book Antiqua" w:hAnsi="Book Antiqua"/>
        </w:rPr>
      </w:pPr>
      <w:r>
        <w:rPr>
          <w:rFonts w:ascii="Book Antiqua" w:hAnsi="Book Antiqua"/>
        </w:rPr>
        <w:t xml:space="preserve">                                                                                                                         </w:t>
      </w:r>
      <w:r w:rsidRPr="00933B67">
        <w:rPr>
          <w:rFonts w:ascii="Book Antiqua" w:hAnsi="Book Antiqua"/>
        </w:rPr>
        <w:t xml:space="preserve"> </w:t>
      </w:r>
    </w:p>
    <w:p w14:paraId="6C38FF7D" w14:textId="77777777" w:rsidR="00933B67" w:rsidRDefault="00933B67" w:rsidP="00933B67">
      <w:pPr>
        <w:jc w:val="center"/>
        <w:rPr>
          <w:rFonts w:ascii="Book Antiqua" w:hAnsi="Book Antiqua"/>
        </w:rPr>
      </w:pPr>
    </w:p>
    <w:p w14:paraId="61AE44D6" w14:textId="77777777" w:rsidR="009E598F" w:rsidRPr="007532FC" w:rsidRDefault="009E598F" w:rsidP="00933B67">
      <w:pPr>
        <w:jc w:val="center"/>
        <w:rPr>
          <w:rFonts w:ascii="Book Antiqua" w:hAnsi="Book Antiqua"/>
          <w:b/>
          <w:u w:val="single"/>
        </w:rPr>
      </w:pPr>
      <w:r w:rsidRPr="007532FC">
        <w:rPr>
          <w:rFonts w:ascii="Book Antiqua" w:hAnsi="Book Antiqua"/>
          <w:b/>
          <w:u w:val="single"/>
        </w:rPr>
        <w:t>THE IMMIGRATION ACTS</w:t>
      </w:r>
    </w:p>
    <w:p w14:paraId="7593AB44" w14:textId="28727F3D" w:rsidR="00A203C6" w:rsidRDefault="00A203C6" w:rsidP="00933B67">
      <w:pPr>
        <w:jc w:val="center"/>
        <w:rPr>
          <w:rFonts w:ascii="Book Antiqua" w:hAnsi="Book Antiqua"/>
          <w:u w:val="single"/>
        </w:rPr>
      </w:pPr>
    </w:p>
    <w:p w14:paraId="4B882173" w14:textId="77777777" w:rsidR="009F773E" w:rsidRPr="00933B67" w:rsidRDefault="009F773E" w:rsidP="00933B67">
      <w:pPr>
        <w:jc w:val="center"/>
        <w:rPr>
          <w:rFonts w:ascii="Book Antiqua" w:hAnsi="Book Antiqua"/>
          <w:u w:val="single"/>
        </w:rPr>
      </w:pPr>
    </w:p>
    <w:p w14:paraId="3D1E54A0" w14:textId="77777777" w:rsidR="00933B67" w:rsidRDefault="009E598F" w:rsidP="009E598F">
      <w:pPr>
        <w:rPr>
          <w:rFonts w:ascii="Book Antiqua" w:hAnsi="Book Antiqua"/>
        </w:rPr>
      </w:pPr>
      <w:r w:rsidRPr="00933B67">
        <w:rPr>
          <w:rFonts w:ascii="Book Antiqua" w:hAnsi="Book Antiqua"/>
        </w:rPr>
        <w:t xml:space="preserve">Heard at </w:t>
      </w:r>
      <w:r w:rsidR="004A53A7">
        <w:rPr>
          <w:rFonts w:ascii="Book Antiqua" w:hAnsi="Book Antiqua"/>
        </w:rPr>
        <w:t>Field House</w:t>
      </w:r>
      <w:r w:rsidRPr="00933B67">
        <w:rPr>
          <w:rFonts w:ascii="Book Antiqua" w:hAnsi="Book Antiqua"/>
        </w:rPr>
        <w:t xml:space="preserve"> </w:t>
      </w:r>
      <w:r w:rsidR="00A203C6">
        <w:rPr>
          <w:rFonts w:ascii="Book Antiqua" w:hAnsi="Book Antiqua"/>
        </w:rPr>
        <w:tab/>
      </w:r>
      <w:r w:rsidR="00A203C6">
        <w:rPr>
          <w:rFonts w:ascii="Book Antiqua" w:hAnsi="Book Antiqua"/>
        </w:rPr>
        <w:tab/>
      </w:r>
      <w:r w:rsidR="00A203C6">
        <w:rPr>
          <w:rFonts w:ascii="Book Antiqua" w:hAnsi="Book Antiqua"/>
        </w:rPr>
        <w:tab/>
      </w:r>
      <w:r w:rsidR="00A203C6">
        <w:rPr>
          <w:rFonts w:ascii="Book Antiqua" w:hAnsi="Book Antiqua"/>
        </w:rPr>
        <w:tab/>
      </w:r>
      <w:r w:rsidR="00A203C6">
        <w:rPr>
          <w:rFonts w:ascii="Book Antiqua" w:hAnsi="Book Antiqua"/>
        </w:rPr>
        <w:tab/>
      </w:r>
      <w:r w:rsidR="00A203C6" w:rsidRPr="00933B67">
        <w:rPr>
          <w:rFonts w:ascii="Book Antiqua" w:hAnsi="Book Antiqua"/>
        </w:rPr>
        <w:t>De</w:t>
      </w:r>
      <w:r w:rsidR="00A203C6">
        <w:rPr>
          <w:rFonts w:ascii="Book Antiqua" w:hAnsi="Book Antiqua"/>
        </w:rPr>
        <w:t>cision</w:t>
      </w:r>
      <w:r w:rsidR="00A203C6" w:rsidRPr="00933B67">
        <w:rPr>
          <w:rFonts w:ascii="Book Antiqua" w:hAnsi="Book Antiqua"/>
        </w:rPr>
        <w:t xml:space="preserve"> </w:t>
      </w:r>
      <w:r w:rsidR="00A203C6">
        <w:rPr>
          <w:rFonts w:ascii="Book Antiqua" w:hAnsi="Book Antiqua"/>
        </w:rPr>
        <w:t xml:space="preserve">&amp; Reasons </w:t>
      </w:r>
      <w:r w:rsidR="00A203C6" w:rsidRPr="00933B67">
        <w:rPr>
          <w:rFonts w:ascii="Book Antiqua" w:hAnsi="Book Antiqua"/>
        </w:rPr>
        <w:t>Promulgated</w:t>
      </w:r>
    </w:p>
    <w:p w14:paraId="4FA160F4" w14:textId="77777777" w:rsidR="009E598F" w:rsidRDefault="00933B67" w:rsidP="00694A5F">
      <w:pPr>
        <w:rPr>
          <w:rFonts w:ascii="Book Antiqua" w:hAnsi="Book Antiqua"/>
        </w:rPr>
      </w:pPr>
      <w:r>
        <w:rPr>
          <w:rFonts w:ascii="Book Antiqua" w:hAnsi="Book Antiqua"/>
        </w:rPr>
        <w:t>O</w:t>
      </w:r>
      <w:r w:rsidR="009E598F" w:rsidRPr="00933B67">
        <w:rPr>
          <w:rFonts w:ascii="Book Antiqua" w:hAnsi="Book Antiqua"/>
        </w:rPr>
        <w:t xml:space="preserve">n </w:t>
      </w:r>
      <w:r w:rsidR="004A53A7">
        <w:rPr>
          <w:rFonts w:ascii="Book Antiqua" w:hAnsi="Book Antiqua"/>
        </w:rPr>
        <w:t>18</w:t>
      </w:r>
      <w:r w:rsidR="004A53A7" w:rsidRPr="004A53A7">
        <w:rPr>
          <w:rFonts w:ascii="Book Antiqua" w:hAnsi="Book Antiqua"/>
          <w:vertAlign w:val="superscript"/>
        </w:rPr>
        <w:t>th</w:t>
      </w:r>
      <w:r w:rsidR="004A53A7">
        <w:rPr>
          <w:rFonts w:ascii="Book Antiqua" w:hAnsi="Book Antiqua"/>
        </w:rPr>
        <w:t xml:space="preserve"> June </w:t>
      </w:r>
      <w:r w:rsidR="002A2F84">
        <w:rPr>
          <w:rFonts w:ascii="Book Antiqua" w:hAnsi="Book Antiqua"/>
        </w:rPr>
        <w:t>2018</w:t>
      </w:r>
      <w:r w:rsidR="00694A5F">
        <w:rPr>
          <w:rFonts w:ascii="Book Antiqua" w:hAnsi="Book Antiqua"/>
        </w:rPr>
        <w:t xml:space="preserve">                </w:t>
      </w:r>
      <w:r w:rsidR="00A203C6">
        <w:rPr>
          <w:rFonts w:ascii="Book Antiqua" w:hAnsi="Book Antiqua"/>
        </w:rPr>
        <w:tab/>
      </w:r>
      <w:r w:rsidR="00A203C6">
        <w:rPr>
          <w:rFonts w:ascii="Book Antiqua" w:hAnsi="Book Antiqua"/>
        </w:rPr>
        <w:tab/>
      </w:r>
      <w:r w:rsidR="00A203C6">
        <w:rPr>
          <w:rFonts w:ascii="Book Antiqua" w:hAnsi="Book Antiqua"/>
        </w:rPr>
        <w:tab/>
      </w:r>
      <w:r w:rsidR="00A203C6">
        <w:rPr>
          <w:rFonts w:ascii="Book Antiqua" w:hAnsi="Book Antiqua"/>
        </w:rPr>
        <w:tab/>
      </w:r>
      <w:r w:rsidR="00A203C6">
        <w:rPr>
          <w:rFonts w:ascii="Book Antiqua" w:hAnsi="Book Antiqua"/>
        </w:rPr>
        <w:tab/>
      </w:r>
      <w:r w:rsidR="00A203C6" w:rsidRPr="00A203C6">
        <w:rPr>
          <w:rFonts w:ascii="Book Antiqua" w:hAnsi="Book Antiqua"/>
        </w:rPr>
        <w:t>On 27 July 2018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3900C1">
        <w:rPr>
          <w:rFonts w:ascii="Book Antiqua" w:hAnsi="Book Antiqua"/>
        </w:rPr>
        <w:t xml:space="preserve">                      </w:t>
      </w:r>
      <w:r w:rsidR="000A7ACD">
        <w:rPr>
          <w:rFonts w:ascii="Book Antiqua" w:hAnsi="Book Antiqua"/>
        </w:rPr>
        <w:t xml:space="preserve"> </w:t>
      </w:r>
    </w:p>
    <w:p w14:paraId="7D1160E1" w14:textId="77777777" w:rsidR="000A7ACD" w:rsidRPr="00933B67" w:rsidRDefault="000A7ACD" w:rsidP="00694A5F">
      <w:pPr>
        <w:rPr>
          <w:rFonts w:ascii="Book Antiqua" w:hAnsi="Book Antiqua"/>
        </w:rPr>
      </w:pPr>
      <w:r>
        <w:rPr>
          <w:rFonts w:ascii="Book Antiqua" w:hAnsi="Book Antiqua"/>
        </w:rPr>
        <w:t xml:space="preserve">                                                                                                    </w:t>
      </w:r>
    </w:p>
    <w:p w14:paraId="1DC75148" w14:textId="77777777" w:rsidR="009F773E" w:rsidRDefault="009F773E" w:rsidP="00784C42">
      <w:pPr>
        <w:jc w:val="center"/>
        <w:rPr>
          <w:rFonts w:ascii="Book Antiqua" w:hAnsi="Book Antiqua"/>
        </w:rPr>
      </w:pPr>
    </w:p>
    <w:p w14:paraId="1EBE9BB0" w14:textId="22D403D6" w:rsidR="009E598F" w:rsidRPr="007532FC" w:rsidRDefault="009E598F" w:rsidP="00784C42">
      <w:pPr>
        <w:jc w:val="center"/>
        <w:rPr>
          <w:rFonts w:ascii="Book Antiqua" w:hAnsi="Book Antiqua"/>
          <w:b/>
        </w:rPr>
      </w:pPr>
      <w:r w:rsidRPr="007532FC">
        <w:rPr>
          <w:rFonts w:ascii="Book Antiqua" w:hAnsi="Book Antiqua"/>
          <w:b/>
        </w:rPr>
        <w:t>Before</w:t>
      </w:r>
    </w:p>
    <w:p w14:paraId="3AA3E570" w14:textId="77777777" w:rsidR="009F773E" w:rsidRDefault="009F773E" w:rsidP="00784C42">
      <w:pPr>
        <w:jc w:val="center"/>
        <w:rPr>
          <w:rFonts w:ascii="Book Antiqua" w:hAnsi="Book Antiqua"/>
        </w:rPr>
      </w:pPr>
    </w:p>
    <w:p w14:paraId="116783D6" w14:textId="77777777" w:rsidR="009E598F" w:rsidRPr="00933B67" w:rsidRDefault="004A53A7" w:rsidP="00933B67">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14:paraId="3CC43373" w14:textId="77777777" w:rsidR="009F773E" w:rsidRDefault="009F773E" w:rsidP="00933B67">
      <w:pPr>
        <w:jc w:val="center"/>
        <w:rPr>
          <w:rFonts w:ascii="Book Antiqua" w:hAnsi="Book Antiqua"/>
        </w:rPr>
      </w:pPr>
    </w:p>
    <w:p w14:paraId="7DF649F5" w14:textId="77777777" w:rsidR="009F773E" w:rsidRDefault="009F773E" w:rsidP="00933B67">
      <w:pPr>
        <w:jc w:val="center"/>
        <w:rPr>
          <w:rFonts w:ascii="Book Antiqua" w:hAnsi="Book Antiqua"/>
        </w:rPr>
      </w:pPr>
    </w:p>
    <w:p w14:paraId="4B395480" w14:textId="011E2ECE" w:rsidR="009E598F" w:rsidRPr="007532FC" w:rsidRDefault="009E598F" w:rsidP="00933B67">
      <w:pPr>
        <w:jc w:val="center"/>
        <w:rPr>
          <w:rFonts w:ascii="Book Antiqua" w:hAnsi="Book Antiqua"/>
          <w:b/>
        </w:rPr>
      </w:pPr>
      <w:r w:rsidRPr="007532FC">
        <w:rPr>
          <w:rFonts w:ascii="Book Antiqua" w:hAnsi="Book Antiqua"/>
          <w:b/>
        </w:rPr>
        <w:t>Between</w:t>
      </w:r>
    </w:p>
    <w:p w14:paraId="716B8F55" w14:textId="77777777" w:rsidR="00407A77" w:rsidRDefault="00407A77" w:rsidP="00933B67">
      <w:pPr>
        <w:jc w:val="center"/>
        <w:rPr>
          <w:rFonts w:ascii="Book Antiqua" w:hAnsi="Book Antiqua"/>
        </w:rPr>
      </w:pPr>
    </w:p>
    <w:p w14:paraId="4666B21B" w14:textId="28E5D195" w:rsidR="004A53A7" w:rsidRDefault="00B26801" w:rsidP="00933B67">
      <w:pPr>
        <w:jc w:val="center"/>
        <w:rPr>
          <w:rFonts w:ascii="Book Antiqua" w:hAnsi="Book Antiqua"/>
        </w:rPr>
      </w:pPr>
      <w:r>
        <w:rPr>
          <w:rFonts w:ascii="Book Antiqua" w:hAnsi="Book Antiqua"/>
        </w:rPr>
        <w:t xml:space="preserve">PRAVENENA </w:t>
      </w:r>
      <w:r w:rsidR="004351C9">
        <w:rPr>
          <w:rFonts w:ascii="Book Antiqua" w:hAnsi="Book Antiqua"/>
        </w:rPr>
        <w:t>[</w:t>
      </w:r>
      <w:r>
        <w:rPr>
          <w:rFonts w:ascii="Book Antiqua" w:hAnsi="Book Antiqua"/>
        </w:rPr>
        <w:t>M</w:t>
      </w:r>
      <w:r w:rsidR="004351C9">
        <w:rPr>
          <w:rFonts w:ascii="Book Antiqua" w:hAnsi="Book Antiqua"/>
        </w:rPr>
        <w:t>]</w:t>
      </w:r>
    </w:p>
    <w:p w14:paraId="6CCB83F5" w14:textId="387D9965" w:rsidR="004A53A7" w:rsidRPr="004351C9" w:rsidRDefault="004A53A7" w:rsidP="00933B67">
      <w:pPr>
        <w:jc w:val="center"/>
        <w:rPr>
          <w:rFonts w:ascii="Book Antiqua" w:hAnsi="Book Antiqua"/>
          <w:sz w:val="22"/>
        </w:rPr>
      </w:pPr>
      <w:r w:rsidRPr="004351C9">
        <w:rPr>
          <w:rFonts w:ascii="Book Antiqua" w:hAnsi="Book Antiqua"/>
          <w:sz w:val="22"/>
        </w:rPr>
        <w:t>(</w:t>
      </w:r>
      <w:r w:rsidR="00B26801" w:rsidRPr="004351C9">
        <w:rPr>
          <w:rFonts w:ascii="Book Antiqua" w:hAnsi="Book Antiqua"/>
          <w:sz w:val="22"/>
        </w:rPr>
        <w:t xml:space="preserve">NO </w:t>
      </w:r>
      <w:r w:rsidRPr="004351C9">
        <w:rPr>
          <w:rFonts w:ascii="Book Antiqua" w:hAnsi="Book Antiqua"/>
          <w:sz w:val="22"/>
        </w:rPr>
        <w:t>ANONYMITY DIRECTION MADE)</w:t>
      </w:r>
    </w:p>
    <w:p w14:paraId="56923926" w14:textId="77777777" w:rsidR="009E598F" w:rsidRPr="00933B67" w:rsidRDefault="009E598F" w:rsidP="003B4C39">
      <w:pPr>
        <w:ind w:left="7371"/>
        <w:rPr>
          <w:rFonts w:ascii="Book Antiqua" w:hAnsi="Book Antiqua"/>
        </w:rPr>
      </w:pPr>
      <w:r w:rsidRPr="00933B67">
        <w:rPr>
          <w:rFonts w:ascii="Book Antiqua" w:hAnsi="Book Antiqua"/>
        </w:rPr>
        <w:t>Appellant</w:t>
      </w:r>
    </w:p>
    <w:p w14:paraId="42A75D6B" w14:textId="77777777" w:rsidR="009E598F" w:rsidRPr="007532FC" w:rsidRDefault="00694A5F" w:rsidP="00933B67">
      <w:pPr>
        <w:jc w:val="center"/>
        <w:rPr>
          <w:rFonts w:ascii="Book Antiqua" w:hAnsi="Book Antiqua"/>
          <w:b/>
        </w:rPr>
      </w:pPr>
      <w:r w:rsidRPr="007532FC">
        <w:rPr>
          <w:rFonts w:ascii="Book Antiqua" w:hAnsi="Book Antiqua"/>
          <w:b/>
        </w:rPr>
        <w:t>And</w:t>
      </w:r>
    </w:p>
    <w:p w14:paraId="2394D4BF" w14:textId="77777777" w:rsidR="009F773E" w:rsidRDefault="009F773E" w:rsidP="004A53A7">
      <w:pPr>
        <w:jc w:val="center"/>
        <w:rPr>
          <w:rFonts w:ascii="Book Antiqua" w:hAnsi="Book Antiqua"/>
        </w:rPr>
      </w:pPr>
    </w:p>
    <w:p w14:paraId="29B799F4" w14:textId="4BBCC315" w:rsidR="004A53A7" w:rsidRDefault="004A53A7" w:rsidP="004A53A7">
      <w:pPr>
        <w:jc w:val="center"/>
        <w:rPr>
          <w:rFonts w:ascii="Book Antiqua" w:hAnsi="Book Antiqua"/>
        </w:rPr>
      </w:pPr>
      <w:r w:rsidRPr="00933B67">
        <w:rPr>
          <w:rFonts w:ascii="Book Antiqua" w:hAnsi="Book Antiqua"/>
        </w:rPr>
        <w:t>SECRETARY OF STATE FOR THE HOME DEPARTMENT</w:t>
      </w:r>
    </w:p>
    <w:p w14:paraId="0399F571" w14:textId="77777777" w:rsidR="004A53A7" w:rsidRDefault="004A53A7" w:rsidP="004A53A7">
      <w:pPr>
        <w:ind w:left="7371"/>
        <w:rPr>
          <w:rFonts w:ascii="Book Antiqua" w:hAnsi="Book Antiqua"/>
        </w:rPr>
      </w:pPr>
      <w:r>
        <w:rPr>
          <w:rFonts w:ascii="Book Antiqua" w:hAnsi="Book Antiqua"/>
        </w:rPr>
        <w:t>Respondent</w:t>
      </w:r>
    </w:p>
    <w:p w14:paraId="5FD629B8" w14:textId="77777777" w:rsidR="009F773E" w:rsidRDefault="009F773E" w:rsidP="004A53A7">
      <w:pPr>
        <w:rPr>
          <w:rFonts w:ascii="Book Antiqua" w:hAnsi="Book Antiqua"/>
          <w:u w:val="single"/>
        </w:rPr>
      </w:pPr>
    </w:p>
    <w:p w14:paraId="75665EBB" w14:textId="77777777" w:rsidR="009F773E" w:rsidRDefault="009F773E" w:rsidP="004A53A7">
      <w:pPr>
        <w:rPr>
          <w:rFonts w:ascii="Book Antiqua" w:hAnsi="Book Antiqua"/>
          <w:u w:val="single"/>
        </w:rPr>
      </w:pPr>
    </w:p>
    <w:p w14:paraId="4469B4AF" w14:textId="63880CF7" w:rsidR="00933B67" w:rsidRDefault="00933B67" w:rsidP="004A53A7">
      <w:pPr>
        <w:rPr>
          <w:rFonts w:ascii="Book Antiqua" w:hAnsi="Book Antiqua"/>
        </w:rPr>
      </w:pPr>
      <w:r w:rsidRPr="00933B67">
        <w:rPr>
          <w:rFonts w:ascii="Book Antiqua" w:hAnsi="Book Antiqua"/>
          <w:u w:val="single"/>
        </w:rPr>
        <w:t>Representation</w:t>
      </w:r>
      <w:r>
        <w:rPr>
          <w:rFonts w:ascii="Book Antiqua" w:hAnsi="Book Antiqua"/>
        </w:rPr>
        <w:t>:</w:t>
      </w:r>
    </w:p>
    <w:p w14:paraId="2645861A" w14:textId="64C34B21" w:rsidR="002D42EC" w:rsidRDefault="002D42EC" w:rsidP="009E598F">
      <w:pPr>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bookmarkStart w:id="1" w:name="_Hlk520187672"/>
      <w:r w:rsidR="00407A77">
        <w:rPr>
          <w:rFonts w:ascii="Book Antiqua" w:hAnsi="Book Antiqua"/>
        </w:rPr>
        <w:t>M</w:t>
      </w:r>
      <w:r w:rsidR="00B26801">
        <w:rPr>
          <w:rFonts w:ascii="Book Antiqua" w:hAnsi="Book Antiqua"/>
        </w:rPr>
        <w:t>s.</w:t>
      </w:r>
      <w:r w:rsidR="007532FC">
        <w:rPr>
          <w:rFonts w:ascii="Book Antiqua" w:hAnsi="Book Antiqua"/>
        </w:rPr>
        <w:t xml:space="preserve"> </w:t>
      </w:r>
      <w:proofErr w:type="spellStart"/>
      <w:r w:rsidR="00B26801">
        <w:rPr>
          <w:rFonts w:ascii="Book Antiqua" w:hAnsi="Book Antiqua"/>
        </w:rPr>
        <w:t>Seehra</w:t>
      </w:r>
      <w:bookmarkEnd w:id="1"/>
      <w:proofErr w:type="spellEnd"/>
      <w:r w:rsidR="004A53A7">
        <w:rPr>
          <w:rFonts w:ascii="Book Antiqua" w:hAnsi="Book Antiqua"/>
        </w:rPr>
        <w:t>,</w:t>
      </w:r>
      <w:r w:rsidR="007532FC">
        <w:rPr>
          <w:rFonts w:ascii="Book Antiqua" w:hAnsi="Book Antiqua"/>
        </w:rPr>
        <w:t xml:space="preserve"> </w:t>
      </w:r>
      <w:r w:rsidR="008C5FCE">
        <w:rPr>
          <w:rFonts w:ascii="Book Antiqua" w:hAnsi="Book Antiqua"/>
        </w:rPr>
        <w:t>Counsel, instructed</w:t>
      </w:r>
      <w:r w:rsidR="004A53A7">
        <w:rPr>
          <w:rFonts w:ascii="Book Antiqua" w:hAnsi="Book Antiqua"/>
        </w:rPr>
        <w:t xml:space="preserve"> by </w:t>
      </w:r>
      <w:r w:rsidR="00B26801">
        <w:rPr>
          <w:rFonts w:ascii="Book Antiqua" w:hAnsi="Book Antiqua"/>
        </w:rPr>
        <w:t xml:space="preserve">Nag </w:t>
      </w:r>
      <w:r w:rsidR="008C5FCE">
        <w:rPr>
          <w:rFonts w:ascii="Book Antiqua" w:hAnsi="Book Antiqua"/>
        </w:rPr>
        <w:t>Law, Solicitors</w:t>
      </w:r>
    </w:p>
    <w:p w14:paraId="543655D5" w14:textId="77777777" w:rsidR="002D42EC" w:rsidRPr="000704BB" w:rsidRDefault="00933B67" w:rsidP="002D42EC">
      <w:pPr>
        <w:tabs>
          <w:tab w:val="left" w:pos="2520"/>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bookmarkStart w:id="2" w:name="_Hlk520187976"/>
      <w:r w:rsidR="002A2F84">
        <w:rPr>
          <w:rFonts w:ascii="Book Antiqua" w:hAnsi="Book Antiqua"/>
        </w:rPr>
        <w:t>M</w:t>
      </w:r>
      <w:r w:rsidR="004A53A7">
        <w:rPr>
          <w:rFonts w:ascii="Book Antiqua" w:hAnsi="Book Antiqua"/>
        </w:rPr>
        <w:t>s A Everett</w:t>
      </w:r>
      <w:bookmarkEnd w:id="2"/>
      <w:r w:rsidR="002D42EC">
        <w:rPr>
          <w:rFonts w:ascii="Book Antiqua" w:hAnsi="Book Antiqua" w:cs="Arial"/>
        </w:rPr>
        <w:t>, Home Office Presenting Officer</w:t>
      </w:r>
    </w:p>
    <w:p w14:paraId="4387A3AC" w14:textId="5CD233F7" w:rsidR="002D42EC" w:rsidRDefault="002D42EC" w:rsidP="002D42EC">
      <w:pPr>
        <w:jc w:val="center"/>
        <w:rPr>
          <w:rFonts w:ascii="Book Antiqua" w:hAnsi="Book Antiqua" w:cs="Arial"/>
        </w:rPr>
      </w:pPr>
    </w:p>
    <w:p w14:paraId="07207E33" w14:textId="77777777" w:rsidR="009F773E" w:rsidRPr="000704BB" w:rsidRDefault="009F773E" w:rsidP="002D42EC">
      <w:pPr>
        <w:jc w:val="center"/>
        <w:rPr>
          <w:rFonts w:ascii="Book Antiqua" w:hAnsi="Book Antiqua" w:cs="Arial"/>
        </w:rPr>
      </w:pPr>
    </w:p>
    <w:p w14:paraId="459EC86A" w14:textId="77777777" w:rsidR="009E598F" w:rsidRPr="007532FC" w:rsidRDefault="009E598F" w:rsidP="00933B67">
      <w:pPr>
        <w:jc w:val="center"/>
        <w:rPr>
          <w:rFonts w:ascii="Book Antiqua" w:hAnsi="Book Antiqua"/>
          <w:b/>
          <w:u w:val="single"/>
        </w:rPr>
      </w:pPr>
      <w:r w:rsidRPr="007532FC">
        <w:rPr>
          <w:rFonts w:ascii="Book Antiqua" w:hAnsi="Book Antiqua"/>
          <w:b/>
          <w:u w:val="single"/>
        </w:rPr>
        <w:t>DETERMINATION AND REASONS</w:t>
      </w:r>
    </w:p>
    <w:p w14:paraId="3E73BBE2" w14:textId="77777777" w:rsidR="007532FC" w:rsidRDefault="007532FC" w:rsidP="00421DA4">
      <w:pPr>
        <w:rPr>
          <w:rFonts w:ascii="Book Antiqua" w:hAnsi="Book Antiqua"/>
          <w:u w:val="single"/>
        </w:rPr>
      </w:pPr>
    </w:p>
    <w:p w14:paraId="777B568F" w14:textId="18382F1A" w:rsidR="00421DA4" w:rsidRDefault="00421DA4" w:rsidP="00421DA4">
      <w:pPr>
        <w:rPr>
          <w:rFonts w:ascii="Book Antiqua" w:hAnsi="Book Antiqua"/>
          <w:u w:val="single"/>
        </w:rPr>
      </w:pPr>
      <w:r w:rsidRPr="00421DA4">
        <w:rPr>
          <w:rFonts w:ascii="Book Antiqua" w:hAnsi="Book Antiqua"/>
          <w:u w:val="single"/>
        </w:rPr>
        <w:t>Introduction</w:t>
      </w:r>
    </w:p>
    <w:p w14:paraId="51B493CD" w14:textId="77777777" w:rsidR="008C5FCE" w:rsidRDefault="008C5FCE" w:rsidP="00421DA4">
      <w:pPr>
        <w:rPr>
          <w:rFonts w:ascii="Book Antiqua" w:hAnsi="Book Antiqua"/>
          <w:u w:val="single"/>
        </w:rPr>
      </w:pPr>
    </w:p>
    <w:p w14:paraId="1796F006" w14:textId="61766993" w:rsidR="008C5FCE" w:rsidRDefault="008C5FCE" w:rsidP="008C5FCE">
      <w:pPr>
        <w:numPr>
          <w:ilvl w:val="0"/>
          <w:numId w:val="38"/>
        </w:numPr>
        <w:rPr>
          <w:rFonts w:ascii="Book Antiqua" w:hAnsi="Book Antiqua"/>
        </w:rPr>
      </w:pPr>
      <w:r w:rsidRPr="008C5FCE">
        <w:rPr>
          <w:rFonts w:ascii="Book Antiqua" w:hAnsi="Book Antiqua"/>
        </w:rPr>
        <w:t>The appellant is a national of Sri Lanka</w:t>
      </w:r>
      <w:r>
        <w:rPr>
          <w:rFonts w:ascii="Book Antiqua" w:hAnsi="Book Antiqua"/>
        </w:rPr>
        <w:t>,</w:t>
      </w:r>
      <w:r w:rsidRPr="008C5FCE">
        <w:rPr>
          <w:rFonts w:ascii="Book Antiqua" w:hAnsi="Book Antiqua"/>
        </w:rPr>
        <w:t xml:space="preserve"> born on 30 January 1984. She is married to </w:t>
      </w:r>
      <w:r w:rsidR="004351C9">
        <w:rPr>
          <w:rFonts w:ascii="Book Antiqua" w:hAnsi="Book Antiqua"/>
        </w:rPr>
        <w:t>[</w:t>
      </w:r>
      <w:r w:rsidRPr="008C5FCE">
        <w:rPr>
          <w:rFonts w:ascii="Book Antiqua" w:hAnsi="Book Antiqua"/>
        </w:rPr>
        <w:t>AR</w:t>
      </w:r>
      <w:r w:rsidR="004351C9">
        <w:rPr>
          <w:rFonts w:ascii="Book Antiqua" w:hAnsi="Book Antiqua"/>
        </w:rPr>
        <w:t>]</w:t>
      </w:r>
      <w:r w:rsidRPr="008C5FCE">
        <w:rPr>
          <w:rFonts w:ascii="Book Antiqua" w:hAnsi="Book Antiqua"/>
        </w:rPr>
        <w:t xml:space="preserve">, a British citizen. They have </w:t>
      </w:r>
      <w:r w:rsidR="004C05F7">
        <w:rPr>
          <w:rFonts w:ascii="Book Antiqua" w:hAnsi="Book Antiqua"/>
        </w:rPr>
        <w:t>two</w:t>
      </w:r>
      <w:r w:rsidRPr="008C5FCE">
        <w:rPr>
          <w:rFonts w:ascii="Book Antiqua" w:hAnsi="Book Antiqua"/>
        </w:rPr>
        <w:t xml:space="preserve"> children,</w:t>
      </w:r>
      <w:r w:rsidR="007532FC">
        <w:rPr>
          <w:rFonts w:ascii="Book Antiqua" w:hAnsi="Book Antiqua"/>
        </w:rPr>
        <w:t xml:space="preserve"> </w:t>
      </w:r>
      <w:r w:rsidR="004351C9">
        <w:rPr>
          <w:rFonts w:ascii="Book Antiqua" w:hAnsi="Book Antiqua"/>
        </w:rPr>
        <w:t>[</w:t>
      </w:r>
      <w:r w:rsidRPr="008C5FCE">
        <w:rPr>
          <w:rFonts w:ascii="Book Antiqua" w:hAnsi="Book Antiqua"/>
        </w:rPr>
        <w:t>AA</w:t>
      </w:r>
      <w:r w:rsidR="004351C9">
        <w:rPr>
          <w:rFonts w:ascii="Book Antiqua" w:hAnsi="Book Antiqua"/>
        </w:rPr>
        <w:t>]</w:t>
      </w:r>
      <w:r w:rsidRPr="008C5FCE">
        <w:rPr>
          <w:rFonts w:ascii="Book Antiqua" w:hAnsi="Book Antiqua"/>
        </w:rPr>
        <w:t>, born on 12 May 2011 and</w:t>
      </w:r>
      <w:r>
        <w:rPr>
          <w:rFonts w:ascii="Book Antiqua" w:hAnsi="Book Antiqua"/>
        </w:rPr>
        <w:t xml:space="preserve"> </w:t>
      </w:r>
      <w:r w:rsidR="004351C9">
        <w:rPr>
          <w:rFonts w:ascii="Book Antiqua" w:hAnsi="Book Antiqua"/>
        </w:rPr>
        <w:t>[</w:t>
      </w:r>
      <w:r w:rsidRPr="008C5FCE">
        <w:rPr>
          <w:rFonts w:ascii="Book Antiqua" w:hAnsi="Book Antiqua"/>
        </w:rPr>
        <w:t>AAR</w:t>
      </w:r>
      <w:r w:rsidR="004351C9">
        <w:rPr>
          <w:rFonts w:ascii="Book Antiqua" w:hAnsi="Book Antiqua"/>
        </w:rPr>
        <w:t>]</w:t>
      </w:r>
      <w:r w:rsidRPr="008C5FCE">
        <w:rPr>
          <w:rFonts w:ascii="Book Antiqua" w:hAnsi="Book Antiqua"/>
        </w:rPr>
        <w:t>, born on 19 December 2015. They are also British citizens.</w:t>
      </w:r>
    </w:p>
    <w:p w14:paraId="1482D3C6" w14:textId="77777777" w:rsidR="008C5FCE" w:rsidRDefault="008C5FCE" w:rsidP="008C5FCE">
      <w:pPr>
        <w:ind w:left="720"/>
        <w:rPr>
          <w:rFonts w:ascii="Book Antiqua" w:hAnsi="Book Antiqua"/>
        </w:rPr>
      </w:pPr>
    </w:p>
    <w:p w14:paraId="7A03123E" w14:textId="77777777" w:rsidR="004A7749" w:rsidRDefault="008C5FCE" w:rsidP="004A7749">
      <w:pPr>
        <w:numPr>
          <w:ilvl w:val="0"/>
          <w:numId w:val="38"/>
        </w:numPr>
        <w:rPr>
          <w:rFonts w:ascii="Book Antiqua" w:hAnsi="Book Antiqua"/>
        </w:rPr>
      </w:pPr>
      <w:r>
        <w:rPr>
          <w:rFonts w:ascii="Book Antiqua" w:hAnsi="Book Antiqua"/>
        </w:rPr>
        <w:lastRenderedPageBreak/>
        <w:t xml:space="preserve">On 7 December 2015 she applied </w:t>
      </w:r>
      <w:r w:rsidR="00201CF7">
        <w:rPr>
          <w:rFonts w:ascii="Book Antiqua" w:hAnsi="Book Antiqua"/>
        </w:rPr>
        <w:t xml:space="preserve">in country </w:t>
      </w:r>
      <w:r>
        <w:rPr>
          <w:rFonts w:ascii="Book Antiqua" w:hAnsi="Book Antiqua"/>
        </w:rPr>
        <w:t xml:space="preserve">for leave to remain on the basis of her family life. </w:t>
      </w:r>
      <w:r w:rsidR="00201CF7">
        <w:rPr>
          <w:rFonts w:ascii="Book Antiqua" w:hAnsi="Book Antiqua"/>
        </w:rPr>
        <w:t xml:space="preserve">She was here on a visit </w:t>
      </w:r>
      <w:r w:rsidR="00900557">
        <w:rPr>
          <w:rFonts w:ascii="Book Antiqua" w:hAnsi="Book Antiqua"/>
        </w:rPr>
        <w:t>visa. This</w:t>
      </w:r>
      <w:r>
        <w:rPr>
          <w:rFonts w:ascii="Book Antiqua" w:hAnsi="Book Antiqua"/>
        </w:rPr>
        <w:t xml:space="preserve"> was refused on 18 March 2016.</w:t>
      </w:r>
      <w:r w:rsidR="002639DC">
        <w:rPr>
          <w:rFonts w:ascii="Book Antiqua" w:hAnsi="Book Antiqua"/>
        </w:rPr>
        <w:t xml:space="preserve"> The application was considered under the </w:t>
      </w:r>
      <w:proofErr w:type="gramStart"/>
      <w:r w:rsidR="002639DC">
        <w:rPr>
          <w:rFonts w:ascii="Book Antiqua" w:hAnsi="Book Antiqua"/>
        </w:rPr>
        <w:t>10 year</w:t>
      </w:r>
      <w:proofErr w:type="gramEnd"/>
      <w:r w:rsidR="002639DC">
        <w:rPr>
          <w:rFonts w:ascii="Book Antiqua" w:hAnsi="Book Antiqua"/>
        </w:rPr>
        <w:t xml:space="preserve"> route in appendix FM of the immigration rules.</w:t>
      </w:r>
      <w:r w:rsidR="005034D3">
        <w:rPr>
          <w:rFonts w:ascii="Book Antiqua" w:hAnsi="Book Antiqua"/>
        </w:rPr>
        <w:t xml:space="preserve"> The respondent was not satisfied that she met the eligibility requirements which requires an applicant and their partner to intend to live together permanently and they must produce evidence that they have lived together in the United Kingdom or there is a good reason consistent with a continuing </w:t>
      </w:r>
      <w:r w:rsidR="004A7749">
        <w:rPr>
          <w:rFonts w:ascii="Book Antiqua" w:hAnsi="Book Antiqua"/>
        </w:rPr>
        <w:t xml:space="preserve">intention </w:t>
      </w:r>
      <w:r w:rsidR="005034D3">
        <w:rPr>
          <w:rFonts w:ascii="Book Antiqua" w:hAnsi="Book Antiqua"/>
        </w:rPr>
        <w:t xml:space="preserve">to be together for any period of absence. </w:t>
      </w:r>
      <w:r w:rsidR="005034D3" w:rsidRPr="004A7749">
        <w:rPr>
          <w:rFonts w:ascii="Book Antiqua" w:hAnsi="Book Antiqua"/>
        </w:rPr>
        <w:t xml:space="preserve">The appellant had been living in the Republic of Ireland. This was part of her training to be a medical doctor. </w:t>
      </w:r>
    </w:p>
    <w:p w14:paraId="62DFC105" w14:textId="77777777" w:rsidR="004A7749" w:rsidRDefault="004A7749" w:rsidP="004A7749">
      <w:pPr>
        <w:pStyle w:val="ListParagraph"/>
        <w:rPr>
          <w:rFonts w:ascii="Book Antiqua" w:hAnsi="Book Antiqua"/>
        </w:rPr>
      </w:pPr>
    </w:p>
    <w:p w14:paraId="3CFCB741" w14:textId="77777777" w:rsidR="004A7749" w:rsidRDefault="005034D3" w:rsidP="004A7749">
      <w:pPr>
        <w:numPr>
          <w:ilvl w:val="0"/>
          <w:numId w:val="38"/>
        </w:numPr>
        <w:rPr>
          <w:rFonts w:ascii="Book Antiqua" w:hAnsi="Book Antiqua"/>
        </w:rPr>
      </w:pPr>
      <w:r w:rsidRPr="004A7749">
        <w:rPr>
          <w:rFonts w:ascii="Book Antiqua" w:hAnsi="Book Antiqua"/>
        </w:rPr>
        <w:t>Furthermore, the appellant was in the United Kingdom with leave as a visitor. Consequently, she did not satisfy the immigration status. EX 1 did not assist.</w:t>
      </w:r>
      <w:r w:rsidR="004A7749" w:rsidRPr="004A7749">
        <w:rPr>
          <w:rFonts w:ascii="Book Antiqua" w:hAnsi="Book Antiqua"/>
        </w:rPr>
        <w:t xml:space="preserve"> </w:t>
      </w:r>
    </w:p>
    <w:p w14:paraId="460F1BAB" w14:textId="77777777" w:rsidR="004A7749" w:rsidRDefault="004A7749" w:rsidP="004A7749">
      <w:pPr>
        <w:pStyle w:val="ListParagraph"/>
        <w:rPr>
          <w:rFonts w:ascii="Book Antiqua" w:hAnsi="Book Antiqua"/>
        </w:rPr>
      </w:pPr>
    </w:p>
    <w:p w14:paraId="4CA54DE8" w14:textId="77777777" w:rsidR="008C5FCE" w:rsidRDefault="004A7749" w:rsidP="004A7749">
      <w:pPr>
        <w:numPr>
          <w:ilvl w:val="0"/>
          <w:numId w:val="38"/>
        </w:numPr>
        <w:rPr>
          <w:rFonts w:ascii="Book Antiqua" w:hAnsi="Book Antiqua"/>
        </w:rPr>
      </w:pPr>
      <w:r w:rsidRPr="004A7749">
        <w:rPr>
          <w:rFonts w:ascii="Book Antiqua" w:hAnsi="Book Antiqua"/>
        </w:rPr>
        <w:t xml:space="preserve">She was also refused under the private life route and no other circumstances were seen to justify the grant of leave outside the rules. At the time of application her eldest child had been born and the respondent noted that she had been living with her father. The respondent concluded that the appellant could return to Sri Lanka and seek the correct entry clearance whilst her daughter remained with her father. </w:t>
      </w:r>
    </w:p>
    <w:p w14:paraId="7CAA8E80" w14:textId="77777777" w:rsidR="00B857A1" w:rsidRDefault="00B857A1" w:rsidP="00B857A1">
      <w:pPr>
        <w:pStyle w:val="ListParagraph"/>
        <w:rPr>
          <w:rFonts w:ascii="Book Antiqua" w:hAnsi="Book Antiqua"/>
        </w:rPr>
      </w:pPr>
    </w:p>
    <w:p w14:paraId="3629C0CF" w14:textId="77777777" w:rsidR="00B857A1" w:rsidRDefault="00B857A1" w:rsidP="004A7749">
      <w:pPr>
        <w:numPr>
          <w:ilvl w:val="0"/>
          <w:numId w:val="38"/>
        </w:numPr>
        <w:rPr>
          <w:rFonts w:ascii="Book Antiqua" w:hAnsi="Book Antiqua"/>
        </w:rPr>
      </w:pPr>
      <w:r>
        <w:rPr>
          <w:rFonts w:ascii="Book Antiqua" w:hAnsi="Book Antiqua"/>
        </w:rPr>
        <w:t>The grounds of appeal include the statement that the appellant’s husband frequently visited the Republic of Ireland to be with the appellant.</w:t>
      </w:r>
    </w:p>
    <w:p w14:paraId="7AD685DC" w14:textId="77777777" w:rsidR="00B857A1" w:rsidRDefault="00B857A1" w:rsidP="00B857A1">
      <w:pPr>
        <w:pStyle w:val="ListParagraph"/>
        <w:rPr>
          <w:rFonts w:ascii="Book Antiqua" w:hAnsi="Book Antiqua"/>
        </w:rPr>
      </w:pPr>
    </w:p>
    <w:p w14:paraId="12DA3FC3" w14:textId="77777777" w:rsidR="00B857A1" w:rsidRPr="00B857A1" w:rsidRDefault="00B857A1" w:rsidP="00B857A1">
      <w:pPr>
        <w:rPr>
          <w:rFonts w:ascii="Book Antiqua" w:hAnsi="Book Antiqua"/>
          <w:u w:val="single"/>
        </w:rPr>
      </w:pPr>
      <w:r w:rsidRPr="00B857A1">
        <w:rPr>
          <w:rFonts w:ascii="Book Antiqua" w:hAnsi="Book Antiqua"/>
          <w:u w:val="single"/>
        </w:rPr>
        <w:t xml:space="preserve">The First </w:t>
      </w:r>
      <w:proofErr w:type="gramStart"/>
      <w:r w:rsidRPr="00B857A1">
        <w:rPr>
          <w:rFonts w:ascii="Book Antiqua" w:hAnsi="Book Antiqua"/>
          <w:u w:val="single"/>
        </w:rPr>
        <w:t>tier</w:t>
      </w:r>
      <w:proofErr w:type="gramEnd"/>
      <w:r w:rsidRPr="00B857A1">
        <w:rPr>
          <w:rFonts w:ascii="Book Antiqua" w:hAnsi="Book Antiqua"/>
          <w:u w:val="single"/>
        </w:rPr>
        <w:t xml:space="preserve"> Tribunal.</w:t>
      </w:r>
    </w:p>
    <w:p w14:paraId="59CCD29C" w14:textId="77777777" w:rsidR="00B857A1" w:rsidRDefault="00B857A1" w:rsidP="00B857A1">
      <w:pPr>
        <w:pStyle w:val="ListParagraph"/>
        <w:rPr>
          <w:rFonts w:ascii="Book Antiqua" w:hAnsi="Book Antiqua"/>
        </w:rPr>
      </w:pPr>
    </w:p>
    <w:p w14:paraId="433B53A9" w14:textId="220A5C1A" w:rsidR="00B857A1" w:rsidRPr="004351C9" w:rsidRDefault="00B857A1" w:rsidP="005B71DA">
      <w:pPr>
        <w:numPr>
          <w:ilvl w:val="0"/>
          <w:numId w:val="38"/>
        </w:numPr>
        <w:rPr>
          <w:rFonts w:ascii="Book Antiqua" w:hAnsi="Book Antiqua"/>
        </w:rPr>
      </w:pPr>
      <w:r w:rsidRPr="004351C9">
        <w:rPr>
          <w:rFonts w:ascii="Book Antiqua" w:hAnsi="Book Antiqua"/>
        </w:rPr>
        <w:t xml:space="preserve">The appeal was heard at Taylor house on 16 August 2017 before </w:t>
      </w:r>
      <w:bookmarkStart w:id="3" w:name="_Hlk520198319"/>
      <w:r w:rsidRPr="004351C9">
        <w:rPr>
          <w:rFonts w:ascii="Book Antiqua" w:hAnsi="Book Antiqua"/>
        </w:rPr>
        <w:t>First-tier Judge</w:t>
      </w:r>
      <w:r w:rsidR="004351C9" w:rsidRPr="004351C9">
        <w:rPr>
          <w:rFonts w:ascii="Book Antiqua" w:hAnsi="Book Antiqua"/>
        </w:rPr>
        <w:t xml:space="preserve"> </w:t>
      </w:r>
      <w:proofErr w:type="spellStart"/>
      <w:r w:rsidRPr="004351C9">
        <w:rPr>
          <w:rFonts w:ascii="Book Antiqua" w:hAnsi="Book Antiqua"/>
        </w:rPr>
        <w:t>Twydel</w:t>
      </w:r>
      <w:bookmarkEnd w:id="3"/>
      <w:r w:rsidRPr="004351C9">
        <w:rPr>
          <w:rFonts w:ascii="Book Antiqua" w:hAnsi="Book Antiqua"/>
        </w:rPr>
        <w:t>l</w:t>
      </w:r>
      <w:proofErr w:type="spellEnd"/>
      <w:r w:rsidRPr="004351C9">
        <w:rPr>
          <w:rFonts w:ascii="Book Antiqua" w:hAnsi="Book Antiqua"/>
        </w:rPr>
        <w:t>.</w:t>
      </w:r>
      <w:r w:rsidR="00345ABF" w:rsidRPr="004351C9">
        <w:rPr>
          <w:rFonts w:ascii="Book Antiqua" w:hAnsi="Book Antiqua"/>
        </w:rPr>
        <w:t xml:space="preserve"> In a decision promulgated on 19 October 2017 it was dismissed. At paragraph 25 the judge found that the appellant did not meet the eligibility requirements of the immigration rules because she and her husband had not lived together permanently in the United </w:t>
      </w:r>
      <w:r w:rsidR="004C05F7" w:rsidRPr="004351C9">
        <w:rPr>
          <w:rFonts w:ascii="Book Antiqua" w:hAnsi="Book Antiqua"/>
        </w:rPr>
        <w:t>Kingdom. This was</w:t>
      </w:r>
      <w:r w:rsidR="00345ABF" w:rsidRPr="004351C9">
        <w:rPr>
          <w:rFonts w:ascii="Book Antiqua" w:hAnsi="Book Antiqua"/>
        </w:rPr>
        <w:t xml:space="preserve"> because she had been pursuing her career as a doctor elsewhere. </w:t>
      </w:r>
    </w:p>
    <w:p w14:paraId="5605591A" w14:textId="77777777" w:rsidR="00345ABF" w:rsidRDefault="00345ABF" w:rsidP="00B857A1">
      <w:pPr>
        <w:ind w:left="720"/>
        <w:rPr>
          <w:rFonts w:ascii="Book Antiqua" w:hAnsi="Book Antiqua"/>
        </w:rPr>
      </w:pPr>
    </w:p>
    <w:p w14:paraId="26382B10" w14:textId="77777777" w:rsidR="007E0BE5" w:rsidRDefault="00201AC6" w:rsidP="00201AC6">
      <w:pPr>
        <w:numPr>
          <w:ilvl w:val="0"/>
          <w:numId w:val="38"/>
        </w:numPr>
        <w:rPr>
          <w:rFonts w:ascii="Book Antiqua" w:hAnsi="Book Antiqua"/>
        </w:rPr>
      </w:pPr>
      <w:r>
        <w:rPr>
          <w:rFonts w:ascii="Book Antiqua" w:hAnsi="Book Antiqua"/>
        </w:rPr>
        <w:t xml:space="preserve">The judge found that paragraph EX 1 did not apply because she did not meet the eligibility requirements and was here as a visitor. </w:t>
      </w:r>
    </w:p>
    <w:p w14:paraId="53D8DEE0" w14:textId="77777777" w:rsidR="007E0BE5" w:rsidRDefault="007E0BE5" w:rsidP="007E0BE5">
      <w:pPr>
        <w:rPr>
          <w:rFonts w:ascii="Book Antiqua" w:hAnsi="Book Antiqua"/>
        </w:rPr>
      </w:pPr>
    </w:p>
    <w:p w14:paraId="41EB1DF4" w14:textId="77777777" w:rsidR="007E0BE5" w:rsidRDefault="007E0BE5" w:rsidP="007E0BE5">
      <w:pPr>
        <w:rPr>
          <w:rFonts w:ascii="Book Antiqua" w:hAnsi="Book Antiqua"/>
          <w:u w:val="single"/>
        </w:rPr>
      </w:pPr>
      <w:r w:rsidRPr="007E0BE5">
        <w:rPr>
          <w:rFonts w:ascii="Book Antiqua" w:hAnsi="Book Antiqua"/>
          <w:u w:val="single"/>
        </w:rPr>
        <w:t>The Upper Tribunal</w:t>
      </w:r>
    </w:p>
    <w:p w14:paraId="73E8E6AA" w14:textId="77777777" w:rsidR="006277D8" w:rsidRPr="007E0BE5" w:rsidRDefault="006277D8" w:rsidP="007E0BE5">
      <w:pPr>
        <w:rPr>
          <w:rFonts w:ascii="Book Antiqua" w:hAnsi="Book Antiqua"/>
          <w:u w:val="single"/>
        </w:rPr>
      </w:pPr>
    </w:p>
    <w:p w14:paraId="48E5FD78" w14:textId="77777777" w:rsidR="00345ABF" w:rsidRDefault="006277D8" w:rsidP="004309CC">
      <w:pPr>
        <w:numPr>
          <w:ilvl w:val="0"/>
          <w:numId w:val="38"/>
        </w:numPr>
        <w:rPr>
          <w:rFonts w:ascii="Book Antiqua" w:hAnsi="Book Antiqua"/>
        </w:rPr>
      </w:pPr>
      <w:r w:rsidRPr="006277D8">
        <w:rPr>
          <w:rFonts w:ascii="Book Antiqua" w:hAnsi="Book Antiqua"/>
        </w:rPr>
        <w:t xml:space="preserve">Permission to appeal was granted on the basis it was arguable the judge erred in law by concluding the eligibility requirements were not met because the appellant and her partner had not lived together permanently in the past whereas the rules were forward-looking. </w:t>
      </w:r>
      <w:r>
        <w:rPr>
          <w:rFonts w:ascii="Book Antiqua" w:hAnsi="Book Antiqua"/>
        </w:rPr>
        <w:t>The j</w:t>
      </w:r>
      <w:r w:rsidRPr="006277D8">
        <w:rPr>
          <w:rFonts w:ascii="Book Antiqua" w:hAnsi="Book Antiqua"/>
        </w:rPr>
        <w:t xml:space="preserve">udge had also referred to the appellant remaining in the United Kingdom illegally and to </w:t>
      </w:r>
      <w:r>
        <w:rPr>
          <w:rFonts w:ascii="Book Antiqua" w:hAnsi="Book Antiqua"/>
        </w:rPr>
        <w:t>her</w:t>
      </w:r>
      <w:r w:rsidRPr="006277D8">
        <w:rPr>
          <w:rFonts w:ascii="Book Antiqua" w:hAnsi="Book Antiqua"/>
        </w:rPr>
        <w:t xml:space="preserve"> blatant regard for immigration law whereas in fact she had not been here without leave. Furthermore, the judge failed to consider section 117 B (6) of the </w:t>
      </w:r>
      <w:r>
        <w:rPr>
          <w:rFonts w:ascii="Book Antiqua" w:hAnsi="Book Antiqua"/>
        </w:rPr>
        <w:t>N</w:t>
      </w:r>
      <w:r w:rsidRPr="006277D8">
        <w:rPr>
          <w:rFonts w:ascii="Book Antiqua" w:hAnsi="Book Antiqua"/>
        </w:rPr>
        <w:t xml:space="preserve">ationality, </w:t>
      </w:r>
      <w:r>
        <w:rPr>
          <w:rFonts w:ascii="Book Antiqua" w:hAnsi="Book Antiqua"/>
        </w:rPr>
        <w:t>I</w:t>
      </w:r>
      <w:r w:rsidRPr="006277D8">
        <w:rPr>
          <w:rFonts w:ascii="Book Antiqua" w:hAnsi="Book Antiqua"/>
        </w:rPr>
        <w:t xml:space="preserve">mmigration and Asylum </w:t>
      </w:r>
      <w:r>
        <w:rPr>
          <w:rFonts w:ascii="Book Antiqua" w:hAnsi="Book Antiqua"/>
        </w:rPr>
        <w:t>A</w:t>
      </w:r>
      <w:r w:rsidRPr="006277D8">
        <w:rPr>
          <w:rFonts w:ascii="Book Antiqua" w:hAnsi="Book Antiqua"/>
        </w:rPr>
        <w:t xml:space="preserve">ct 2002. </w:t>
      </w:r>
    </w:p>
    <w:p w14:paraId="3A39CC38" w14:textId="77777777" w:rsidR="006277D8" w:rsidRDefault="006277D8" w:rsidP="006277D8">
      <w:pPr>
        <w:ind w:left="720"/>
        <w:rPr>
          <w:rFonts w:ascii="Book Antiqua" w:hAnsi="Book Antiqua"/>
        </w:rPr>
      </w:pPr>
    </w:p>
    <w:p w14:paraId="565C6233" w14:textId="107B1011" w:rsidR="00F61F00" w:rsidRPr="00FA3F52" w:rsidRDefault="00C55257" w:rsidP="00CF4415">
      <w:pPr>
        <w:numPr>
          <w:ilvl w:val="0"/>
          <w:numId w:val="38"/>
        </w:numPr>
        <w:rPr>
          <w:rFonts w:ascii="Book Antiqua" w:hAnsi="Book Antiqua"/>
        </w:rPr>
      </w:pPr>
      <w:r w:rsidRPr="00FE6072">
        <w:rPr>
          <w:rFonts w:ascii="Book Antiqua" w:hAnsi="Book Antiqua"/>
        </w:rPr>
        <w:t xml:space="preserve">At hearing </w:t>
      </w:r>
      <w:bookmarkStart w:id="4" w:name="_Hlk520187798"/>
      <w:r w:rsidRPr="00FE6072">
        <w:rPr>
          <w:rFonts w:ascii="Book Antiqua" w:hAnsi="Book Antiqua"/>
        </w:rPr>
        <w:t>Ms.</w:t>
      </w:r>
      <w:r w:rsidR="007532FC">
        <w:rPr>
          <w:rFonts w:ascii="Book Antiqua" w:hAnsi="Book Antiqua"/>
        </w:rPr>
        <w:t xml:space="preserve"> </w:t>
      </w:r>
      <w:proofErr w:type="spellStart"/>
      <w:r w:rsidRPr="00FE6072">
        <w:rPr>
          <w:rFonts w:ascii="Book Antiqua" w:hAnsi="Book Antiqua"/>
        </w:rPr>
        <w:t>Seehra</w:t>
      </w:r>
      <w:proofErr w:type="spellEnd"/>
      <w:r w:rsidR="00FE6072" w:rsidRPr="00FE6072">
        <w:rPr>
          <w:rFonts w:ascii="Book Antiqua" w:hAnsi="Book Antiqua"/>
        </w:rPr>
        <w:t xml:space="preserve"> </w:t>
      </w:r>
      <w:bookmarkEnd w:id="4"/>
      <w:r w:rsidR="00FE6072" w:rsidRPr="00FE6072">
        <w:rPr>
          <w:rFonts w:ascii="Book Antiqua" w:hAnsi="Book Antiqua"/>
        </w:rPr>
        <w:t>relied on the grounds for which permission had been granted. The 1</w:t>
      </w:r>
      <w:r w:rsidR="00FE6072" w:rsidRPr="00FE6072">
        <w:rPr>
          <w:rFonts w:ascii="Book Antiqua" w:hAnsi="Book Antiqua"/>
          <w:vertAlign w:val="superscript"/>
        </w:rPr>
        <w:t>st</w:t>
      </w:r>
      <w:r w:rsidR="00FE6072" w:rsidRPr="00FE6072">
        <w:rPr>
          <w:rFonts w:ascii="Book Antiqua" w:hAnsi="Book Antiqua"/>
        </w:rPr>
        <w:t xml:space="preserve"> point was that the judge was mistaken in focusing upon the permanency of the relationship by reason of past events whereas th</w:t>
      </w:r>
      <w:r w:rsidR="00FA3F52">
        <w:rPr>
          <w:rFonts w:ascii="Book Antiqua" w:hAnsi="Book Antiqua"/>
        </w:rPr>
        <w:t xml:space="preserve">is </w:t>
      </w:r>
      <w:r w:rsidR="00FE6072" w:rsidRPr="00FE6072">
        <w:rPr>
          <w:rFonts w:ascii="Book Antiqua" w:hAnsi="Book Antiqua"/>
        </w:rPr>
        <w:t xml:space="preserve">should have been assessed on the basis of </w:t>
      </w:r>
      <w:r w:rsidR="00FA3F52">
        <w:rPr>
          <w:rFonts w:ascii="Book Antiqua" w:hAnsi="Book Antiqua"/>
        </w:rPr>
        <w:t xml:space="preserve">a </w:t>
      </w:r>
      <w:r w:rsidR="00FE6072" w:rsidRPr="00FE6072">
        <w:rPr>
          <w:rFonts w:ascii="Book Antiqua" w:hAnsi="Book Antiqua"/>
        </w:rPr>
        <w:t>forward-looking approach. A 2</w:t>
      </w:r>
      <w:r w:rsidR="00FE6072" w:rsidRPr="00FE6072">
        <w:rPr>
          <w:rFonts w:ascii="Book Antiqua" w:hAnsi="Book Antiqua"/>
          <w:vertAlign w:val="superscript"/>
        </w:rPr>
        <w:t>nd</w:t>
      </w:r>
      <w:r w:rsidR="00FE6072" w:rsidRPr="00FE6072">
        <w:rPr>
          <w:rFonts w:ascii="Book Antiqua" w:hAnsi="Book Antiqua"/>
        </w:rPr>
        <w:t xml:space="preserve"> point was that the judge incorrectly recorded the appellant’s immigration history. For instance</w:t>
      </w:r>
      <w:r w:rsidR="0001483D">
        <w:rPr>
          <w:rFonts w:ascii="Book Antiqua" w:hAnsi="Book Antiqua"/>
        </w:rPr>
        <w:t>,</w:t>
      </w:r>
      <w:r w:rsidR="00FE6072" w:rsidRPr="00FE6072">
        <w:rPr>
          <w:rFonts w:ascii="Book Antiqua" w:hAnsi="Book Antiqua"/>
        </w:rPr>
        <w:t xml:space="preserve"> the reference to her being in the country illegally was incorrect. The appellant in fact was here on a visit Visa when she made the application. It was also argued that the judge should have considered matters under EX 1 and concluded in the appellant’s favour on the basis her partner and children are British and it would be unreasonable to expect them to leave. Ms.</w:t>
      </w:r>
      <w:r w:rsidR="007532FC">
        <w:rPr>
          <w:rFonts w:ascii="Book Antiqua" w:hAnsi="Book Antiqua"/>
        </w:rPr>
        <w:t xml:space="preserve"> </w:t>
      </w:r>
      <w:proofErr w:type="spellStart"/>
      <w:r w:rsidR="00FE6072" w:rsidRPr="00FE6072">
        <w:rPr>
          <w:rFonts w:ascii="Book Antiqua" w:hAnsi="Book Antiqua"/>
        </w:rPr>
        <w:t>Seehra</w:t>
      </w:r>
      <w:proofErr w:type="spellEnd"/>
      <w:r w:rsidR="00FE6072" w:rsidRPr="00FE6072">
        <w:rPr>
          <w:rFonts w:ascii="Book Antiqua" w:hAnsi="Book Antiqua"/>
        </w:rPr>
        <w:t xml:space="preserve"> also referred to the judge’s failure to refer to the respondent’s guidance which was applicable. It was argued that the judge should have considered the reasonableness of expecting the appellant to leave and then make an application for re-entry bearing in mind the case law</w:t>
      </w:r>
      <w:r w:rsidR="00FE6072">
        <w:rPr>
          <w:rFonts w:ascii="Book Antiqua" w:hAnsi="Book Antiqua"/>
        </w:rPr>
        <w:t>,</w:t>
      </w:r>
      <w:r w:rsidR="00FE6072" w:rsidRPr="00FE6072">
        <w:rPr>
          <w:rFonts w:ascii="Book Antiqua" w:hAnsi="Book Antiqua"/>
        </w:rPr>
        <w:t xml:space="preserve"> for example</w:t>
      </w:r>
      <w:r w:rsidR="00FE6072">
        <w:rPr>
          <w:rFonts w:ascii="Book Antiqua" w:hAnsi="Book Antiqua"/>
        </w:rPr>
        <w:t>,</w:t>
      </w:r>
      <w:r w:rsidR="00FE6072" w:rsidRPr="00FE6072">
        <w:rPr>
          <w:rFonts w:ascii="Book Antiqua" w:hAnsi="Book Antiqua"/>
        </w:rPr>
        <w:t xml:space="preserve"> from </w:t>
      </w:r>
      <w:proofErr w:type="spellStart"/>
      <w:r w:rsidR="00FE6072" w:rsidRPr="00FE6072">
        <w:rPr>
          <w:rFonts w:ascii="Book Antiqua" w:hAnsi="Book Antiqua"/>
          <w:u w:val="single"/>
        </w:rPr>
        <w:t>Agya</w:t>
      </w:r>
      <w:r w:rsidR="00900557">
        <w:rPr>
          <w:rFonts w:ascii="Book Antiqua" w:hAnsi="Book Antiqua"/>
          <w:u w:val="single"/>
        </w:rPr>
        <w:t>r</w:t>
      </w:r>
      <w:r w:rsidR="00FE6072" w:rsidRPr="00FE6072">
        <w:rPr>
          <w:rFonts w:ascii="Book Antiqua" w:hAnsi="Book Antiqua"/>
          <w:u w:val="single"/>
        </w:rPr>
        <w:t>ko</w:t>
      </w:r>
      <w:proofErr w:type="spellEnd"/>
      <w:r w:rsidR="00FE6072" w:rsidRPr="00FE6072">
        <w:rPr>
          <w:rFonts w:ascii="Book Antiqua" w:hAnsi="Book Antiqua"/>
        </w:rPr>
        <w:t xml:space="preserve"> and </w:t>
      </w:r>
      <w:proofErr w:type="spellStart"/>
      <w:r w:rsidR="00FE6072" w:rsidRPr="00FE6072">
        <w:rPr>
          <w:rFonts w:ascii="Book Antiqua" w:hAnsi="Book Antiqua"/>
          <w:u w:val="single"/>
        </w:rPr>
        <w:t>Chickwamba</w:t>
      </w:r>
      <w:proofErr w:type="spellEnd"/>
      <w:r w:rsidR="00FE6072" w:rsidRPr="007532FC">
        <w:rPr>
          <w:rFonts w:ascii="Book Antiqua" w:hAnsi="Book Antiqua"/>
        </w:rPr>
        <w:t xml:space="preserve">. </w:t>
      </w:r>
      <w:r w:rsidR="00FA3F52" w:rsidRPr="00FA3F52">
        <w:rPr>
          <w:rFonts w:ascii="Book Antiqua" w:hAnsi="Book Antiqua"/>
        </w:rPr>
        <w:t xml:space="preserve">Reference was also made to </w:t>
      </w:r>
      <w:r w:rsidR="00FA3F52">
        <w:rPr>
          <w:rFonts w:ascii="Book Antiqua" w:hAnsi="Book Antiqua"/>
        </w:rPr>
        <w:t xml:space="preserve">the </w:t>
      </w:r>
      <w:r w:rsidR="00661C94">
        <w:rPr>
          <w:rFonts w:ascii="Book Antiqua" w:hAnsi="Book Antiqua"/>
        </w:rPr>
        <w:t>absence</w:t>
      </w:r>
      <w:r w:rsidR="00FA3F52">
        <w:rPr>
          <w:rFonts w:ascii="Book Antiqua" w:hAnsi="Book Antiqua"/>
        </w:rPr>
        <w:t xml:space="preserve"> of consideration of s</w:t>
      </w:r>
      <w:r w:rsidR="00FA3F52" w:rsidRPr="00FA3F52">
        <w:rPr>
          <w:rFonts w:ascii="Book Antiqua" w:hAnsi="Book Antiqua"/>
        </w:rPr>
        <w:t>ection 117</w:t>
      </w:r>
      <w:proofErr w:type="gramStart"/>
      <w:r w:rsidR="00FA3F52" w:rsidRPr="00FA3F52">
        <w:rPr>
          <w:rFonts w:ascii="Book Antiqua" w:hAnsi="Book Antiqua"/>
        </w:rPr>
        <w:t>B(</w:t>
      </w:r>
      <w:proofErr w:type="gramEnd"/>
      <w:r w:rsidR="00FA3F52" w:rsidRPr="00FA3F52">
        <w:rPr>
          <w:rFonts w:ascii="Book Antiqua" w:hAnsi="Book Antiqua"/>
        </w:rPr>
        <w:t>6)</w:t>
      </w:r>
      <w:r w:rsidR="00FE6072" w:rsidRPr="00FA3F52">
        <w:rPr>
          <w:rFonts w:ascii="Book Antiqua" w:hAnsi="Book Antiqua"/>
        </w:rPr>
        <w:t>.</w:t>
      </w:r>
    </w:p>
    <w:p w14:paraId="313020E9" w14:textId="77777777" w:rsidR="00FE6072" w:rsidRPr="00FA3F52" w:rsidRDefault="00FE6072" w:rsidP="00FE6072">
      <w:pPr>
        <w:pStyle w:val="ListParagraph"/>
        <w:rPr>
          <w:rFonts w:ascii="Book Antiqua" w:hAnsi="Book Antiqua"/>
        </w:rPr>
      </w:pPr>
    </w:p>
    <w:p w14:paraId="1E6B5114" w14:textId="77777777" w:rsidR="00FE6072" w:rsidRDefault="00FE6072" w:rsidP="00CF4415">
      <w:pPr>
        <w:numPr>
          <w:ilvl w:val="0"/>
          <w:numId w:val="38"/>
        </w:numPr>
        <w:rPr>
          <w:rFonts w:ascii="Book Antiqua" w:hAnsi="Book Antiqua"/>
        </w:rPr>
      </w:pPr>
      <w:r>
        <w:rPr>
          <w:rFonts w:ascii="Book Antiqua" w:hAnsi="Book Antiqua"/>
        </w:rPr>
        <w:t>Ms A Everett acknowledge</w:t>
      </w:r>
      <w:r w:rsidR="0001483D">
        <w:rPr>
          <w:rFonts w:ascii="Book Antiqua" w:hAnsi="Book Antiqua"/>
        </w:rPr>
        <w:t>d</w:t>
      </w:r>
      <w:r>
        <w:rPr>
          <w:rFonts w:ascii="Book Antiqua" w:hAnsi="Book Antiqua"/>
        </w:rPr>
        <w:t xml:space="preserve"> that the grounds advanced did indicate a material error of law which would require the decision to be set aside. She accepted that the judge had made errors of fact in relation to the appellant</w:t>
      </w:r>
      <w:r w:rsidR="0001483D">
        <w:rPr>
          <w:rFonts w:ascii="Book Antiqua" w:hAnsi="Book Antiqua"/>
        </w:rPr>
        <w:t>’</w:t>
      </w:r>
      <w:r>
        <w:rPr>
          <w:rFonts w:ascii="Book Antiqua" w:hAnsi="Book Antiqua"/>
        </w:rPr>
        <w:t>s immigration history. She did have reservations as to whether EX 1 was applicable given that the application was made when the appellant had leave as a visitor. In any event</w:t>
      </w:r>
      <w:r w:rsidR="0001483D">
        <w:rPr>
          <w:rFonts w:ascii="Book Antiqua" w:hAnsi="Book Antiqua"/>
        </w:rPr>
        <w:t>,</w:t>
      </w:r>
      <w:r>
        <w:rPr>
          <w:rFonts w:ascii="Book Antiqua" w:hAnsi="Book Antiqua"/>
        </w:rPr>
        <w:t xml:space="preserve"> she acknowledged that there was no evaluation of the reasonableness of expecting the appellant to leave and make application for re-entry </w:t>
      </w:r>
      <w:r w:rsidR="0001483D">
        <w:rPr>
          <w:rFonts w:ascii="Book Antiqua" w:hAnsi="Book Antiqua"/>
        </w:rPr>
        <w:t>or</w:t>
      </w:r>
      <w:r>
        <w:rPr>
          <w:rFonts w:ascii="Book Antiqua" w:hAnsi="Book Antiqua"/>
        </w:rPr>
        <w:t xml:space="preserve"> consideration of the </w:t>
      </w:r>
      <w:proofErr w:type="spellStart"/>
      <w:r w:rsidRPr="0001483D">
        <w:rPr>
          <w:rFonts w:ascii="Book Antiqua" w:hAnsi="Book Antiqua"/>
          <w:u w:val="single"/>
        </w:rPr>
        <w:t>Chickwamba</w:t>
      </w:r>
      <w:proofErr w:type="spellEnd"/>
      <w:r>
        <w:rPr>
          <w:rFonts w:ascii="Book Antiqua" w:hAnsi="Book Antiqua"/>
        </w:rPr>
        <w:t xml:space="preserve"> point. She did not accept that the appellant would inevitably succeed but nevertheless this issue should have been considered. She also accepted that the guidance was relevant and had not been considered as w</w:t>
      </w:r>
      <w:r w:rsidR="0001483D">
        <w:rPr>
          <w:rFonts w:ascii="Book Antiqua" w:hAnsi="Book Antiqua"/>
        </w:rPr>
        <w:t>as section 11</w:t>
      </w:r>
      <w:r>
        <w:rPr>
          <w:rFonts w:ascii="Book Antiqua" w:hAnsi="Book Antiqua"/>
        </w:rPr>
        <w:t xml:space="preserve">7 B (6). </w:t>
      </w:r>
    </w:p>
    <w:p w14:paraId="16123C38" w14:textId="77777777" w:rsidR="00FE6072" w:rsidRDefault="00FE6072" w:rsidP="0001483D">
      <w:pPr>
        <w:pStyle w:val="ListParagraph"/>
        <w:ind w:left="0"/>
        <w:rPr>
          <w:rFonts w:ascii="Book Antiqua" w:hAnsi="Book Antiqua"/>
        </w:rPr>
      </w:pPr>
    </w:p>
    <w:p w14:paraId="549CDC8D" w14:textId="77777777" w:rsidR="0001483D" w:rsidRDefault="00FE6072" w:rsidP="00CF4415">
      <w:pPr>
        <w:numPr>
          <w:ilvl w:val="0"/>
          <w:numId w:val="38"/>
        </w:numPr>
        <w:rPr>
          <w:rFonts w:ascii="Book Antiqua" w:hAnsi="Book Antiqua"/>
        </w:rPr>
      </w:pPr>
      <w:r>
        <w:rPr>
          <w:rFonts w:ascii="Book Antiqua" w:hAnsi="Book Antiqua"/>
        </w:rPr>
        <w:t xml:space="preserve">I was invited by both parties to set the decision aside and to remake it. </w:t>
      </w:r>
    </w:p>
    <w:p w14:paraId="20C5ED82" w14:textId="77777777" w:rsidR="0001483D" w:rsidRDefault="0001483D" w:rsidP="0001483D">
      <w:pPr>
        <w:pStyle w:val="ListParagraph"/>
        <w:rPr>
          <w:rFonts w:ascii="Book Antiqua" w:hAnsi="Book Antiqua"/>
        </w:rPr>
      </w:pPr>
    </w:p>
    <w:p w14:paraId="6435575C" w14:textId="77777777" w:rsidR="0001483D" w:rsidRPr="0001483D" w:rsidRDefault="0001483D" w:rsidP="0001483D">
      <w:pPr>
        <w:rPr>
          <w:rFonts w:ascii="Book Antiqua" w:hAnsi="Book Antiqua"/>
          <w:u w:val="single"/>
        </w:rPr>
      </w:pPr>
      <w:r w:rsidRPr="0001483D">
        <w:rPr>
          <w:rFonts w:ascii="Book Antiqua" w:hAnsi="Book Antiqua"/>
          <w:u w:val="single"/>
        </w:rPr>
        <w:t>Conclusions</w:t>
      </w:r>
    </w:p>
    <w:p w14:paraId="6D655B08" w14:textId="77777777" w:rsidR="0001483D" w:rsidRDefault="0001483D" w:rsidP="0001483D">
      <w:pPr>
        <w:pStyle w:val="ListParagraph"/>
        <w:rPr>
          <w:rFonts w:ascii="Book Antiqua" w:hAnsi="Book Antiqua"/>
        </w:rPr>
      </w:pPr>
    </w:p>
    <w:p w14:paraId="64623059" w14:textId="77777777" w:rsidR="000C4FB5" w:rsidRDefault="004F76D3" w:rsidP="00CF4415">
      <w:pPr>
        <w:numPr>
          <w:ilvl w:val="0"/>
          <w:numId w:val="38"/>
        </w:numPr>
        <w:rPr>
          <w:rFonts w:ascii="Book Antiqua" w:hAnsi="Book Antiqua"/>
        </w:rPr>
      </w:pPr>
      <w:r>
        <w:rPr>
          <w:rFonts w:ascii="Book Antiqua" w:hAnsi="Book Antiqua"/>
        </w:rPr>
        <w:t xml:space="preserve">The papers indicate that the appellant married her sponsor on 21 January 2010 at which stage he was a medical student. They live together in the United Kingdom </w:t>
      </w:r>
      <w:r w:rsidR="000C4FB5">
        <w:rPr>
          <w:rFonts w:ascii="Book Antiqua" w:hAnsi="Book Antiqua"/>
        </w:rPr>
        <w:t>and then on 25 February 2014 she took up an appointment as a doctor in Cork hospital in the Republic of Ireland. Her husband and their children have been living with his parents at their home in England and the appellant would</w:t>
      </w:r>
      <w:r w:rsidR="00FA3F52">
        <w:rPr>
          <w:rFonts w:ascii="Book Antiqua" w:hAnsi="Book Antiqua"/>
        </w:rPr>
        <w:t>,</w:t>
      </w:r>
      <w:r w:rsidR="000C4FB5">
        <w:rPr>
          <w:rFonts w:ascii="Book Antiqua" w:hAnsi="Book Antiqua"/>
        </w:rPr>
        <w:t xml:space="preserve"> whenever she could</w:t>
      </w:r>
      <w:r w:rsidR="00FA3F52">
        <w:rPr>
          <w:rFonts w:ascii="Book Antiqua" w:hAnsi="Book Antiqua"/>
        </w:rPr>
        <w:t>,</w:t>
      </w:r>
      <w:r w:rsidR="000C4FB5">
        <w:rPr>
          <w:rFonts w:ascii="Book Antiqua" w:hAnsi="Book Antiqua"/>
        </w:rPr>
        <w:t xml:space="preserve"> travel to visit them. Her most recent visit before the application was on 14 November 2015. She entered the United Kingdom on a visit Visa which was valid until 17 December 2015. Before the visas expired she made an application for leave to remain on the basis of her family life. </w:t>
      </w:r>
    </w:p>
    <w:p w14:paraId="25E5BCA5" w14:textId="77777777" w:rsidR="000C4FB5" w:rsidRDefault="000C4FB5" w:rsidP="000C4FB5">
      <w:pPr>
        <w:ind w:left="720"/>
        <w:rPr>
          <w:rFonts w:ascii="Book Antiqua" w:hAnsi="Book Antiqua"/>
        </w:rPr>
      </w:pPr>
    </w:p>
    <w:p w14:paraId="7982D882" w14:textId="77777777" w:rsidR="00FE6072" w:rsidRPr="00201CF7" w:rsidRDefault="000C4FB5" w:rsidP="00201CF7">
      <w:pPr>
        <w:numPr>
          <w:ilvl w:val="0"/>
          <w:numId w:val="38"/>
        </w:numPr>
        <w:rPr>
          <w:rFonts w:ascii="Book Antiqua" w:hAnsi="Book Antiqua"/>
        </w:rPr>
      </w:pPr>
      <w:r>
        <w:rPr>
          <w:rFonts w:ascii="Book Antiqua" w:hAnsi="Book Antiqua"/>
        </w:rPr>
        <w:lastRenderedPageBreak/>
        <w:t xml:space="preserve">The refusal was on the basis the eligibility requirements were not met. </w:t>
      </w:r>
      <w:r w:rsidR="00201CF7">
        <w:rPr>
          <w:rFonts w:ascii="Book Antiqua" w:hAnsi="Book Antiqua"/>
        </w:rPr>
        <w:t>The judge may well have been misled by the wording in the refusal letter which uses the phrase `have lived together permanently’ suggesting the past tense.</w:t>
      </w:r>
      <w:r w:rsidRPr="00201CF7">
        <w:rPr>
          <w:rFonts w:ascii="Book Antiqua" w:hAnsi="Book Antiqua"/>
        </w:rPr>
        <w:t xml:space="preserve"> </w:t>
      </w:r>
      <w:proofErr w:type="gramStart"/>
      <w:r w:rsidRPr="00201CF7">
        <w:rPr>
          <w:rFonts w:ascii="Book Antiqua" w:hAnsi="Book Antiqua"/>
        </w:rPr>
        <w:t>However</w:t>
      </w:r>
      <w:proofErr w:type="gramEnd"/>
      <w:r w:rsidRPr="00201CF7">
        <w:rPr>
          <w:rFonts w:ascii="Book Antiqua" w:hAnsi="Book Antiqua"/>
        </w:rPr>
        <w:t xml:space="preserve"> E-LTRP 1.10 of appendix FM refers to an </w:t>
      </w:r>
      <w:r w:rsidRPr="00201CF7">
        <w:rPr>
          <w:rFonts w:ascii="Book Antiqua" w:hAnsi="Book Antiqua"/>
          <w:i/>
        </w:rPr>
        <w:t>intention</w:t>
      </w:r>
      <w:r w:rsidRPr="00201CF7">
        <w:rPr>
          <w:rFonts w:ascii="Book Antiqua" w:hAnsi="Book Antiqua"/>
        </w:rPr>
        <w:t xml:space="preserve"> </w:t>
      </w:r>
      <w:r w:rsidR="00201CF7">
        <w:rPr>
          <w:rFonts w:ascii="Book Antiqua" w:hAnsi="Book Antiqua"/>
        </w:rPr>
        <w:t xml:space="preserve">(my emphasis) </w:t>
      </w:r>
      <w:r w:rsidRPr="00201CF7">
        <w:rPr>
          <w:rFonts w:ascii="Book Antiqua" w:hAnsi="Book Antiqua"/>
        </w:rPr>
        <w:t xml:space="preserve">to live together permanently. Clearly this envisages life in the future. It then </w:t>
      </w:r>
      <w:r w:rsidR="00201CF7">
        <w:rPr>
          <w:rFonts w:ascii="Book Antiqua" w:hAnsi="Book Antiqua"/>
        </w:rPr>
        <w:t xml:space="preserve">states that </w:t>
      </w:r>
      <w:r w:rsidRPr="00201CF7">
        <w:rPr>
          <w:rFonts w:ascii="Book Antiqua" w:hAnsi="Book Antiqua"/>
        </w:rPr>
        <w:t xml:space="preserve">any application for further leave to remain or indefinite leave to remain must include evidence that since entry was given as a partner they have lived together or there is a good reason if they have not done so consistent with a continuing intention to live together. This is not the appellant’s situation as </w:t>
      </w:r>
      <w:r w:rsidR="00D66A54" w:rsidRPr="00201CF7">
        <w:rPr>
          <w:rFonts w:ascii="Book Antiqua" w:hAnsi="Book Antiqua"/>
        </w:rPr>
        <w:t>there</w:t>
      </w:r>
      <w:r w:rsidRPr="00201CF7">
        <w:rPr>
          <w:rFonts w:ascii="Book Antiqua" w:hAnsi="Book Antiqua"/>
        </w:rPr>
        <w:t xml:space="preserve"> was no earlier leave to remain. </w:t>
      </w:r>
    </w:p>
    <w:p w14:paraId="2BB8F9E0" w14:textId="77777777" w:rsidR="000C4FB5" w:rsidRDefault="000C4FB5" w:rsidP="000C4FB5">
      <w:pPr>
        <w:pStyle w:val="ListParagraph"/>
        <w:rPr>
          <w:rFonts w:ascii="Book Antiqua" w:hAnsi="Book Antiqua"/>
        </w:rPr>
      </w:pPr>
    </w:p>
    <w:p w14:paraId="7256C995" w14:textId="77777777" w:rsidR="009543FF" w:rsidRPr="00D250D3" w:rsidRDefault="000C4FB5" w:rsidP="002335AB">
      <w:pPr>
        <w:numPr>
          <w:ilvl w:val="0"/>
          <w:numId w:val="38"/>
        </w:numPr>
        <w:rPr>
          <w:rFonts w:ascii="Book Antiqua" w:hAnsi="Book Antiqua"/>
          <w:u w:val="single"/>
        </w:rPr>
      </w:pPr>
      <w:bookmarkStart w:id="5" w:name="_Hlk520221689"/>
      <w:r w:rsidRPr="00D250D3">
        <w:rPr>
          <w:rFonts w:ascii="Book Antiqua" w:hAnsi="Book Antiqua"/>
        </w:rPr>
        <w:t xml:space="preserve">First-tier Judge </w:t>
      </w:r>
      <w:proofErr w:type="spellStart"/>
      <w:r w:rsidRPr="00D250D3">
        <w:rPr>
          <w:rFonts w:ascii="Book Antiqua" w:hAnsi="Book Antiqua"/>
        </w:rPr>
        <w:t>Twydell</w:t>
      </w:r>
      <w:proofErr w:type="spellEnd"/>
      <w:r w:rsidRPr="00D250D3">
        <w:rPr>
          <w:rFonts w:ascii="Book Antiqua" w:hAnsi="Book Antiqua"/>
        </w:rPr>
        <w:t xml:space="preserve"> </w:t>
      </w:r>
      <w:bookmarkEnd w:id="5"/>
      <w:r w:rsidR="00D66A54" w:rsidRPr="00D250D3">
        <w:rPr>
          <w:rFonts w:ascii="Book Antiqua" w:hAnsi="Book Antiqua"/>
        </w:rPr>
        <w:t xml:space="preserve">at paragraph 25 refers to the appellant entering the United Kingdom on a visit Visa rather than a spousal Visa. The judge then concluded from this that the appellant and her husband had not lived together permanently in the United Kingdom because of her work outside and therefore she did not satisfy E-LTRP.1.10. Both representatives are in agreement that the judge has misinterpreted this provision which involves a forward-looking approach. I would agree with this. Consequently, the conclusion that she did not meet the relationship requirement towards her partner was incorrect. </w:t>
      </w:r>
      <w:r w:rsidR="00D250D3">
        <w:rPr>
          <w:rFonts w:ascii="Book Antiqua" w:hAnsi="Book Antiqua"/>
        </w:rPr>
        <w:t xml:space="preserve">Therefore, the conclusion that the eligibility requirements were not met was erroneous. </w:t>
      </w:r>
      <w:r w:rsidR="00D66A54" w:rsidRPr="00D250D3">
        <w:rPr>
          <w:rFonts w:ascii="Book Antiqua" w:hAnsi="Book Antiqua"/>
        </w:rPr>
        <w:t xml:space="preserve">What the rule requires is a forward-looking approach as to their future intention. </w:t>
      </w:r>
    </w:p>
    <w:p w14:paraId="068056B6" w14:textId="77777777" w:rsidR="00D250D3" w:rsidRDefault="00D250D3" w:rsidP="00D250D3">
      <w:pPr>
        <w:pStyle w:val="ListParagraph"/>
        <w:rPr>
          <w:rFonts w:ascii="Book Antiqua" w:hAnsi="Book Antiqua"/>
          <w:u w:val="single"/>
        </w:rPr>
      </w:pPr>
    </w:p>
    <w:p w14:paraId="048B4815" w14:textId="77777777" w:rsidR="00201CF7" w:rsidRDefault="00BD66B3" w:rsidP="002335AB">
      <w:pPr>
        <w:numPr>
          <w:ilvl w:val="0"/>
          <w:numId w:val="38"/>
        </w:numPr>
        <w:rPr>
          <w:rFonts w:ascii="Book Antiqua" w:hAnsi="Book Antiqua"/>
        </w:rPr>
      </w:pPr>
      <w:r>
        <w:rPr>
          <w:rFonts w:ascii="Book Antiqua" w:hAnsi="Book Antiqua"/>
        </w:rPr>
        <w:t xml:space="preserve">EX 1 applies where the person has a genuine and subsisting parental relationship with a British child as is accepted here. The test then is whether it would be reasonable to expect the child to leave the United Kingdom. A further head relates to a genuine relationship with a partner who is a British citizen and there are insurmountable obstacles to family life continuing outside the United Kingdom. Again, there is no dispute as to the genuineness of the relationship. </w:t>
      </w:r>
    </w:p>
    <w:p w14:paraId="6E58F770" w14:textId="77777777" w:rsidR="00201CF7" w:rsidRDefault="00201CF7" w:rsidP="00201CF7">
      <w:pPr>
        <w:pStyle w:val="ListParagraph"/>
        <w:rPr>
          <w:rFonts w:ascii="Book Antiqua" w:hAnsi="Book Antiqua"/>
        </w:rPr>
      </w:pPr>
    </w:p>
    <w:p w14:paraId="66196B29" w14:textId="77777777" w:rsidR="00D250D3" w:rsidRDefault="00201CF7" w:rsidP="002335AB">
      <w:pPr>
        <w:numPr>
          <w:ilvl w:val="0"/>
          <w:numId w:val="38"/>
        </w:numPr>
        <w:rPr>
          <w:rFonts w:ascii="Book Antiqua" w:hAnsi="Book Antiqua"/>
        </w:rPr>
      </w:pPr>
      <w:r w:rsidRPr="00D250D3">
        <w:rPr>
          <w:rFonts w:ascii="Book Antiqua" w:hAnsi="Book Antiqua"/>
        </w:rPr>
        <w:t>The refusal letter concluded that EX 1 did not apply because</w:t>
      </w:r>
      <w:r>
        <w:rPr>
          <w:rFonts w:ascii="Book Antiqua" w:hAnsi="Book Antiqua"/>
        </w:rPr>
        <w:t xml:space="preserve"> the eligibility requirements were not met. However, this was premised upon the view taken of the relationship. </w:t>
      </w:r>
      <w:r w:rsidR="00BD66B3">
        <w:rPr>
          <w:rFonts w:ascii="Book Antiqua" w:hAnsi="Book Antiqua"/>
        </w:rPr>
        <w:t xml:space="preserve">There is a difficulty for the appellant </w:t>
      </w:r>
      <w:r w:rsidR="0038514C">
        <w:rPr>
          <w:rFonts w:ascii="Book Antiqua" w:hAnsi="Book Antiqua"/>
        </w:rPr>
        <w:t xml:space="preserve">however </w:t>
      </w:r>
      <w:r w:rsidR="00BD66B3">
        <w:rPr>
          <w:rFonts w:ascii="Book Antiqua" w:hAnsi="Book Antiqua"/>
        </w:rPr>
        <w:t>under the immigration status requirements in that she made the application why she had a valid visit Visa. Consequently E-LTRP.2.1 applies.</w:t>
      </w:r>
    </w:p>
    <w:p w14:paraId="7830FE40" w14:textId="77777777" w:rsidR="00C75758" w:rsidRDefault="00C75758" w:rsidP="00C75758">
      <w:pPr>
        <w:pStyle w:val="ListParagraph"/>
        <w:rPr>
          <w:rFonts w:ascii="Book Antiqua" w:hAnsi="Book Antiqua"/>
        </w:rPr>
      </w:pPr>
    </w:p>
    <w:p w14:paraId="0A96CED8" w14:textId="77777777" w:rsidR="00661C94" w:rsidRDefault="00AC38BC" w:rsidP="002335AB">
      <w:pPr>
        <w:numPr>
          <w:ilvl w:val="0"/>
          <w:numId w:val="38"/>
        </w:numPr>
        <w:rPr>
          <w:rFonts w:ascii="Book Antiqua" w:hAnsi="Book Antiqua"/>
        </w:rPr>
      </w:pPr>
      <w:r>
        <w:rPr>
          <w:rFonts w:ascii="Book Antiqua" w:hAnsi="Book Antiqua"/>
        </w:rPr>
        <w:t xml:space="preserve">Appendix FM with its interrelated provisions and difficult referencing system does not make a judge’s task easy. </w:t>
      </w:r>
      <w:r w:rsidR="00FA3F52">
        <w:rPr>
          <w:rFonts w:ascii="Book Antiqua" w:hAnsi="Book Antiqua"/>
        </w:rPr>
        <w:t xml:space="preserve">This is so in determining when EX1 applies. Although the eligibility issue in relation to intention is resolved the remaining difficulty for the appellant is that she is here as a </w:t>
      </w:r>
      <w:r w:rsidR="00661C94">
        <w:rPr>
          <w:rFonts w:ascii="Book Antiqua" w:hAnsi="Book Antiqua"/>
        </w:rPr>
        <w:t>visitor. On my reading she cannot benefit from EX1 because of this.</w:t>
      </w:r>
    </w:p>
    <w:p w14:paraId="5689F608" w14:textId="77777777" w:rsidR="00661C94" w:rsidRDefault="00661C94" w:rsidP="00661C94">
      <w:pPr>
        <w:pStyle w:val="ListParagraph"/>
        <w:rPr>
          <w:rFonts w:ascii="Book Antiqua" w:hAnsi="Book Antiqua"/>
        </w:rPr>
      </w:pPr>
    </w:p>
    <w:p w14:paraId="05B06847" w14:textId="6921B0C1" w:rsidR="00661C94" w:rsidRDefault="00661C94" w:rsidP="004A46B0">
      <w:pPr>
        <w:numPr>
          <w:ilvl w:val="0"/>
          <w:numId w:val="38"/>
        </w:numPr>
        <w:rPr>
          <w:rFonts w:ascii="Book Antiqua" w:hAnsi="Book Antiqua"/>
        </w:rPr>
      </w:pPr>
      <w:r w:rsidRPr="00201CF7">
        <w:rPr>
          <w:rFonts w:ascii="Book Antiqua" w:hAnsi="Book Antiqua"/>
        </w:rPr>
        <w:t>On</w:t>
      </w:r>
      <w:r w:rsidR="00AC38BC" w:rsidRPr="00201CF7">
        <w:rPr>
          <w:rFonts w:ascii="Book Antiqua" w:hAnsi="Book Antiqua"/>
        </w:rPr>
        <w:t xml:space="preserve"> appeal the grounds relate to article 8</w:t>
      </w:r>
      <w:r w:rsidRPr="00201CF7">
        <w:rPr>
          <w:rFonts w:ascii="Book Antiqua" w:hAnsi="Book Antiqua"/>
        </w:rPr>
        <w:t>.</w:t>
      </w:r>
      <w:r w:rsidR="007532FC">
        <w:rPr>
          <w:rFonts w:ascii="Book Antiqua" w:hAnsi="Book Antiqua"/>
        </w:rPr>
        <w:t xml:space="preserve">  </w:t>
      </w:r>
      <w:r w:rsidRPr="00201CF7">
        <w:rPr>
          <w:rFonts w:ascii="Book Antiqua" w:hAnsi="Book Antiqua"/>
        </w:rPr>
        <w:t>At</w:t>
      </w:r>
      <w:r w:rsidR="00AC38BC" w:rsidRPr="00201CF7">
        <w:rPr>
          <w:rFonts w:ascii="Book Antiqua" w:hAnsi="Book Antiqua"/>
        </w:rPr>
        <w:t xml:space="preserve"> 1</w:t>
      </w:r>
      <w:r w:rsidR="00AC38BC" w:rsidRPr="00201CF7">
        <w:rPr>
          <w:rFonts w:ascii="Book Antiqua" w:hAnsi="Book Antiqua"/>
          <w:vertAlign w:val="superscript"/>
        </w:rPr>
        <w:t>st</w:t>
      </w:r>
      <w:r w:rsidR="00AC38BC" w:rsidRPr="00201CF7">
        <w:rPr>
          <w:rFonts w:ascii="Book Antiqua" w:hAnsi="Book Antiqua"/>
        </w:rPr>
        <w:t xml:space="preserve"> instance </w:t>
      </w:r>
      <w:r w:rsidRPr="00201CF7">
        <w:rPr>
          <w:rFonts w:ascii="Book Antiqua" w:hAnsi="Book Antiqua"/>
        </w:rPr>
        <w:t xml:space="preserve">matters must </w:t>
      </w:r>
      <w:r w:rsidR="00AC38BC" w:rsidRPr="00201CF7">
        <w:rPr>
          <w:rFonts w:ascii="Book Antiqua" w:hAnsi="Book Antiqua"/>
        </w:rPr>
        <w:t>be considered through the prism of the rules. However</w:t>
      </w:r>
      <w:r w:rsidRPr="00201CF7">
        <w:rPr>
          <w:rFonts w:ascii="Book Antiqua" w:hAnsi="Book Antiqua"/>
        </w:rPr>
        <w:t>,</w:t>
      </w:r>
      <w:r w:rsidR="00AC38BC" w:rsidRPr="00201CF7">
        <w:rPr>
          <w:rFonts w:ascii="Book Antiqua" w:hAnsi="Book Antiqua"/>
        </w:rPr>
        <w:t xml:space="preserve"> that is not the end of the matter. </w:t>
      </w:r>
    </w:p>
    <w:p w14:paraId="5B9D1753" w14:textId="77777777" w:rsidR="00201CF7" w:rsidRPr="00201CF7" w:rsidRDefault="00201CF7" w:rsidP="00201CF7">
      <w:pPr>
        <w:rPr>
          <w:rFonts w:ascii="Book Antiqua" w:hAnsi="Book Antiqua"/>
        </w:rPr>
      </w:pPr>
    </w:p>
    <w:p w14:paraId="3494B973" w14:textId="77777777" w:rsidR="00B25931" w:rsidRDefault="00B25931" w:rsidP="002335AB">
      <w:pPr>
        <w:numPr>
          <w:ilvl w:val="0"/>
          <w:numId w:val="38"/>
        </w:numPr>
        <w:rPr>
          <w:rFonts w:ascii="Book Antiqua" w:hAnsi="Book Antiqua"/>
        </w:rPr>
      </w:pPr>
      <w:r>
        <w:rPr>
          <w:rFonts w:ascii="Book Antiqua" w:hAnsi="Book Antiqua"/>
        </w:rPr>
        <w:t xml:space="preserve"> The appellant’s husband and children are British. There is nothing to suggest the relationship is anything but genuine and subsisting. The applicable guidance to caseworkers a</w:t>
      </w:r>
      <w:r w:rsidR="00661C94">
        <w:rPr>
          <w:rFonts w:ascii="Book Antiqua" w:hAnsi="Book Antiqua"/>
        </w:rPr>
        <w:t>pplicable a</w:t>
      </w:r>
      <w:r>
        <w:rPr>
          <w:rFonts w:ascii="Book Antiqua" w:hAnsi="Book Antiqua"/>
        </w:rPr>
        <w:t xml:space="preserve">t the time at 11.2.3 considered the reasonableness of expecting a British child to leave the United Kingdom. It states that where the decision would require a parent or primary carer to go outside the EU then the case must be assessed on the basis it would be unreasonable. </w:t>
      </w:r>
      <w:r w:rsidR="00661C94">
        <w:rPr>
          <w:rFonts w:ascii="Book Antiqua" w:hAnsi="Book Antiqua"/>
        </w:rPr>
        <w:t>The judge had found that it was in the children’s best interests for them to be with both parents. The judge recorded their progress at school. They have no direct experience of living in Sri Lanka. All of course are British citizens. The judge referred to such a move meaning the direct contact with their grandparents would end.</w:t>
      </w:r>
    </w:p>
    <w:p w14:paraId="489B32A4" w14:textId="77777777" w:rsidR="00661C94" w:rsidRDefault="00661C94" w:rsidP="00661C94">
      <w:pPr>
        <w:rPr>
          <w:rFonts w:ascii="Book Antiqua" w:hAnsi="Book Antiqua"/>
        </w:rPr>
      </w:pPr>
    </w:p>
    <w:p w14:paraId="04F28A75" w14:textId="1C23F9C7" w:rsidR="00B25931" w:rsidRDefault="00B25931" w:rsidP="002335AB">
      <w:pPr>
        <w:numPr>
          <w:ilvl w:val="0"/>
          <w:numId w:val="38"/>
        </w:numPr>
        <w:rPr>
          <w:rFonts w:ascii="Book Antiqua" w:hAnsi="Book Antiqua"/>
        </w:rPr>
      </w:pPr>
      <w:r>
        <w:rPr>
          <w:rFonts w:ascii="Book Antiqua" w:hAnsi="Book Antiqua"/>
        </w:rPr>
        <w:t>The alternative is for the appellant to leave and the children remain with their father while she makes a further application. The success of such an application cannot be guaranteed. However</w:t>
      </w:r>
      <w:r w:rsidR="00661C94">
        <w:rPr>
          <w:rFonts w:ascii="Book Antiqua" w:hAnsi="Book Antiqua"/>
        </w:rPr>
        <w:t>,</w:t>
      </w:r>
      <w:r>
        <w:rPr>
          <w:rFonts w:ascii="Book Antiqua" w:hAnsi="Book Antiqua"/>
        </w:rPr>
        <w:t xml:space="preserve"> the primary objection originally related to an intention to live permanently in the United Kingdom and I find this is no longer an issue. On this basis i</w:t>
      </w:r>
      <w:r w:rsidR="00661C94">
        <w:rPr>
          <w:rFonts w:ascii="Book Antiqua" w:hAnsi="Book Antiqua"/>
        </w:rPr>
        <w:t>t is</w:t>
      </w:r>
      <w:r>
        <w:rPr>
          <w:rFonts w:ascii="Book Antiqua" w:hAnsi="Book Antiqua"/>
        </w:rPr>
        <w:t xml:space="preserve"> my conclusion </w:t>
      </w:r>
      <w:r w:rsidR="00661C94">
        <w:rPr>
          <w:rFonts w:ascii="Book Antiqua" w:hAnsi="Book Antiqua"/>
        </w:rPr>
        <w:t xml:space="preserve">when all the family circumstances are taken into account </w:t>
      </w:r>
      <w:r w:rsidR="00900557">
        <w:rPr>
          <w:rFonts w:ascii="Book Antiqua" w:hAnsi="Book Antiqua"/>
        </w:rPr>
        <w:t xml:space="preserve">and the grounds for refusal analysed </w:t>
      </w:r>
      <w:r>
        <w:rPr>
          <w:rFonts w:ascii="Book Antiqua" w:hAnsi="Book Antiqua"/>
        </w:rPr>
        <w:t>it would be disproportionate to expect the appellant to leave and reapply. This conclusion would also be consistent with section 117 B (6).</w:t>
      </w:r>
    </w:p>
    <w:p w14:paraId="67B66BEA" w14:textId="77777777" w:rsidR="00B25931" w:rsidRDefault="00B25931" w:rsidP="00B25931">
      <w:pPr>
        <w:ind w:left="720"/>
        <w:rPr>
          <w:rFonts w:ascii="Book Antiqua" w:hAnsi="Book Antiqua"/>
        </w:rPr>
      </w:pPr>
    </w:p>
    <w:p w14:paraId="5C56DFCD" w14:textId="0C753134" w:rsidR="00C75758" w:rsidRDefault="00B25931" w:rsidP="002335AB">
      <w:pPr>
        <w:numPr>
          <w:ilvl w:val="0"/>
          <w:numId w:val="38"/>
        </w:numPr>
        <w:rPr>
          <w:rFonts w:ascii="Book Antiqua" w:hAnsi="Book Antiqua"/>
        </w:rPr>
      </w:pPr>
      <w:r>
        <w:rPr>
          <w:rFonts w:ascii="Book Antiqua" w:hAnsi="Book Antiqua"/>
        </w:rPr>
        <w:t xml:space="preserve">In conclusion </w:t>
      </w:r>
      <w:proofErr w:type="gramStart"/>
      <w:r>
        <w:rPr>
          <w:rFonts w:ascii="Book Antiqua" w:hAnsi="Book Antiqua"/>
        </w:rPr>
        <w:t>therefore</w:t>
      </w:r>
      <w:proofErr w:type="gramEnd"/>
      <w:r>
        <w:rPr>
          <w:rFonts w:ascii="Book Antiqua" w:hAnsi="Book Antiqua"/>
        </w:rPr>
        <w:t xml:space="preserve"> I find that </w:t>
      </w:r>
      <w:bookmarkStart w:id="6" w:name="_Hlk520223603"/>
      <w:r>
        <w:rPr>
          <w:rFonts w:ascii="Book Antiqua" w:hAnsi="Book Antiqua"/>
        </w:rPr>
        <w:t xml:space="preserve">the decision of </w:t>
      </w:r>
      <w:r w:rsidRPr="00D250D3">
        <w:rPr>
          <w:rFonts w:ascii="Book Antiqua" w:hAnsi="Book Antiqua"/>
        </w:rPr>
        <w:t xml:space="preserve">First-tier Judge </w:t>
      </w:r>
      <w:proofErr w:type="spellStart"/>
      <w:r w:rsidRPr="00D250D3">
        <w:rPr>
          <w:rFonts w:ascii="Book Antiqua" w:hAnsi="Book Antiqua"/>
        </w:rPr>
        <w:t>Twydell</w:t>
      </w:r>
      <w:proofErr w:type="spellEnd"/>
      <w:r w:rsidRPr="00D250D3">
        <w:rPr>
          <w:rFonts w:ascii="Book Antiqua" w:hAnsi="Book Antiqua"/>
        </w:rPr>
        <w:t xml:space="preserve"> </w:t>
      </w:r>
      <w:r>
        <w:rPr>
          <w:rFonts w:ascii="Book Antiqua" w:hAnsi="Book Antiqua"/>
        </w:rPr>
        <w:t>materially errs in law and cannot stand</w:t>
      </w:r>
      <w:bookmarkEnd w:id="6"/>
      <w:r>
        <w:rPr>
          <w:rFonts w:ascii="Book Antiqua" w:hAnsi="Book Antiqua"/>
        </w:rPr>
        <w:t xml:space="preserve">. </w:t>
      </w:r>
      <w:bookmarkStart w:id="7" w:name="_Hlk520223638"/>
      <w:r>
        <w:rPr>
          <w:rFonts w:ascii="Book Antiqua" w:hAnsi="Book Antiqua"/>
        </w:rPr>
        <w:t>I would remake the decision allowing the appeal</w:t>
      </w:r>
      <w:r w:rsidR="00201CF7">
        <w:rPr>
          <w:rFonts w:ascii="Book Antiqua" w:hAnsi="Book Antiqua"/>
        </w:rPr>
        <w:t>.</w:t>
      </w:r>
    </w:p>
    <w:bookmarkEnd w:id="7"/>
    <w:p w14:paraId="0BD4959D" w14:textId="77777777" w:rsidR="00201CF7" w:rsidRDefault="00201CF7" w:rsidP="00201CF7">
      <w:pPr>
        <w:pStyle w:val="ListParagraph"/>
        <w:rPr>
          <w:rFonts w:ascii="Book Antiqua" w:hAnsi="Book Antiqua"/>
        </w:rPr>
      </w:pPr>
    </w:p>
    <w:p w14:paraId="757C6F37" w14:textId="77777777" w:rsidR="00201CF7" w:rsidRDefault="00201CF7" w:rsidP="00201CF7">
      <w:pPr>
        <w:rPr>
          <w:rFonts w:ascii="Book Antiqua" w:hAnsi="Book Antiqua"/>
          <w:u w:val="single"/>
        </w:rPr>
      </w:pPr>
      <w:r w:rsidRPr="004E2A1F">
        <w:rPr>
          <w:rFonts w:ascii="Book Antiqua" w:hAnsi="Book Antiqua"/>
          <w:u w:val="single"/>
        </w:rPr>
        <w:t>Decision.</w:t>
      </w:r>
    </w:p>
    <w:p w14:paraId="41C38040" w14:textId="77777777" w:rsidR="004E2A1F" w:rsidRPr="004E2A1F" w:rsidRDefault="004E2A1F" w:rsidP="00201CF7">
      <w:pPr>
        <w:rPr>
          <w:rFonts w:ascii="Book Antiqua" w:hAnsi="Book Antiqua"/>
          <w:u w:val="single"/>
        </w:rPr>
      </w:pPr>
    </w:p>
    <w:p w14:paraId="041BE70D" w14:textId="68418E6A" w:rsidR="004E2A1F" w:rsidRDefault="004E2A1F" w:rsidP="004E2A1F">
      <w:pPr>
        <w:numPr>
          <w:ilvl w:val="0"/>
          <w:numId w:val="38"/>
        </w:numPr>
        <w:rPr>
          <w:rFonts w:ascii="Book Antiqua" w:hAnsi="Book Antiqua"/>
        </w:rPr>
      </w:pPr>
      <w:r>
        <w:rPr>
          <w:rFonts w:ascii="Book Antiqua" w:hAnsi="Book Antiqua"/>
        </w:rPr>
        <w:t xml:space="preserve">The decision of </w:t>
      </w:r>
      <w:r w:rsidRPr="00D250D3">
        <w:rPr>
          <w:rFonts w:ascii="Book Antiqua" w:hAnsi="Book Antiqua"/>
        </w:rPr>
        <w:t xml:space="preserve">First-tier Judge </w:t>
      </w:r>
      <w:proofErr w:type="spellStart"/>
      <w:r w:rsidRPr="00D250D3">
        <w:rPr>
          <w:rFonts w:ascii="Book Antiqua" w:hAnsi="Book Antiqua"/>
        </w:rPr>
        <w:t>Twydell</w:t>
      </w:r>
      <w:proofErr w:type="spellEnd"/>
      <w:r w:rsidRPr="00D250D3">
        <w:rPr>
          <w:rFonts w:ascii="Book Antiqua" w:hAnsi="Book Antiqua"/>
        </w:rPr>
        <w:t xml:space="preserve"> </w:t>
      </w:r>
      <w:r>
        <w:rPr>
          <w:rFonts w:ascii="Book Antiqua" w:hAnsi="Book Antiqua"/>
        </w:rPr>
        <w:t>materially errs in law and cannot stand.</w:t>
      </w:r>
      <w:r w:rsidRPr="004E2A1F">
        <w:rPr>
          <w:rFonts w:ascii="Book Antiqua" w:hAnsi="Book Antiqua"/>
        </w:rPr>
        <w:t xml:space="preserve"> </w:t>
      </w:r>
      <w:r>
        <w:rPr>
          <w:rFonts w:ascii="Book Antiqua" w:hAnsi="Book Antiqua"/>
        </w:rPr>
        <w:t>I remake the decision allowing the appeal.</w:t>
      </w:r>
    </w:p>
    <w:p w14:paraId="3D7BA25C" w14:textId="0EC13FE2" w:rsidR="005C5251" w:rsidRDefault="005C5251" w:rsidP="005C5251">
      <w:pPr>
        <w:ind w:left="720"/>
        <w:rPr>
          <w:rFonts w:ascii="Book Antiqua" w:hAnsi="Book Antiqua"/>
        </w:rPr>
      </w:pPr>
    </w:p>
    <w:p w14:paraId="26BC824B" w14:textId="77777777" w:rsidR="007532FC" w:rsidRDefault="007532FC" w:rsidP="005C5251">
      <w:pPr>
        <w:ind w:left="720"/>
        <w:rPr>
          <w:rFonts w:ascii="Book Antiqua" w:hAnsi="Book Antiqua"/>
        </w:rPr>
      </w:pPr>
    </w:p>
    <w:p w14:paraId="4B106595" w14:textId="77777777" w:rsidR="005C5251" w:rsidRPr="00275CE3" w:rsidRDefault="005C5251" w:rsidP="005C5251">
      <w:pPr>
        <w:rPr>
          <w:rFonts w:ascii="Segoe Script" w:hAnsi="Segoe Script" w:cs="MV Boli"/>
          <w:i/>
        </w:rPr>
      </w:pPr>
      <w:r w:rsidRPr="00275CE3">
        <w:rPr>
          <w:rFonts w:ascii="Segoe Script" w:hAnsi="Segoe Script" w:cs="MV Boli"/>
          <w:i/>
        </w:rPr>
        <w:t xml:space="preserve">Francis J </w:t>
      </w:r>
      <w:proofErr w:type="spellStart"/>
      <w:r w:rsidRPr="00275CE3">
        <w:rPr>
          <w:rFonts w:ascii="Segoe Script" w:hAnsi="Segoe Script" w:cs="MV Boli"/>
          <w:i/>
        </w:rPr>
        <w:t>Farrelly</w:t>
      </w:r>
      <w:proofErr w:type="spellEnd"/>
    </w:p>
    <w:p w14:paraId="4F15EDE1" w14:textId="77777777" w:rsidR="005C5251" w:rsidRPr="00275CE3" w:rsidRDefault="005C5251" w:rsidP="005C5251">
      <w:pPr>
        <w:rPr>
          <w:rFonts w:ascii="Segoe UI Historic" w:hAnsi="Segoe UI Historic" w:cs="Segoe UI Historic"/>
          <w:i/>
        </w:rPr>
      </w:pPr>
    </w:p>
    <w:p w14:paraId="1753A808" w14:textId="77777777" w:rsidR="005C5251" w:rsidRPr="00B26028" w:rsidRDefault="005C5251" w:rsidP="005C5251">
      <w:pPr>
        <w:rPr>
          <w:rFonts w:ascii="Book Antiqua" w:hAnsi="Book Antiqua"/>
          <w:u w:val="single"/>
        </w:rPr>
      </w:pPr>
      <w:r w:rsidRPr="00B26028">
        <w:rPr>
          <w:rFonts w:ascii="Book Antiqua" w:hAnsi="Book Antiqua"/>
        </w:rPr>
        <w:t>Deputy Upper Tribunal Judge</w:t>
      </w:r>
    </w:p>
    <w:p w14:paraId="7F6205D5" w14:textId="77777777" w:rsidR="005C5251" w:rsidRDefault="005C5251" w:rsidP="005C5251">
      <w:pPr>
        <w:ind w:left="720"/>
        <w:rPr>
          <w:rFonts w:ascii="Book Antiqua" w:hAnsi="Book Antiqua"/>
        </w:rPr>
      </w:pPr>
    </w:p>
    <w:p w14:paraId="6E86AECB" w14:textId="1A6FDBBD" w:rsidR="00E639A5" w:rsidRDefault="00E639A5" w:rsidP="00444DE7">
      <w:pPr>
        <w:rPr>
          <w:rFonts w:ascii="Book Antiqua" w:hAnsi="Book Antiqua"/>
          <w:u w:val="single"/>
        </w:rPr>
      </w:pPr>
    </w:p>
    <w:p w14:paraId="504DAB64" w14:textId="77777777" w:rsidR="007532FC" w:rsidRDefault="007532FC" w:rsidP="00444DE7">
      <w:pPr>
        <w:rPr>
          <w:rFonts w:ascii="Book Antiqua" w:hAnsi="Book Antiqua"/>
          <w:u w:val="single"/>
        </w:rPr>
      </w:pPr>
    </w:p>
    <w:p w14:paraId="3FEC89AC" w14:textId="77777777" w:rsidR="00E639A5" w:rsidRDefault="00CF140D" w:rsidP="00444DE7">
      <w:pPr>
        <w:rPr>
          <w:rFonts w:ascii="Book Antiqua" w:hAnsi="Book Antiqua"/>
          <w:u w:val="single"/>
        </w:rPr>
      </w:pPr>
      <w:r>
        <w:rPr>
          <w:rFonts w:ascii="Book Antiqua" w:hAnsi="Book Antiqua"/>
          <w:u w:val="single"/>
        </w:rPr>
        <w:t>Fee order</w:t>
      </w:r>
    </w:p>
    <w:p w14:paraId="706A62EC" w14:textId="77777777" w:rsidR="00CF140D" w:rsidRDefault="00CF140D" w:rsidP="00444DE7">
      <w:pPr>
        <w:rPr>
          <w:rFonts w:ascii="Book Antiqua" w:hAnsi="Book Antiqua"/>
          <w:u w:val="single"/>
        </w:rPr>
      </w:pPr>
    </w:p>
    <w:p w14:paraId="3C61F6F7" w14:textId="77777777" w:rsidR="000A20FA" w:rsidRDefault="00CF140D" w:rsidP="00444DE7">
      <w:r>
        <w:rPr>
          <w:rFonts w:ascii="Book Antiqua" w:hAnsi="Book Antiqua"/>
        </w:rPr>
        <w:t>Although the appeal has now succeeded following further argument I see no reason for changing the original no fee award.</w:t>
      </w:r>
    </w:p>
    <w:p w14:paraId="154C25B2" w14:textId="77777777" w:rsidR="000A20FA" w:rsidRDefault="000A20FA" w:rsidP="00444DE7"/>
    <w:sectPr w:rsidR="000A20FA" w:rsidSect="007532FC">
      <w:headerReference w:type="default" r:id="rId9"/>
      <w:footerReference w:type="even" r:id="rId10"/>
      <w:footerReference w:type="default" r:id="rId11"/>
      <w:footerReference w:type="first" r:id="rId12"/>
      <w:pgSz w:w="11907" w:h="16840" w:code="9"/>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0EC73" w14:textId="77777777" w:rsidR="001D61D5" w:rsidRDefault="001D61D5">
      <w:r>
        <w:separator/>
      </w:r>
    </w:p>
  </w:endnote>
  <w:endnote w:type="continuationSeparator" w:id="0">
    <w:p w14:paraId="2A78FE3C" w14:textId="77777777" w:rsidR="001D61D5" w:rsidRDefault="001D6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39B3F" w14:textId="77777777"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C77816" w14:textId="77777777"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0D902" w14:textId="0B08F304" w:rsidR="00784C42" w:rsidRPr="007532FC" w:rsidRDefault="00784C42" w:rsidP="003A3626">
    <w:pPr>
      <w:pStyle w:val="Footer"/>
      <w:framePr w:wrap="around" w:vAnchor="text" w:hAnchor="margin" w:xAlign="right" w:y="1"/>
      <w:rPr>
        <w:rStyle w:val="PageNumber"/>
        <w:rFonts w:ascii="Book Antiqua" w:hAnsi="Book Antiqua"/>
        <w:sz w:val="20"/>
        <w:szCs w:val="20"/>
      </w:rPr>
    </w:pPr>
    <w:r w:rsidRPr="007532FC">
      <w:rPr>
        <w:rStyle w:val="PageNumber"/>
        <w:rFonts w:ascii="Book Antiqua" w:hAnsi="Book Antiqua"/>
        <w:sz w:val="20"/>
        <w:szCs w:val="20"/>
      </w:rPr>
      <w:fldChar w:fldCharType="begin"/>
    </w:r>
    <w:r w:rsidRPr="007532FC">
      <w:rPr>
        <w:rStyle w:val="PageNumber"/>
        <w:rFonts w:ascii="Book Antiqua" w:hAnsi="Book Antiqua"/>
        <w:sz w:val="20"/>
        <w:szCs w:val="20"/>
      </w:rPr>
      <w:instrText xml:space="preserve">PAGE  </w:instrText>
    </w:r>
    <w:r w:rsidRPr="007532FC">
      <w:rPr>
        <w:rStyle w:val="PageNumber"/>
        <w:rFonts w:ascii="Book Antiqua" w:hAnsi="Book Antiqua"/>
        <w:sz w:val="20"/>
        <w:szCs w:val="20"/>
      </w:rPr>
      <w:fldChar w:fldCharType="separate"/>
    </w:r>
    <w:r w:rsidR="00B85D9D">
      <w:rPr>
        <w:rStyle w:val="PageNumber"/>
        <w:rFonts w:ascii="Book Antiqua" w:hAnsi="Book Antiqua"/>
        <w:noProof/>
        <w:sz w:val="20"/>
        <w:szCs w:val="20"/>
      </w:rPr>
      <w:t>5</w:t>
    </w:r>
    <w:r w:rsidRPr="007532FC">
      <w:rPr>
        <w:rStyle w:val="PageNumber"/>
        <w:rFonts w:ascii="Book Antiqua" w:hAnsi="Book Antiqua"/>
        <w:sz w:val="20"/>
        <w:szCs w:val="20"/>
      </w:rPr>
      <w:fldChar w:fldCharType="end"/>
    </w:r>
  </w:p>
  <w:p w14:paraId="79A1E130" w14:textId="3E07C22B" w:rsidR="00784C42" w:rsidRPr="007532FC" w:rsidRDefault="00784C42" w:rsidP="007532FC">
    <w:pPr>
      <w:pStyle w:val="Footer"/>
      <w:ind w:right="360"/>
      <w:jc w:val="center"/>
      <w:rPr>
        <w:rFonts w:ascii="Book Antiqua" w:hAnsi="Book Antiqua"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6BFB" w14:textId="63E9E145" w:rsidR="007532FC" w:rsidRPr="007532FC" w:rsidRDefault="0029354E" w:rsidP="007532FC">
    <w:pPr>
      <w:pStyle w:val="Footer"/>
      <w:ind w:right="360"/>
      <w:jc w:val="center"/>
      <w:rPr>
        <w:rFonts w:ascii="Book Antiqua" w:hAnsi="Book Antiqua" w:cs="Arial"/>
        <w:b/>
      </w:rPr>
    </w:pPr>
    <w:r>
      <w:rPr>
        <w:rStyle w:val="PageNumber"/>
        <w:rFonts w:ascii="Book Antiqua" w:hAnsi="Book Antiqua" w:cs="Arial"/>
        <w:b/>
      </w:rPr>
      <w:t xml:space="preserve">© </w:t>
    </w:r>
    <w:r w:rsidR="007532FC" w:rsidRPr="007532FC">
      <w:rPr>
        <w:rStyle w:val="PageNumber"/>
        <w:rFonts w:ascii="Book Antiqua" w:hAnsi="Book Antiqua" w:cs="Arial"/>
        <w:b/>
      </w:rPr>
      <w:t>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7D60D" w14:textId="77777777" w:rsidR="001D61D5" w:rsidRDefault="001D61D5">
      <w:r>
        <w:separator/>
      </w:r>
    </w:p>
  </w:footnote>
  <w:footnote w:type="continuationSeparator" w:id="0">
    <w:p w14:paraId="4705777D" w14:textId="77777777" w:rsidR="001D61D5" w:rsidRDefault="001D6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B073F" w14:textId="57E91D2C" w:rsidR="00784C42" w:rsidRPr="007532FC" w:rsidRDefault="007532FC" w:rsidP="00593795">
    <w:pPr>
      <w:pStyle w:val="Header"/>
      <w:jc w:val="right"/>
      <w:rPr>
        <w:rFonts w:ascii="Book Antiqua" w:hAnsi="Book Antiqua" w:cs="Arial"/>
        <w:sz w:val="20"/>
        <w:szCs w:val="20"/>
      </w:rPr>
    </w:pPr>
    <w:r w:rsidRPr="007532FC">
      <w:rPr>
        <w:rFonts w:ascii="Book Antiqua" w:hAnsi="Book Antiqua"/>
        <w:sz w:val="20"/>
        <w:szCs w:val="20"/>
      </w:rPr>
      <w:t>Appeal Number: HU/08854/2016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3DCB49C6"/>
    <w:multiLevelType w:val="hybridMultilevel"/>
    <w:tmpl w:val="83221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3"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1FE1F69"/>
    <w:multiLevelType w:val="hybridMultilevel"/>
    <w:tmpl w:val="C2F25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2"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3"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4"/>
  </w:num>
  <w:num w:numId="3">
    <w:abstractNumId w:val="11"/>
  </w:num>
  <w:num w:numId="4">
    <w:abstractNumId w:val="29"/>
  </w:num>
  <w:num w:numId="5">
    <w:abstractNumId w:val="33"/>
  </w:num>
  <w:num w:numId="6">
    <w:abstractNumId w:val="0"/>
  </w:num>
  <w:num w:numId="7">
    <w:abstractNumId w:val="1"/>
  </w:num>
  <w:num w:numId="8">
    <w:abstractNumId w:val="13"/>
  </w:num>
  <w:num w:numId="9">
    <w:abstractNumId w:val="18"/>
  </w:num>
  <w:num w:numId="10">
    <w:abstractNumId w:val="37"/>
  </w:num>
  <w:num w:numId="11">
    <w:abstractNumId w:val="17"/>
  </w:num>
  <w:num w:numId="12">
    <w:abstractNumId w:val="26"/>
  </w:num>
  <w:num w:numId="13">
    <w:abstractNumId w:val="22"/>
  </w:num>
  <w:num w:numId="14">
    <w:abstractNumId w:val="36"/>
  </w:num>
  <w:num w:numId="15">
    <w:abstractNumId w:val="7"/>
  </w:num>
  <w:num w:numId="16">
    <w:abstractNumId w:val="8"/>
  </w:num>
  <w:num w:numId="17">
    <w:abstractNumId w:val="25"/>
  </w:num>
  <w:num w:numId="18">
    <w:abstractNumId w:val="34"/>
  </w:num>
  <w:num w:numId="19">
    <w:abstractNumId w:val="3"/>
  </w:num>
  <w:num w:numId="20">
    <w:abstractNumId w:val="35"/>
  </w:num>
  <w:num w:numId="21">
    <w:abstractNumId w:val="9"/>
  </w:num>
  <w:num w:numId="22">
    <w:abstractNumId w:val="23"/>
  </w:num>
  <w:num w:numId="23">
    <w:abstractNumId w:val="14"/>
  </w:num>
  <w:num w:numId="24">
    <w:abstractNumId w:val="32"/>
  </w:num>
  <w:num w:numId="25">
    <w:abstractNumId w:val="20"/>
  </w:num>
  <w:num w:numId="26">
    <w:abstractNumId w:val="12"/>
  </w:num>
  <w:num w:numId="27">
    <w:abstractNumId w:val="30"/>
  </w:num>
  <w:num w:numId="28">
    <w:abstractNumId w:val="21"/>
  </w:num>
  <w:num w:numId="29">
    <w:abstractNumId w:val="16"/>
  </w:num>
  <w:num w:numId="30">
    <w:abstractNumId w:val="27"/>
  </w:num>
  <w:num w:numId="31">
    <w:abstractNumId w:val="2"/>
  </w:num>
  <w:num w:numId="32">
    <w:abstractNumId w:val="15"/>
  </w:num>
  <w:num w:numId="33">
    <w:abstractNumId w:val="31"/>
  </w:num>
  <w:num w:numId="34">
    <w:abstractNumId w:val="4"/>
  </w:num>
  <w:num w:numId="35">
    <w:abstractNumId w:val="6"/>
  </w:num>
  <w:num w:numId="36">
    <w:abstractNumId w:val="10"/>
  </w:num>
  <w:num w:numId="37">
    <w:abstractNumId w:val="38"/>
  </w:num>
  <w:num w:numId="38">
    <w:abstractNumId w:val="19"/>
  </w:num>
  <w:num w:numId="39">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A0AE02B-C9A3-426B-819F-2410F47AD385}"/>
    <w:docVar w:name="dgnword-eventsink" w:val="438815896"/>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2ACD"/>
    <w:rsid w:val="00012F10"/>
    <w:rsid w:val="00013C9C"/>
    <w:rsid w:val="00014031"/>
    <w:rsid w:val="0001483D"/>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4FB5"/>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1D5"/>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1AC6"/>
    <w:rsid w:val="00201CF7"/>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142B"/>
    <w:rsid w:val="00255703"/>
    <w:rsid w:val="00255A05"/>
    <w:rsid w:val="0025717B"/>
    <w:rsid w:val="00260976"/>
    <w:rsid w:val="00263899"/>
    <w:rsid w:val="002639DC"/>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1F78"/>
    <w:rsid w:val="002933AA"/>
    <w:rsid w:val="0029354E"/>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ABF"/>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E03"/>
    <w:rsid w:val="0038514C"/>
    <w:rsid w:val="00385A29"/>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51C9"/>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A7749"/>
    <w:rsid w:val="004B03AF"/>
    <w:rsid w:val="004B1D2E"/>
    <w:rsid w:val="004B2138"/>
    <w:rsid w:val="004B28D0"/>
    <w:rsid w:val="004B4064"/>
    <w:rsid w:val="004B5DE3"/>
    <w:rsid w:val="004B71A7"/>
    <w:rsid w:val="004B7842"/>
    <w:rsid w:val="004B7D05"/>
    <w:rsid w:val="004C05F7"/>
    <w:rsid w:val="004C099B"/>
    <w:rsid w:val="004C17F2"/>
    <w:rsid w:val="004C325A"/>
    <w:rsid w:val="004C3525"/>
    <w:rsid w:val="004C57A0"/>
    <w:rsid w:val="004D103E"/>
    <w:rsid w:val="004D2C44"/>
    <w:rsid w:val="004D7B2F"/>
    <w:rsid w:val="004E199E"/>
    <w:rsid w:val="004E2A1F"/>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6D3"/>
    <w:rsid w:val="004F7A97"/>
    <w:rsid w:val="005006A4"/>
    <w:rsid w:val="005010F3"/>
    <w:rsid w:val="00501A64"/>
    <w:rsid w:val="00502CA5"/>
    <w:rsid w:val="00502DD0"/>
    <w:rsid w:val="00503332"/>
    <w:rsid w:val="005034D3"/>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360"/>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5251"/>
    <w:rsid w:val="005C6821"/>
    <w:rsid w:val="005C734C"/>
    <w:rsid w:val="005D0D4A"/>
    <w:rsid w:val="005D10AB"/>
    <w:rsid w:val="005D1491"/>
    <w:rsid w:val="005D2582"/>
    <w:rsid w:val="005D29A8"/>
    <w:rsid w:val="005D2D98"/>
    <w:rsid w:val="005D3C14"/>
    <w:rsid w:val="005D498C"/>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277D8"/>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C94"/>
    <w:rsid w:val="00661D38"/>
    <w:rsid w:val="0066263A"/>
    <w:rsid w:val="00662970"/>
    <w:rsid w:val="00663833"/>
    <w:rsid w:val="00663A3A"/>
    <w:rsid w:val="00664CDC"/>
    <w:rsid w:val="00665969"/>
    <w:rsid w:val="006664A5"/>
    <w:rsid w:val="00666C71"/>
    <w:rsid w:val="00667D17"/>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6B36"/>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32FC"/>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0BE5"/>
    <w:rsid w:val="007E1378"/>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5FCE"/>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0557"/>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73E"/>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03C6"/>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38BC"/>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E7E5A"/>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5931"/>
    <w:rsid w:val="00B26028"/>
    <w:rsid w:val="00B26094"/>
    <w:rsid w:val="00B26616"/>
    <w:rsid w:val="00B26801"/>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57A1"/>
    <w:rsid w:val="00B85D9D"/>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D66B3"/>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257"/>
    <w:rsid w:val="00C55F67"/>
    <w:rsid w:val="00C5743E"/>
    <w:rsid w:val="00C60041"/>
    <w:rsid w:val="00C60D73"/>
    <w:rsid w:val="00C66022"/>
    <w:rsid w:val="00C666FB"/>
    <w:rsid w:val="00C67B08"/>
    <w:rsid w:val="00C67CD0"/>
    <w:rsid w:val="00C700C2"/>
    <w:rsid w:val="00C73A5B"/>
    <w:rsid w:val="00C75645"/>
    <w:rsid w:val="00C75758"/>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140D"/>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0D3"/>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6A54"/>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3F52"/>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072"/>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8E1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HeaderChar">
    <w:name w:val="Header Char"/>
    <w:link w:val="Header"/>
    <w:uiPriority w:val="99"/>
    <w:rsid w:val="008C5F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A3AC6-9A5D-4462-8BA9-47B8F620B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1833</Words>
  <Characters>9371</Characters>
  <Application>Microsoft Office Word</Application>
  <DocSecurity>0</DocSecurity>
  <Lines>78</Lines>
  <Paragraphs>22</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2018-08-10T12:53:00Z</dcterms:created>
  <dcterms:modified xsi:type="dcterms:W3CDTF">2018-08-10T12:53:00Z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