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C19" w:rsidRPr="005A24F4" w:rsidRDefault="00453127" w:rsidP="008419CB">
      <w:pPr>
        <w:jc w:val="center"/>
        <w:rPr>
          <w:caps/>
          <w:color w:val="000000"/>
          <w:sz w:val="16"/>
          <w:szCs w:val="16"/>
        </w:rPr>
      </w:pPr>
      <w:r w:rsidRPr="005A24F4">
        <w:rPr>
          <w:noProof/>
        </w:rPr>
        <w:drawing>
          <wp:inline distT="0" distB="0" distL="0" distR="0" wp14:anchorId="3611B743" wp14:editId="60B044CD">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CB7C19" w:rsidRPr="005A24F4" w:rsidRDefault="00CB7C19" w:rsidP="008419CB">
      <w:pPr>
        <w:tabs>
          <w:tab w:val="right" w:pos="9720"/>
        </w:tabs>
        <w:rPr>
          <w:b/>
          <w:color w:val="000000"/>
        </w:rPr>
      </w:pPr>
      <w:r w:rsidRPr="005A24F4">
        <w:rPr>
          <w:b/>
          <w:color w:val="000000"/>
        </w:rPr>
        <w:t xml:space="preserve">Upper Tribunal </w:t>
      </w:r>
    </w:p>
    <w:p w:rsidR="00CB7C19" w:rsidRPr="005A24F4" w:rsidRDefault="00CB7C19" w:rsidP="008419CB">
      <w:pPr>
        <w:tabs>
          <w:tab w:val="right" w:pos="9720"/>
        </w:tabs>
        <w:rPr>
          <w:b/>
          <w:color w:val="000000"/>
        </w:rPr>
      </w:pPr>
      <w:r w:rsidRPr="005A24F4">
        <w:rPr>
          <w:b/>
          <w:color w:val="000000"/>
        </w:rPr>
        <w:t>(</w:t>
      </w:r>
      <w:r w:rsidR="008419CB" w:rsidRPr="005A24F4">
        <w:rPr>
          <w:b/>
          <w:color w:val="000000"/>
        </w:rPr>
        <w:t xml:space="preserve">Immigration and Asylum </w:t>
      </w:r>
      <w:proofErr w:type="gramStart"/>
      <w:r w:rsidR="008419CB" w:rsidRPr="005A24F4">
        <w:rPr>
          <w:b/>
          <w:color w:val="000000"/>
        </w:rPr>
        <w:t xml:space="preserve">Chamber)   </w:t>
      </w:r>
      <w:proofErr w:type="gramEnd"/>
      <w:r w:rsidR="008419CB" w:rsidRPr="005A24F4">
        <w:rPr>
          <w:b/>
          <w:color w:val="000000"/>
        </w:rPr>
        <w:t xml:space="preserve">                        </w:t>
      </w:r>
      <w:r w:rsidRPr="005A24F4">
        <w:rPr>
          <w:b/>
          <w:color w:val="000000"/>
        </w:rPr>
        <w:t xml:space="preserve">Appeal Number: </w:t>
      </w:r>
      <w:r w:rsidR="006C5230" w:rsidRPr="005A24F4">
        <w:rPr>
          <w:b/>
          <w:color w:val="000000"/>
        </w:rPr>
        <w:t>HU/09051</w:t>
      </w:r>
      <w:r w:rsidR="00B55F62" w:rsidRPr="005A24F4">
        <w:rPr>
          <w:b/>
          <w:color w:val="000000"/>
        </w:rPr>
        <w:t>/201</w:t>
      </w:r>
      <w:r w:rsidR="006C5230" w:rsidRPr="005A24F4">
        <w:rPr>
          <w:b/>
          <w:color w:val="000000"/>
        </w:rPr>
        <w:t>7</w:t>
      </w:r>
    </w:p>
    <w:p w:rsidR="00CB7C19" w:rsidRPr="005A24F4" w:rsidRDefault="00CB7C19" w:rsidP="008419CB">
      <w:pPr>
        <w:tabs>
          <w:tab w:val="right" w:pos="9720"/>
        </w:tabs>
        <w:rPr>
          <w:b/>
          <w:color w:val="000000"/>
        </w:rPr>
      </w:pPr>
      <w:r w:rsidRPr="005A24F4">
        <w:rPr>
          <w:b/>
          <w:color w:val="000000"/>
        </w:rPr>
        <w:t xml:space="preserve">                                                                                                                                                                                                                                                 </w:t>
      </w:r>
    </w:p>
    <w:p w:rsidR="00CB7C19" w:rsidRPr="005A24F4" w:rsidRDefault="00CB7C19" w:rsidP="002630D9">
      <w:pPr>
        <w:spacing w:line="360" w:lineRule="auto"/>
        <w:jc w:val="center"/>
        <w:rPr>
          <w:b/>
          <w:color w:val="000000"/>
          <w:u w:val="single"/>
        </w:rPr>
      </w:pPr>
      <w:r w:rsidRPr="005A24F4">
        <w:rPr>
          <w:b/>
          <w:color w:val="000000"/>
          <w:u w:val="single"/>
        </w:rPr>
        <w:t>THE IMMIGRATION ACTS</w:t>
      </w:r>
    </w:p>
    <w:p w:rsidR="008419CB" w:rsidRPr="005A24F4" w:rsidRDefault="008419CB" w:rsidP="008419CB">
      <w:pPr>
        <w:jc w:val="center"/>
        <w:rPr>
          <w:b/>
          <w:color w:val="000000"/>
          <w:u w:val="single"/>
        </w:rPr>
      </w:pPr>
    </w:p>
    <w:tbl>
      <w:tblPr>
        <w:tblW w:w="5000" w:type="pct"/>
        <w:tblLook w:val="01E0" w:firstRow="1" w:lastRow="1" w:firstColumn="1" w:lastColumn="1" w:noHBand="0" w:noVBand="0"/>
      </w:tblPr>
      <w:tblGrid>
        <w:gridCol w:w="4819"/>
        <w:gridCol w:w="4819"/>
      </w:tblGrid>
      <w:tr w:rsidR="00CB7C19" w:rsidRPr="005A24F4" w:rsidTr="00D92B45">
        <w:tc>
          <w:tcPr>
            <w:tcW w:w="2500" w:type="pct"/>
          </w:tcPr>
          <w:p w:rsidR="00CB7C19" w:rsidRPr="005A24F4" w:rsidRDefault="00CB7C19" w:rsidP="008419CB">
            <w:pPr>
              <w:jc w:val="both"/>
              <w:rPr>
                <w:b/>
              </w:rPr>
            </w:pPr>
            <w:r w:rsidRPr="005A24F4">
              <w:rPr>
                <w:b/>
              </w:rPr>
              <w:t>Heard at Field House</w:t>
            </w:r>
          </w:p>
        </w:tc>
        <w:tc>
          <w:tcPr>
            <w:tcW w:w="2500" w:type="pct"/>
          </w:tcPr>
          <w:p w:rsidR="00396330" w:rsidRPr="005A24F4" w:rsidRDefault="008419CB" w:rsidP="008419CB">
            <w:pPr>
              <w:rPr>
                <w:b/>
                <w:color w:val="000000"/>
              </w:rPr>
            </w:pPr>
            <w:r w:rsidRPr="005A24F4">
              <w:rPr>
                <w:b/>
                <w:color w:val="000000"/>
              </w:rPr>
              <w:t xml:space="preserve">        </w:t>
            </w:r>
            <w:r w:rsidR="00CB7C19" w:rsidRPr="005A24F4">
              <w:rPr>
                <w:b/>
                <w:color w:val="000000"/>
              </w:rPr>
              <w:t>Decision &amp; Reasons Promulgate</w:t>
            </w:r>
            <w:r w:rsidRPr="005A24F4">
              <w:rPr>
                <w:b/>
                <w:color w:val="000000"/>
              </w:rPr>
              <w:t>d</w:t>
            </w:r>
          </w:p>
        </w:tc>
      </w:tr>
      <w:tr w:rsidR="00CB7C19" w:rsidRPr="005A24F4" w:rsidTr="00D92B45">
        <w:tc>
          <w:tcPr>
            <w:tcW w:w="2500" w:type="pct"/>
          </w:tcPr>
          <w:p w:rsidR="00CB7C19" w:rsidRPr="005A24F4" w:rsidRDefault="00CB7C19" w:rsidP="008419CB">
            <w:pPr>
              <w:jc w:val="both"/>
              <w:rPr>
                <w:b/>
              </w:rPr>
            </w:pPr>
            <w:r w:rsidRPr="005A24F4">
              <w:rPr>
                <w:b/>
              </w:rPr>
              <w:t>On</w:t>
            </w:r>
            <w:r w:rsidR="006C5230" w:rsidRPr="005A24F4">
              <w:rPr>
                <w:b/>
              </w:rPr>
              <w:t xml:space="preserve"> 30</w:t>
            </w:r>
            <w:r w:rsidR="00D142FC" w:rsidRPr="005A24F4">
              <w:rPr>
                <w:b/>
              </w:rPr>
              <w:t xml:space="preserve"> July</w:t>
            </w:r>
            <w:r w:rsidRPr="005A24F4">
              <w:rPr>
                <w:b/>
              </w:rPr>
              <w:t xml:space="preserve"> 2018</w:t>
            </w:r>
            <w:r w:rsidR="00396330" w:rsidRPr="005A24F4">
              <w:rPr>
                <w:b/>
              </w:rPr>
              <w:t xml:space="preserve">                                                                                                       </w:t>
            </w:r>
          </w:p>
        </w:tc>
        <w:tc>
          <w:tcPr>
            <w:tcW w:w="2500" w:type="pct"/>
          </w:tcPr>
          <w:p w:rsidR="00CB7C19" w:rsidRPr="005A24F4" w:rsidRDefault="008419CB" w:rsidP="008419CB">
            <w:pPr>
              <w:rPr>
                <w:b/>
              </w:rPr>
            </w:pPr>
            <w:r w:rsidRPr="005A24F4">
              <w:rPr>
                <w:b/>
              </w:rPr>
              <w:t xml:space="preserve">        </w:t>
            </w:r>
            <w:r w:rsidR="00396330" w:rsidRPr="005A24F4">
              <w:rPr>
                <w:b/>
              </w:rPr>
              <w:t>On 9 August 2018</w:t>
            </w:r>
          </w:p>
        </w:tc>
      </w:tr>
      <w:tr w:rsidR="00CB7C19" w:rsidRPr="005A24F4" w:rsidTr="00D92B45">
        <w:tc>
          <w:tcPr>
            <w:tcW w:w="2500" w:type="pct"/>
          </w:tcPr>
          <w:p w:rsidR="00CB7C19" w:rsidRPr="005A24F4" w:rsidRDefault="00CB7C19" w:rsidP="002630D9">
            <w:pPr>
              <w:spacing w:line="360" w:lineRule="auto"/>
              <w:jc w:val="both"/>
              <w:rPr>
                <w:b/>
              </w:rPr>
            </w:pPr>
          </w:p>
        </w:tc>
        <w:tc>
          <w:tcPr>
            <w:tcW w:w="2500" w:type="pct"/>
          </w:tcPr>
          <w:p w:rsidR="00CB7C19" w:rsidRPr="005A24F4" w:rsidRDefault="00CB7C19" w:rsidP="00D92B45">
            <w:pPr>
              <w:spacing w:line="360" w:lineRule="auto"/>
              <w:jc w:val="right"/>
              <w:rPr>
                <w:b/>
              </w:rPr>
            </w:pPr>
          </w:p>
        </w:tc>
      </w:tr>
    </w:tbl>
    <w:p w:rsidR="00CB7C19" w:rsidRPr="005A24F4" w:rsidRDefault="00CB7C19" w:rsidP="002630D9">
      <w:pPr>
        <w:spacing w:line="360" w:lineRule="auto"/>
        <w:jc w:val="center"/>
        <w:rPr>
          <w:b/>
        </w:rPr>
      </w:pPr>
      <w:r w:rsidRPr="005A24F4">
        <w:rPr>
          <w:b/>
        </w:rPr>
        <w:t>Before</w:t>
      </w:r>
    </w:p>
    <w:p w:rsidR="006A5E43" w:rsidRPr="005A24F4" w:rsidRDefault="006A5E43" w:rsidP="006A5E43">
      <w:pPr>
        <w:jc w:val="center"/>
        <w:rPr>
          <w:b/>
        </w:rPr>
      </w:pPr>
    </w:p>
    <w:p w:rsidR="00CB7C19" w:rsidRPr="005A24F4" w:rsidRDefault="00CB7C19" w:rsidP="002630D9">
      <w:pPr>
        <w:spacing w:line="360" w:lineRule="auto"/>
        <w:jc w:val="center"/>
        <w:rPr>
          <w:b/>
          <w:color w:val="000000"/>
        </w:rPr>
      </w:pPr>
      <w:r w:rsidRPr="005A24F4">
        <w:rPr>
          <w:b/>
          <w:color w:val="000000"/>
        </w:rPr>
        <w:t>UPPER TRIBUNAL JUDGE FINCH</w:t>
      </w:r>
    </w:p>
    <w:p w:rsidR="008419CB" w:rsidRPr="005A24F4" w:rsidRDefault="008419CB" w:rsidP="008419CB">
      <w:pPr>
        <w:jc w:val="center"/>
        <w:rPr>
          <w:b/>
        </w:rPr>
      </w:pPr>
    </w:p>
    <w:p w:rsidR="00CB7C19" w:rsidRPr="005A24F4" w:rsidRDefault="00CB7C19" w:rsidP="002630D9">
      <w:pPr>
        <w:spacing w:line="360" w:lineRule="auto"/>
        <w:jc w:val="center"/>
        <w:rPr>
          <w:b/>
        </w:rPr>
      </w:pPr>
      <w:r w:rsidRPr="005A24F4">
        <w:rPr>
          <w:b/>
        </w:rPr>
        <w:t>Between</w:t>
      </w:r>
    </w:p>
    <w:p w:rsidR="008419CB" w:rsidRPr="005A24F4" w:rsidRDefault="008419CB" w:rsidP="008419CB">
      <w:pPr>
        <w:jc w:val="center"/>
        <w:rPr>
          <w:b/>
        </w:rPr>
      </w:pPr>
    </w:p>
    <w:p w:rsidR="00D142FC" w:rsidRPr="005A24F4" w:rsidRDefault="008A589F" w:rsidP="008419CB">
      <w:pPr>
        <w:jc w:val="center"/>
        <w:rPr>
          <w:b/>
        </w:rPr>
      </w:pPr>
      <w:r w:rsidRPr="005A24F4">
        <w:rPr>
          <w:b/>
        </w:rPr>
        <w:t>P</w:t>
      </w:r>
    </w:p>
    <w:p w:rsidR="00F312FD" w:rsidRPr="005A24F4" w:rsidRDefault="00F312FD" w:rsidP="008419CB">
      <w:pPr>
        <w:jc w:val="center"/>
      </w:pPr>
      <w:r w:rsidRPr="005A24F4">
        <w:t>(ANONYMITY ORDER MADE)</w:t>
      </w:r>
    </w:p>
    <w:p w:rsidR="00CB7C19" w:rsidRPr="005A24F4" w:rsidRDefault="00CB7C19" w:rsidP="002630D9">
      <w:pPr>
        <w:spacing w:line="360" w:lineRule="auto"/>
        <w:jc w:val="center"/>
        <w:rPr>
          <w:u w:val="single"/>
        </w:rPr>
      </w:pPr>
      <w:r w:rsidRPr="005A24F4">
        <w:t xml:space="preserve">                                                                                                                                      </w:t>
      </w:r>
      <w:r w:rsidRPr="005A24F4">
        <w:rPr>
          <w:u w:val="single"/>
        </w:rPr>
        <w:t xml:space="preserve">Appellant </w:t>
      </w:r>
    </w:p>
    <w:p w:rsidR="00CB7C19" w:rsidRPr="005A24F4" w:rsidRDefault="00CB7C19" w:rsidP="002630D9">
      <w:pPr>
        <w:spacing w:line="360" w:lineRule="auto"/>
        <w:jc w:val="center"/>
        <w:rPr>
          <w:b/>
        </w:rPr>
      </w:pPr>
      <w:r w:rsidRPr="005A24F4">
        <w:rPr>
          <w:b/>
        </w:rPr>
        <w:t>and</w:t>
      </w:r>
    </w:p>
    <w:p w:rsidR="00CB7C19" w:rsidRPr="005A24F4" w:rsidRDefault="00CB7C19" w:rsidP="002630D9">
      <w:pPr>
        <w:spacing w:line="360" w:lineRule="auto"/>
        <w:jc w:val="center"/>
        <w:rPr>
          <w:b/>
        </w:rPr>
      </w:pPr>
      <w:r w:rsidRPr="005A24F4">
        <w:rPr>
          <w:b/>
        </w:rPr>
        <w:tab/>
      </w:r>
      <w:r w:rsidR="00B55F62" w:rsidRPr="005A24F4">
        <w:rPr>
          <w:b/>
        </w:rPr>
        <w:t>SECRETARY OF STATE FOR THE HOME DEPARTMENT</w:t>
      </w:r>
      <w:r w:rsidR="00D142FC" w:rsidRPr="005A24F4">
        <w:rPr>
          <w:b/>
        </w:rPr>
        <w:t xml:space="preserve">         </w:t>
      </w:r>
      <w:r w:rsidRPr="005A24F4">
        <w:rPr>
          <w:b/>
        </w:rPr>
        <w:t xml:space="preserve"> </w:t>
      </w:r>
    </w:p>
    <w:p w:rsidR="00CB7C19" w:rsidRPr="005A24F4" w:rsidRDefault="00CB7C19" w:rsidP="002630D9">
      <w:pPr>
        <w:spacing w:line="360" w:lineRule="auto"/>
        <w:jc w:val="center"/>
        <w:rPr>
          <w:u w:val="single"/>
        </w:rPr>
      </w:pPr>
      <w:r w:rsidRPr="005A24F4">
        <w:rPr>
          <w:b/>
        </w:rPr>
        <w:t xml:space="preserve">                                       </w:t>
      </w:r>
      <w:r w:rsidRPr="005A24F4">
        <w:rPr>
          <w:b/>
        </w:rPr>
        <w:tab/>
      </w:r>
      <w:r w:rsidRPr="005A24F4">
        <w:rPr>
          <w:b/>
        </w:rPr>
        <w:tab/>
      </w:r>
      <w:r w:rsidRPr="005A24F4">
        <w:rPr>
          <w:b/>
        </w:rPr>
        <w:tab/>
      </w:r>
      <w:r w:rsidRPr="005A24F4">
        <w:rPr>
          <w:b/>
        </w:rPr>
        <w:tab/>
      </w:r>
      <w:r w:rsidRPr="005A24F4">
        <w:rPr>
          <w:b/>
        </w:rPr>
        <w:tab/>
      </w:r>
      <w:r w:rsidRPr="005A24F4">
        <w:rPr>
          <w:b/>
        </w:rPr>
        <w:tab/>
      </w:r>
      <w:r w:rsidRPr="005A24F4">
        <w:rPr>
          <w:b/>
        </w:rPr>
        <w:tab/>
      </w:r>
      <w:r w:rsidRPr="005A24F4">
        <w:rPr>
          <w:b/>
        </w:rPr>
        <w:tab/>
      </w:r>
      <w:r w:rsidRPr="005A24F4">
        <w:rPr>
          <w:b/>
        </w:rPr>
        <w:tab/>
      </w:r>
      <w:r w:rsidRPr="005A24F4">
        <w:rPr>
          <w:b/>
        </w:rPr>
        <w:tab/>
        <w:t xml:space="preserve">  </w:t>
      </w:r>
      <w:r w:rsidRPr="005A24F4">
        <w:rPr>
          <w:u w:val="single"/>
        </w:rPr>
        <w:t xml:space="preserve">Respondent </w:t>
      </w:r>
    </w:p>
    <w:p w:rsidR="00CB7C19" w:rsidRPr="005A24F4" w:rsidRDefault="00CB7C19" w:rsidP="002630D9">
      <w:pPr>
        <w:spacing w:line="360" w:lineRule="auto"/>
        <w:rPr>
          <w:b/>
        </w:rPr>
      </w:pPr>
      <w:r w:rsidRPr="005A24F4">
        <w:rPr>
          <w:b/>
          <w:u w:val="single"/>
        </w:rPr>
        <w:t>Representation</w:t>
      </w:r>
      <w:r w:rsidRPr="005A24F4">
        <w:rPr>
          <w:b/>
        </w:rPr>
        <w:t xml:space="preserve">: </w:t>
      </w:r>
    </w:p>
    <w:p w:rsidR="008419CB" w:rsidRPr="005A24F4" w:rsidRDefault="008419CB" w:rsidP="008419CB"/>
    <w:p w:rsidR="00CB7C19" w:rsidRPr="005A24F4" w:rsidRDefault="00CB7C19" w:rsidP="005A24F4">
      <w:pPr>
        <w:tabs>
          <w:tab w:val="left" w:pos="2520"/>
        </w:tabs>
        <w:spacing w:line="360" w:lineRule="auto"/>
      </w:pPr>
      <w:r w:rsidRPr="005A24F4">
        <w:t>For the Appellant:</w:t>
      </w:r>
      <w:r w:rsidRPr="005A24F4">
        <w:tab/>
        <w:t xml:space="preserve"> </w:t>
      </w:r>
      <w:r w:rsidR="00B20AD8" w:rsidRPr="005A24F4">
        <w:t xml:space="preserve">Mr. S. Clark </w:t>
      </w:r>
      <w:r w:rsidRPr="005A24F4">
        <w:t>of counsel, instructed by</w:t>
      </w:r>
      <w:r w:rsidR="00F312FD" w:rsidRPr="005A24F4">
        <w:t xml:space="preserve"> </w:t>
      </w:r>
      <w:r w:rsidR="00B20AD8" w:rsidRPr="005A24F4">
        <w:t>LT &amp; P</w:t>
      </w:r>
      <w:r w:rsidR="00F312FD" w:rsidRPr="005A24F4">
        <w:tab/>
      </w:r>
      <w:r w:rsidRPr="005A24F4">
        <w:t>Solicitors</w:t>
      </w:r>
    </w:p>
    <w:p w:rsidR="00CB7C19" w:rsidRPr="005A24F4" w:rsidRDefault="008419CB" w:rsidP="005A24F4">
      <w:pPr>
        <w:tabs>
          <w:tab w:val="left" w:pos="2520"/>
        </w:tabs>
        <w:spacing w:line="360" w:lineRule="auto"/>
      </w:pPr>
      <w:r w:rsidRPr="005A24F4">
        <w:t xml:space="preserve">For the Respondent:        </w:t>
      </w:r>
      <w:r w:rsidR="00B20AD8" w:rsidRPr="005A24F4">
        <w:t xml:space="preserve">  Mr. S. </w:t>
      </w:r>
      <w:proofErr w:type="spellStart"/>
      <w:r w:rsidR="00B20AD8" w:rsidRPr="005A24F4">
        <w:t>Kotas</w:t>
      </w:r>
      <w:proofErr w:type="spellEnd"/>
      <w:r w:rsidR="00CB7C19" w:rsidRPr="005A24F4">
        <w:t>, Home Office Presenting Officer</w:t>
      </w:r>
    </w:p>
    <w:p w:rsidR="00CB7C19" w:rsidRPr="005A24F4" w:rsidRDefault="00CB7C19" w:rsidP="005A24F4">
      <w:pPr>
        <w:tabs>
          <w:tab w:val="left" w:pos="2520"/>
        </w:tabs>
        <w:spacing w:line="360" w:lineRule="auto"/>
      </w:pPr>
    </w:p>
    <w:p w:rsidR="00CB7C19" w:rsidRPr="005A24F4" w:rsidRDefault="00CB7C19" w:rsidP="002630D9">
      <w:pPr>
        <w:spacing w:line="360" w:lineRule="auto"/>
        <w:jc w:val="center"/>
        <w:rPr>
          <w:b/>
          <w:u w:val="single"/>
        </w:rPr>
      </w:pPr>
      <w:r w:rsidRPr="005A24F4">
        <w:rPr>
          <w:b/>
          <w:u w:val="single"/>
        </w:rPr>
        <w:t>DECISION AND REASONS</w:t>
      </w:r>
    </w:p>
    <w:p w:rsidR="00F2664D" w:rsidRPr="005A24F4" w:rsidRDefault="00CB7C19" w:rsidP="008419CB">
      <w:pPr>
        <w:jc w:val="center"/>
        <w:rPr>
          <w:b/>
          <w:u w:val="single"/>
        </w:rPr>
      </w:pPr>
      <w:r w:rsidRPr="005A24F4">
        <w:rPr>
          <w:b/>
        </w:rPr>
        <w:t xml:space="preserve"> </w:t>
      </w:r>
    </w:p>
    <w:p w:rsidR="00F2664D" w:rsidRPr="005A24F4" w:rsidRDefault="00F2664D" w:rsidP="005A24F4">
      <w:pPr>
        <w:spacing w:line="360" w:lineRule="auto"/>
        <w:jc w:val="both"/>
        <w:rPr>
          <w:rFonts w:eastAsia="MS Mincho"/>
          <w:b/>
          <w:u w:val="single"/>
        </w:rPr>
      </w:pPr>
      <w:r w:rsidRPr="005A24F4">
        <w:rPr>
          <w:rFonts w:eastAsia="MS Mincho"/>
          <w:b/>
          <w:u w:val="single"/>
        </w:rPr>
        <w:t>Anonymity</w:t>
      </w:r>
      <w:r w:rsidRPr="005A24F4">
        <w:rPr>
          <w:rFonts w:eastAsia="MS Mincho"/>
          <w:b/>
        </w:rPr>
        <w:br/>
      </w:r>
      <w:r w:rsidRPr="005A24F4">
        <w:rPr>
          <w:rFonts w:eastAsia="MS Mincho"/>
          <w:b/>
        </w:rPr>
        <w:br/>
      </w:r>
      <w:r w:rsidRPr="005A24F4">
        <w:rPr>
          <w:rFonts w:eastAsia="MS Mincho"/>
        </w:rPr>
        <w:t>Pursuant to Rule 14 of the Tribunal Procedure (Upper Tribunal) Rules 2008 (SI2008/269) an Anonymity Order is made. Unless the Upper Tribunal or Court orders otherwise, no report of any proceedings or any form of publication thereof shall directly or indirectly identify the original Appellant. This prohibition applies to, amongst others, all parties.</w:t>
      </w:r>
    </w:p>
    <w:p w:rsidR="005A24F4" w:rsidRPr="005A24F4" w:rsidRDefault="00CB7C19" w:rsidP="002630D9">
      <w:pPr>
        <w:spacing w:line="360" w:lineRule="auto"/>
        <w:jc w:val="both"/>
        <w:rPr>
          <w:b/>
        </w:rPr>
      </w:pPr>
      <w:r w:rsidRPr="005A24F4">
        <w:rPr>
          <w:b/>
        </w:rPr>
        <w:t xml:space="preserve">                                   </w:t>
      </w:r>
    </w:p>
    <w:p w:rsidR="005A24F4" w:rsidRPr="005A24F4" w:rsidRDefault="005A24F4" w:rsidP="002630D9">
      <w:pPr>
        <w:spacing w:line="360" w:lineRule="auto"/>
        <w:jc w:val="both"/>
        <w:rPr>
          <w:b/>
        </w:rPr>
      </w:pPr>
    </w:p>
    <w:p w:rsidR="00CB7C19" w:rsidRPr="005A24F4" w:rsidRDefault="00CB7C19" w:rsidP="002630D9">
      <w:pPr>
        <w:spacing w:line="360" w:lineRule="auto"/>
        <w:jc w:val="both"/>
        <w:rPr>
          <w:b/>
        </w:rPr>
      </w:pPr>
      <w:r w:rsidRPr="005A24F4">
        <w:rPr>
          <w:b/>
        </w:rPr>
        <w:t xml:space="preserve">                                                                                                                                                                                                                                                                                                                                                                                                           </w:t>
      </w:r>
    </w:p>
    <w:p w:rsidR="00CB7C19" w:rsidRPr="005A24F4" w:rsidRDefault="00CB7C19" w:rsidP="002630D9">
      <w:pPr>
        <w:spacing w:line="360" w:lineRule="auto"/>
        <w:jc w:val="both"/>
        <w:rPr>
          <w:b/>
        </w:rPr>
      </w:pPr>
      <w:r w:rsidRPr="005A24F4">
        <w:rPr>
          <w:b/>
        </w:rPr>
        <w:lastRenderedPageBreak/>
        <w:t xml:space="preserve">BACKGROUND TO THE APPEAL </w:t>
      </w:r>
    </w:p>
    <w:p w:rsidR="003179B6" w:rsidRPr="005A24F4" w:rsidRDefault="003179B6" w:rsidP="002630D9">
      <w:pPr>
        <w:spacing w:line="360" w:lineRule="auto"/>
        <w:jc w:val="both"/>
        <w:rPr>
          <w:b/>
        </w:rPr>
      </w:pPr>
    </w:p>
    <w:p w:rsidR="00CB7C19" w:rsidRPr="005A24F4" w:rsidRDefault="00CB7C19" w:rsidP="002630D9">
      <w:pPr>
        <w:spacing w:line="360" w:lineRule="auto"/>
        <w:ind w:left="567" w:hanging="567"/>
        <w:jc w:val="both"/>
      </w:pPr>
      <w:r w:rsidRPr="005A24F4">
        <w:t>1.</w:t>
      </w:r>
      <w:r w:rsidRPr="005A24F4">
        <w:tab/>
        <w:t>The Appellan</w:t>
      </w:r>
      <w:r w:rsidR="008A589F" w:rsidRPr="005A24F4">
        <w:t>t</w:t>
      </w:r>
      <w:r w:rsidR="009252EE" w:rsidRPr="005A24F4">
        <w:t xml:space="preserve"> is a</w:t>
      </w:r>
      <w:r w:rsidRPr="005A24F4">
        <w:t xml:space="preserve"> national of </w:t>
      </w:r>
      <w:r w:rsidR="008A589F" w:rsidRPr="005A24F4">
        <w:t>India</w:t>
      </w:r>
      <w:r w:rsidRPr="005A24F4">
        <w:t xml:space="preserve">. </w:t>
      </w:r>
      <w:r w:rsidR="008A589F" w:rsidRPr="005A24F4">
        <w:t>H</w:t>
      </w:r>
      <w:r w:rsidR="009252EE" w:rsidRPr="005A24F4">
        <w:t xml:space="preserve">e entered the United Kingdom on </w:t>
      </w:r>
      <w:r w:rsidR="008A589F" w:rsidRPr="005A24F4">
        <w:t>25 August 2004, as a student, and was granted further leave in this capacity until 30 November 2007. He was subsequently granted leave to remain as a Highly Skilled Migrant until 26 September 2009 and then leave to remain as a Tier 1 Highly Skilled General Migrant until 22 February 2015.</w:t>
      </w:r>
    </w:p>
    <w:p w:rsidR="00CB7C19" w:rsidRPr="005A24F4" w:rsidRDefault="00CB7C19" w:rsidP="002630D9">
      <w:pPr>
        <w:spacing w:line="360" w:lineRule="auto"/>
        <w:ind w:left="567" w:hanging="567"/>
        <w:jc w:val="both"/>
      </w:pPr>
    </w:p>
    <w:p w:rsidR="008A589F" w:rsidRPr="005A24F4" w:rsidRDefault="00CB7C19" w:rsidP="002630D9">
      <w:pPr>
        <w:spacing w:line="360" w:lineRule="auto"/>
        <w:ind w:left="567" w:hanging="567"/>
        <w:jc w:val="both"/>
        <w:rPr>
          <w:i/>
        </w:rPr>
      </w:pPr>
      <w:r w:rsidRPr="005A24F4">
        <w:t>2.</w:t>
      </w:r>
      <w:r w:rsidRPr="005A24F4">
        <w:tab/>
      </w:r>
      <w:r w:rsidR="00D142FC" w:rsidRPr="005A24F4">
        <w:t xml:space="preserve">The </w:t>
      </w:r>
      <w:r w:rsidR="008A589F" w:rsidRPr="005A24F4">
        <w:t xml:space="preserve">Applicant applied for indefinite leave to remain as a Tier 1 (General) Migrant on 3 October 2014 but a decision on his application was deferred when he was arrested on various charges, including money laundering proceeds from a brothel and the possession of Class A drugs, in December 2014. On 3 July 2017 he was convicted of money laundering and keeping a brothel and was sentenced to 44 months imprisonment on each charge to run concurrently. </w:t>
      </w:r>
      <w:r w:rsidR="00161013" w:rsidRPr="005A24F4">
        <w:t>He had previously received a suspended prison as the consequence of a fraud he perpetrated on his employers, HSBC</w:t>
      </w:r>
      <w:r w:rsidR="00012919" w:rsidRPr="005A24F4">
        <w:t>,</w:t>
      </w:r>
      <w:r w:rsidR="00161013" w:rsidRPr="005A24F4">
        <w:t xml:space="preserve"> and had been unemployed since that date.</w:t>
      </w:r>
      <w:r w:rsidR="00E44B41" w:rsidRPr="005A24F4">
        <w:t xml:space="preserve"> In addition, he was convicted of battery in 2015 in connection with an assault on his wife and sentenced to </w:t>
      </w:r>
      <w:r w:rsidR="00762219" w:rsidRPr="005A24F4">
        <w:t>an 18-</w:t>
      </w:r>
      <w:r w:rsidR="00124732" w:rsidRPr="005A24F4">
        <w:t>month community service order, which he did not comply with.</w:t>
      </w:r>
    </w:p>
    <w:p w:rsidR="005801AF" w:rsidRPr="005A24F4" w:rsidRDefault="005801AF" w:rsidP="002630D9">
      <w:pPr>
        <w:spacing w:line="360" w:lineRule="auto"/>
        <w:ind w:left="567" w:hanging="567"/>
        <w:jc w:val="both"/>
      </w:pPr>
    </w:p>
    <w:p w:rsidR="005801AF" w:rsidRPr="005A24F4" w:rsidRDefault="005801AF" w:rsidP="002630D9">
      <w:pPr>
        <w:spacing w:line="360" w:lineRule="auto"/>
        <w:ind w:left="567" w:hanging="567"/>
        <w:jc w:val="both"/>
      </w:pPr>
      <w:r w:rsidRPr="005A24F4">
        <w:t>3.</w:t>
      </w:r>
      <w:r w:rsidRPr="005A24F4">
        <w:tab/>
        <w:t>The Respondent refused the Appellant’s application for settlement on 14 August 2017</w:t>
      </w:r>
      <w:r w:rsidR="000A25C7" w:rsidRPr="005A24F4">
        <w:t xml:space="preserve"> and also made a decision to remove him from the United Kingdom under section 47 of the Immigration, Asylum and Nationality Act 2006</w:t>
      </w:r>
      <w:r w:rsidRPr="005A24F4">
        <w:t xml:space="preserve">.  Meanwhile on 12 July 2017 his wife had withdrawn her application for leave as his dependent on the basis that they had separated. </w:t>
      </w:r>
      <w:r w:rsidR="000A25C7" w:rsidRPr="005A24F4">
        <w:t xml:space="preserve">The Respondent also made a decision to deport the Appellant on 1 September 2017. </w:t>
      </w:r>
    </w:p>
    <w:p w:rsidR="008A589F" w:rsidRPr="005A24F4" w:rsidRDefault="008A589F" w:rsidP="002630D9">
      <w:pPr>
        <w:spacing w:line="360" w:lineRule="auto"/>
        <w:ind w:left="567" w:hanging="567"/>
        <w:jc w:val="both"/>
      </w:pPr>
    </w:p>
    <w:p w:rsidR="00CB7C19" w:rsidRPr="005A24F4" w:rsidRDefault="00397C8F" w:rsidP="002630D9">
      <w:pPr>
        <w:spacing w:line="360" w:lineRule="auto"/>
        <w:ind w:left="567" w:hanging="567"/>
        <w:jc w:val="both"/>
      </w:pPr>
      <w:r w:rsidRPr="005A24F4">
        <w:t>4.</w:t>
      </w:r>
      <w:r w:rsidRPr="005A24F4">
        <w:tab/>
        <w:t>The Appellant appealed and First-</w:t>
      </w:r>
      <w:r w:rsidR="00762219" w:rsidRPr="005A24F4">
        <w:t>t</w:t>
      </w:r>
      <w:r w:rsidR="009252EE" w:rsidRPr="005A24F4">
        <w:t xml:space="preserve">ier Tribunal Judge </w:t>
      </w:r>
      <w:r w:rsidRPr="005A24F4">
        <w:t>Ford</w:t>
      </w:r>
      <w:r w:rsidR="009252EE" w:rsidRPr="005A24F4">
        <w:t xml:space="preserve"> dismissed h</w:t>
      </w:r>
      <w:r w:rsidRPr="005A24F4">
        <w:t>is</w:t>
      </w:r>
      <w:r w:rsidR="009252EE" w:rsidRPr="005A24F4">
        <w:t xml:space="preserve"> appeal in a decision, promulgated on </w:t>
      </w:r>
      <w:r w:rsidRPr="005A24F4">
        <w:t>8 March</w:t>
      </w:r>
      <w:r w:rsidR="009252EE" w:rsidRPr="005A24F4">
        <w:t xml:space="preserve"> 2018. First-tier Tribunal Judge </w:t>
      </w:r>
      <w:r w:rsidRPr="005A24F4">
        <w:t>Woodcraft</w:t>
      </w:r>
      <w:r w:rsidR="009252EE" w:rsidRPr="005A24F4">
        <w:t xml:space="preserve"> refused h</w:t>
      </w:r>
      <w:r w:rsidRPr="005A24F4">
        <w:t>im</w:t>
      </w:r>
      <w:r w:rsidR="009252EE" w:rsidRPr="005A24F4">
        <w:t xml:space="preserve"> permission to appeal on </w:t>
      </w:r>
      <w:r w:rsidRPr="005A24F4">
        <w:t>27 March</w:t>
      </w:r>
      <w:r w:rsidR="009252EE" w:rsidRPr="005A24F4">
        <w:t xml:space="preserve"> 2018 but permission was granted by Upper Tribunal Judge</w:t>
      </w:r>
      <w:r w:rsidRPr="005A24F4">
        <w:t xml:space="preserve"> Frances</w:t>
      </w:r>
      <w:r w:rsidR="009252EE" w:rsidRPr="005A24F4">
        <w:t xml:space="preserve"> on </w:t>
      </w:r>
      <w:r w:rsidRPr="005A24F4">
        <w:t>18</w:t>
      </w:r>
      <w:r w:rsidR="009252EE" w:rsidRPr="005A24F4">
        <w:t xml:space="preserve"> May 2018. </w:t>
      </w:r>
    </w:p>
    <w:p w:rsidR="00012919" w:rsidRPr="005A24F4" w:rsidRDefault="00012919" w:rsidP="002630D9">
      <w:pPr>
        <w:spacing w:line="360" w:lineRule="auto"/>
        <w:ind w:left="567" w:hanging="567"/>
        <w:jc w:val="both"/>
      </w:pPr>
    </w:p>
    <w:p w:rsidR="00CB7C19" w:rsidRDefault="00CB7C19" w:rsidP="002630D9">
      <w:pPr>
        <w:spacing w:line="360" w:lineRule="auto"/>
        <w:ind w:left="567" w:hanging="567"/>
        <w:jc w:val="both"/>
        <w:rPr>
          <w:b/>
        </w:rPr>
      </w:pPr>
      <w:r w:rsidRPr="005A24F4">
        <w:rPr>
          <w:b/>
        </w:rPr>
        <w:t xml:space="preserve">ERROR OF LAW HEARING </w:t>
      </w:r>
    </w:p>
    <w:p w:rsidR="005A24F4" w:rsidRPr="005A24F4" w:rsidRDefault="005A24F4" w:rsidP="002630D9">
      <w:pPr>
        <w:spacing w:line="360" w:lineRule="auto"/>
        <w:ind w:left="567" w:hanging="567"/>
        <w:jc w:val="both"/>
        <w:rPr>
          <w:b/>
        </w:rPr>
      </w:pPr>
    </w:p>
    <w:p w:rsidR="00CB7C19" w:rsidRPr="005A24F4" w:rsidRDefault="00762219" w:rsidP="002630D9">
      <w:pPr>
        <w:spacing w:line="360" w:lineRule="auto"/>
        <w:ind w:left="567" w:hanging="567"/>
        <w:jc w:val="both"/>
      </w:pPr>
      <w:r w:rsidRPr="005A24F4">
        <w:t>5</w:t>
      </w:r>
      <w:r w:rsidR="00CB7C19" w:rsidRPr="005A24F4">
        <w:t>.</w:t>
      </w:r>
      <w:r w:rsidR="00CB7C19" w:rsidRPr="005A24F4">
        <w:tab/>
      </w:r>
      <w:r w:rsidR="00F312FD" w:rsidRPr="005A24F4">
        <w:t>C</w:t>
      </w:r>
      <w:r w:rsidR="00CB7C19" w:rsidRPr="005A24F4">
        <w:t xml:space="preserve">ounsel for the Appellant </w:t>
      </w:r>
      <w:r w:rsidR="00F312FD" w:rsidRPr="005A24F4">
        <w:t xml:space="preserve">addressed me </w:t>
      </w:r>
      <w:proofErr w:type="gramStart"/>
      <w:r w:rsidR="00F312FD" w:rsidRPr="005A24F4">
        <w:t xml:space="preserve">on the </w:t>
      </w:r>
      <w:r w:rsidR="00012919" w:rsidRPr="005A24F4">
        <w:t>basis of</w:t>
      </w:r>
      <w:proofErr w:type="gramEnd"/>
      <w:r w:rsidR="00012919" w:rsidRPr="005A24F4">
        <w:t xml:space="preserve"> his skeleton argument and then the</w:t>
      </w:r>
      <w:r w:rsidR="00CB7C19" w:rsidRPr="005A24F4">
        <w:t xml:space="preserve"> </w:t>
      </w:r>
      <w:r w:rsidR="00012919" w:rsidRPr="005A24F4">
        <w:t>H</w:t>
      </w:r>
      <w:r w:rsidR="00CB7C19" w:rsidRPr="005A24F4">
        <w:t xml:space="preserve">ome Office Presenting Officer </w:t>
      </w:r>
      <w:r w:rsidR="00012919" w:rsidRPr="005A24F4">
        <w:t xml:space="preserve">replied. I have taken their submissions into account when reaching my findings below. </w:t>
      </w:r>
      <w:r w:rsidR="00CB7C19" w:rsidRPr="005A24F4">
        <w:t xml:space="preserve">   </w:t>
      </w:r>
    </w:p>
    <w:p w:rsidR="00CB7C19" w:rsidRPr="005A24F4" w:rsidRDefault="00CB7C19" w:rsidP="00590558">
      <w:pPr>
        <w:spacing w:line="360" w:lineRule="auto"/>
        <w:ind w:left="567" w:hanging="567"/>
        <w:jc w:val="both"/>
        <w:rPr>
          <w:b/>
        </w:rPr>
      </w:pPr>
    </w:p>
    <w:p w:rsidR="005A24F4" w:rsidRDefault="005A24F4" w:rsidP="00590558">
      <w:pPr>
        <w:spacing w:line="360" w:lineRule="auto"/>
        <w:ind w:left="567" w:hanging="567"/>
        <w:jc w:val="both"/>
        <w:rPr>
          <w:b/>
        </w:rPr>
      </w:pPr>
    </w:p>
    <w:p w:rsidR="00CB7C19" w:rsidRPr="005A24F4" w:rsidRDefault="00CB7C19" w:rsidP="00590558">
      <w:pPr>
        <w:spacing w:line="360" w:lineRule="auto"/>
        <w:ind w:left="567" w:hanging="567"/>
        <w:jc w:val="both"/>
        <w:rPr>
          <w:b/>
        </w:rPr>
      </w:pPr>
      <w:r w:rsidRPr="005A24F4">
        <w:rPr>
          <w:b/>
        </w:rPr>
        <w:t xml:space="preserve">ERROR OF LAW DECISION </w:t>
      </w:r>
    </w:p>
    <w:p w:rsidR="00CB7C19" w:rsidRPr="005A24F4" w:rsidRDefault="00CB7C19" w:rsidP="00590558">
      <w:pPr>
        <w:spacing w:line="360" w:lineRule="auto"/>
        <w:ind w:left="567" w:hanging="567"/>
        <w:jc w:val="both"/>
        <w:rPr>
          <w:b/>
        </w:rPr>
      </w:pPr>
    </w:p>
    <w:p w:rsidR="005801AF" w:rsidRPr="005A24F4" w:rsidRDefault="00762219" w:rsidP="009252EE">
      <w:pPr>
        <w:spacing w:line="360" w:lineRule="auto"/>
        <w:ind w:left="567" w:hanging="567"/>
        <w:jc w:val="both"/>
      </w:pPr>
      <w:r w:rsidRPr="005A24F4">
        <w:t>6</w:t>
      </w:r>
      <w:r w:rsidR="00CB7C19" w:rsidRPr="005A24F4">
        <w:t>.</w:t>
      </w:r>
      <w:r w:rsidR="00CB7C19" w:rsidRPr="005A24F4">
        <w:tab/>
      </w:r>
      <w:r w:rsidR="005801AF" w:rsidRPr="005A24F4">
        <w:t>The Appellant’s application for settlement was refused under paragraph 245CD(b) and paragraph 322(1C) of the Immigration Rules. The former states that “the applicant must not fall for refusal under the general grounds for refusal…”. The latter states that:</w:t>
      </w:r>
    </w:p>
    <w:p w:rsidR="005801AF" w:rsidRPr="005A24F4" w:rsidRDefault="005801AF" w:rsidP="0083471C">
      <w:pPr>
        <w:spacing w:before="120" w:after="120" w:line="360" w:lineRule="auto"/>
        <w:ind w:left="1134"/>
        <w:jc w:val="both"/>
      </w:pPr>
      <w:r w:rsidRPr="005A24F4">
        <w:t>“Grounds on which leave to remain and variation of leave to enter or remain in the United Kingdom are to be refused</w:t>
      </w:r>
    </w:p>
    <w:p w:rsidR="005801AF" w:rsidRPr="005A24F4" w:rsidRDefault="005801AF" w:rsidP="0083471C">
      <w:pPr>
        <w:spacing w:before="120" w:after="120" w:line="360" w:lineRule="auto"/>
        <w:ind w:left="1134"/>
        <w:jc w:val="both"/>
      </w:pPr>
      <w:r w:rsidRPr="005A24F4">
        <w:t>(1C) where the person is seeking leave to enter or remain:</w:t>
      </w:r>
    </w:p>
    <w:p w:rsidR="005801AF" w:rsidRPr="005A24F4" w:rsidRDefault="005801AF" w:rsidP="0083471C">
      <w:pPr>
        <w:spacing w:before="120" w:after="120" w:line="360" w:lineRule="auto"/>
        <w:ind w:left="1134"/>
        <w:jc w:val="both"/>
      </w:pPr>
      <w:r w:rsidRPr="005A24F4">
        <w:t>(ii)</w:t>
      </w:r>
      <w:r w:rsidRPr="005A24F4">
        <w:tab/>
        <w:t>they have been convicted of an offence for which they have been sentenced to imprisonment for at least 12 months but less than 4 years, unless a period of 15 years has passed since the end of the sentence”.</w:t>
      </w:r>
    </w:p>
    <w:p w:rsidR="005801AF" w:rsidRPr="005A24F4" w:rsidRDefault="00762219" w:rsidP="009252EE">
      <w:pPr>
        <w:spacing w:line="360" w:lineRule="auto"/>
        <w:ind w:left="567" w:hanging="567"/>
        <w:jc w:val="both"/>
      </w:pPr>
      <w:r w:rsidRPr="005A24F4">
        <w:t>7</w:t>
      </w:r>
      <w:r w:rsidR="005801AF" w:rsidRPr="005A24F4">
        <w:t>.</w:t>
      </w:r>
      <w:r w:rsidR="005801AF" w:rsidRPr="005A24F4">
        <w:tab/>
      </w:r>
      <w:r w:rsidR="000A25C7" w:rsidRPr="005A24F4">
        <w:t>The Appellant has four children who are living in the United Kingdom. Two of them are children wh</w:t>
      </w:r>
      <w:r w:rsidR="00012919" w:rsidRPr="005A24F4">
        <w:t xml:space="preserve">om </w:t>
      </w:r>
      <w:r w:rsidR="000A25C7" w:rsidRPr="005A24F4">
        <w:t xml:space="preserve">he had with his wife and they were born in 2007 and 2009. They have been granted leave to remain here until 5 March 2020. He has two other children by his partner. They were born in 2011 and 2014 and are British citizens. </w:t>
      </w:r>
    </w:p>
    <w:p w:rsidR="005801AF" w:rsidRPr="005A24F4" w:rsidRDefault="005801AF" w:rsidP="009252EE">
      <w:pPr>
        <w:spacing w:line="360" w:lineRule="auto"/>
        <w:ind w:left="567" w:hanging="567"/>
        <w:jc w:val="both"/>
      </w:pPr>
    </w:p>
    <w:p w:rsidR="005C3EB1" w:rsidRPr="005A24F4" w:rsidRDefault="004E40E2" w:rsidP="009252EE">
      <w:pPr>
        <w:spacing w:line="360" w:lineRule="auto"/>
        <w:ind w:left="567" w:hanging="567"/>
        <w:jc w:val="both"/>
      </w:pPr>
      <w:r w:rsidRPr="005A24F4">
        <w:t>8</w:t>
      </w:r>
      <w:r w:rsidR="007D543D" w:rsidRPr="005A24F4">
        <w:t>.</w:t>
      </w:r>
      <w:r w:rsidR="007D543D" w:rsidRPr="005A24F4">
        <w:tab/>
        <w:t xml:space="preserve">In paragraph 18 of her decision, First-tier Tribunal Judge Ford </w:t>
      </w:r>
      <w:r w:rsidR="00012919" w:rsidRPr="005A24F4">
        <w:t xml:space="preserve">stated </w:t>
      </w:r>
      <w:r w:rsidR="00762219" w:rsidRPr="005A24F4">
        <w:t xml:space="preserve">that she must have regard to the factors set out in section 117A to D of the Nationality, Immigration and Asylum Act 2002. </w:t>
      </w:r>
      <w:r w:rsidR="00012919" w:rsidRPr="005A24F4">
        <w:t>She relied upon the fact that t</w:t>
      </w:r>
      <w:r w:rsidR="00762219" w:rsidRPr="005A24F4">
        <w:t xml:space="preserve">he Applicant does fall within the definition of a “foreign criminal” for the purposes of section 117D which </w:t>
      </w:r>
      <w:r w:rsidR="00012919" w:rsidRPr="005A24F4">
        <w:t xml:space="preserve">interprets </w:t>
      </w:r>
      <w:r w:rsidR="00762219" w:rsidRPr="005A24F4">
        <w:t xml:space="preserve">the terms used within Part VA of the 2002 Act. </w:t>
      </w:r>
      <w:r w:rsidR="005C3EB1" w:rsidRPr="005A24F4">
        <w:t xml:space="preserve"> </w:t>
      </w:r>
      <w:r w:rsidR="00012919" w:rsidRPr="005A24F4">
        <w:t xml:space="preserve">The Home Office Presenting Officer adopted this argument and submitted that </w:t>
      </w:r>
      <w:r w:rsidR="005C3EB1" w:rsidRPr="005A24F4">
        <w:t>section 117C did apply to the Appellant because he is a “foreign criminal” as defined in section 1178</w:t>
      </w:r>
      <w:proofErr w:type="gramStart"/>
      <w:r w:rsidR="005C3EB1" w:rsidRPr="005A24F4">
        <w:t>D(</w:t>
      </w:r>
      <w:proofErr w:type="gramEnd"/>
      <w:r w:rsidR="005C3EB1" w:rsidRPr="005A24F4">
        <w:t>2). However, although section 117C is entitled “Article 8: additional considerations in cases involving foreign criminals, 117</w:t>
      </w:r>
      <w:proofErr w:type="gramStart"/>
      <w:r w:rsidR="005C3EB1" w:rsidRPr="005A24F4">
        <w:t>C(</w:t>
      </w:r>
      <w:proofErr w:type="gramEnd"/>
      <w:r w:rsidR="005C3EB1" w:rsidRPr="005A24F4">
        <w:t>1) refers explicitly to “the deportation of foreign criminals being in the public interest” and the following sub-sections also refer to circumstances involving deportation. Section 117</w:t>
      </w:r>
      <w:proofErr w:type="gramStart"/>
      <w:r w:rsidR="005C3EB1" w:rsidRPr="005A24F4">
        <w:t>A(</w:t>
      </w:r>
      <w:proofErr w:type="gramEnd"/>
      <w:r w:rsidR="005C3EB1" w:rsidRPr="005A24F4">
        <w:t>2) also states that:</w:t>
      </w:r>
    </w:p>
    <w:p w:rsidR="005C3EB1" w:rsidRPr="005A24F4" w:rsidRDefault="005C3EB1" w:rsidP="0083471C">
      <w:pPr>
        <w:spacing w:before="120" w:after="120" w:line="360" w:lineRule="auto"/>
        <w:ind w:left="1134"/>
        <w:jc w:val="both"/>
      </w:pPr>
      <w:r w:rsidRPr="005A24F4">
        <w:t>“In considering the public interest question, the court or tribunal must (in particular) have regard-</w:t>
      </w:r>
    </w:p>
    <w:p w:rsidR="005C3EB1" w:rsidRPr="005A24F4" w:rsidRDefault="005C3EB1" w:rsidP="0083471C">
      <w:pPr>
        <w:spacing w:before="120" w:after="120" w:line="360" w:lineRule="auto"/>
        <w:ind w:left="1134"/>
        <w:jc w:val="both"/>
      </w:pPr>
      <w:r w:rsidRPr="005A24F4">
        <w:t>(b) in cases concerning the deportation of foreign criminals, to the considerations listed in section 117C”.</w:t>
      </w:r>
    </w:p>
    <w:p w:rsidR="00012919" w:rsidRPr="005A24F4" w:rsidRDefault="004E40E2" w:rsidP="009252EE">
      <w:pPr>
        <w:spacing w:line="360" w:lineRule="auto"/>
        <w:ind w:left="567" w:hanging="567"/>
        <w:jc w:val="both"/>
      </w:pPr>
      <w:r w:rsidRPr="005A24F4">
        <w:lastRenderedPageBreak/>
        <w:t>9</w:t>
      </w:r>
      <w:r w:rsidR="005C3EB1" w:rsidRPr="005A24F4">
        <w:t>.</w:t>
      </w:r>
      <w:r w:rsidR="005C3EB1" w:rsidRPr="005A24F4">
        <w:tab/>
      </w:r>
      <w:r w:rsidR="00012919" w:rsidRPr="005A24F4">
        <w:t xml:space="preserve">As submitted by counsel for the Appellant it was the reference to cases concerning the deportation of foreign criminals which acted as the statutory condition precedent for the application of section 117C. </w:t>
      </w:r>
      <w:r w:rsidR="00547356" w:rsidRPr="005A24F4">
        <w:t xml:space="preserve"> The Appellant was not subject to a deportation order. Instead, the Respondent had decided to remove him from the United Kingdom. It is important to maintain the clear legal differential between these two separate procedures.  This is especially the case when human rights are in issue. </w:t>
      </w:r>
    </w:p>
    <w:p w:rsidR="00547356" w:rsidRPr="005A24F4" w:rsidRDefault="00547356" w:rsidP="009252EE">
      <w:pPr>
        <w:spacing w:line="360" w:lineRule="auto"/>
        <w:ind w:left="567" w:hanging="567"/>
        <w:jc w:val="both"/>
      </w:pPr>
    </w:p>
    <w:p w:rsidR="00382F7D" w:rsidRPr="005A24F4" w:rsidRDefault="004E40E2" w:rsidP="009252EE">
      <w:pPr>
        <w:spacing w:line="360" w:lineRule="auto"/>
        <w:ind w:left="567" w:hanging="567"/>
        <w:jc w:val="both"/>
      </w:pPr>
      <w:r w:rsidRPr="005A24F4">
        <w:t>10</w:t>
      </w:r>
      <w:r w:rsidR="00547356" w:rsidRPr="005A24F4">
        <w:t>.</w:t>
      </w:r>
      <w:r w:rsidR="00547356" w:rsidRPr="005A24F4">
        <w:tab/>
      </w:r>
      <w:r w:rsidR="001C1123" w:rsidRPr="005A24F4">
        <w:t>The First-tier Tribunal Judge took the Appellant’s circumstances into account in paragraph 59 of her decision but then in paragraph 60 she applied the “unduly harsh” test which derives from section 117C of the Nationality, Immigration and Asylum Act 2002 and paragraph 399 of the Immigration Rules. She should have applied the test in section 117</w:t>
      </w:r>
      <w:proofErr w:type="gramStart"/>
      <w:r w:rsidR="001C1123" w:rsidRPr="005A24F4">
        <w:t>B(</w:t>
      </w:r>
      <w:proofErr w:type="gramEnd"/>
      <w:r w:rsidR="001C1123" w:rsidRPr="005A24F4">
        <w:t xml:space="preserve">6) of the 2002 Act as he had four children, who were qualifying children for the purposes of section 117D and he had a genuine and subsisting parental relationship with them. </w:t>
      </w:r>
    </w:p>
    <w:p w:rsidR="00382F7D" w:rsidRPr="005A24F4" w:rsidRDefault="00382F7D" w:rsidP="009252EE">
      <w:pPr>
        <w:spacing w:line="360" w:lineRule="auto"/>
        <w:ind w:left="567" w:hanging="567"/>
        <w:jc w:val="both"/>
      </w:pPr>
    </w:p>
    <w:p w:rsidR="00382F7D" w:rsidRPr="005A24F4" w:rsidRDefault="004E40E2" w:rsidP="009252EE">
      <w:pPr>
        <w:spacing w:line="360" w:lineRule="auto"/>
        <w:ind w:left="567" w:hanging="567"/>
        <w:jc w:val="both"/>
      </w:pPr>
      <w:r w:rsidRPr="005A24F4">
        <w:t>11.</w:t>
      </w:r>
      <w:r w:rsidR="00382F7D" w:rsidRPr="005A24F4">
        <w:tab/>
      </w:r>
      <w:r w:rsidR="001C1123" w:rsidRPr="005A24F4">
        <w:t>S</w:t>
      </w:r>
      <w:r w:rsidR="00382F7D" w:rsidRPr="005A24F4">
        <w:t>ection 117</w:t>
      </w:r>
      <w:proofErr w:type="gramStart"/>
      <w:r w:rsidR="00382F7D" w:rsidRPr="005A24F4">
        <w:t>B(</w:t>
      </w:r>
      <w:proofErr w:type="gramEnd"/>
      <w:r w:rsidR="00382F7D" w:rsidRPr="005A24F4">
        <w:t xml:space="preserve">6) </w:t>
      </w:r>
      <w:r w:rsidR="001C1123" w:rsidRPr="005A24F4">
        <w:t>gives rise to a very different test as it</w:t>
      </w:r>
      <w:r w:rsidR="006808BA" w:rsidRPr="005A24F4">
        <w:t xml:space="preserve"> </w:t>
      </w:r>
      <w:r w:rsidR="00382F7D" w:rsidRPr="005A24F4">
        <w:t>states that:</w:t>
      </w:r>
    </w:p>
    <w:p w:rsidR="00382F7D" w:rsidRPr="005A24F4" w:rsidRDefault="00382F7D" w:rsidP="0083471C">
      <w:pPr>
        <w:spacing w:before="120" w:after="120" w:line="360" w:lineRule="auto"/>
        <w:ind w:left="1134"/>
        <w:jc w:val="both"/>
      </w:pPr>
      <w:r w:rsidRPr="005A24F4">
        <w:t xml:space="preserve">“In the case of a person who is not liable to deportation, the public interests </w:t>
      </w:r>
      <w:proofErr w:type="gramStart"/>
      <w:r w:rsidRPr="005A24F4">
        <w:t>does</w:t>
      </w:r>
      <w:proofErr w:type="gramEnd"/>
      <w:r w:rsidRPr="005A24F4">
        <w:t xml:space="preserve"> not require a person’s removal where-</w:t>
      </w:r>
    </w:p>
    <w:p w:rsidR="00382F7D" w:rsidRPr="005A24F4" w:rsidRDefault="00382F7D" w:rsidP="0083471C">
      <w:pPr>
        <w:spacing w:before="120" w:after="120" w:line="360" w:lineRule="auto"/>
        <w:ind w:left="1134"/>
        <w:jc w:val="both"/>
      </w:pPr>
      <w:r w:rsidRPr="005A24F4">
        <w:t>(a) the person has a genuine and subsisting parental relationship with a qualifying child, and</w:t>
      </w:r>
    </w:p>
    <w:p w:rsidR="00382F7D" w:rsidRPr="005A24F4" w:rsidRDefault="00382F7D" w:rsidP="0083471C">
      <w:pPr>
        <w:spacing w:before="120" w:after="120" w:line="360" w:lineRule="auto"/>
        <w:ind w:left="1134"/>
        <w:jc w:val="both"/>
      </w:pPr>
      <w:r w:rsidRPr="005A24F4">
        <w:t>(b) it would not be reasonable to expect the child to leave the United Kingdom”.</w:t>
      </w:r>
    </w:p>
    <w:p w:rsidR="006A1FD8" w:rsidRPr="005A24F4" w:rsidRDefault="004E40E2" w:rsidP="009252EE">
      <w:pPr>
        <w:spacing w:line="360" w:lineRule="auto"/>
        <w:ind w:left="567" w:hanging="567"/>
        <w:jc w:val="both"/>
      </w:pPr>
      <w:r w:rsidRPr="005A24F4">
        <w:t>12</w:t>
      </w:r>
      <w:r w:rsidR="00382F7D" w:rsidRPr="005A24F4">
        <w:t>.</w:t>
      </w:r>
      <w:r w:rsidR="00382F7D" w:rsidRPr="005A24F4">
        <w:tab/>
        <w:t>This provision was simply not considered by First-tier Tribu</w:t>
      </w:r>
      <w:r w:rsidR="006808BA" w:rsidRPr="005A24F4">
        <w:t xml:space="preserve">nal Judge Ford in her decision and this was a material error of law. </w:t>
      </w:r>
    </w:p>
    <w:p w:rsidR="006A1FD8" w:rsidRPr="005A24F4" w:rsidRDefault="006A1FD8" w:rsidP="009252EE">
      <w:pPr>
        <w:spacing w:line="360" w:lineRule="auto"/>
        <w:ind w:left="567" w:hanging="567"/>
        <w:jc w:val="both"/>
      </w:pPr>
    </w:p>
    <w:p w:rsidR="006808BA" w:rsidRPr="005A24F4" w:rsidRDefault="004E40E2" w:rsidP="009252EE">
      <w:pPr>
        <w:spacing w:line="360" w:lineRule="auto"/>
        <w:ind w:left="567" w:hanging="567"/>
        <w:jc w:val="both"/>
      </w:pPr>
      <w:r w:rsidRPr="005A24F4">
        <w:t>13</w:t>
      </w:r>
      <w:r w:rsidR="006A1FD8" w:rsidRPr="005A24F4">
        <w:t>.</w:t>
      </w:r>
      <w:r w:rsidR="006A1FD8" w:rsidRPr="005A24F4">
        <w:tab/>
        <w:t xml:space="preserve">In addition, when considering the children’s best interests, the Judge failed to </w:t>
      </w:r>
      <w:r w:rsidR="001C1123" w:rsidRPr="005A24F4">
        <w:t xml:space="preserve">make the necessary clear and unequivocal findings referred to by Mr. Justice McCloskey in paragraph 15 of </w:t>
      </w:r>
      <w:r w:rsidR="001C1123" w:rsidRPr="005A24F4">
        <w:rPr>
          <w:i/>
        </w:rPr>
        <w:t xml:space="preserve">Abdul (s.55 – Article 24(3) Charter) </w:t>
      </w:r>
      <w:r w:rsidR="001C1123" w:rsidRPr="005A24F4">
        <w:t>[2016] UKUT 106 (IAC).</w:t>
      </w:r>
    </w:p>
    <w:p w:rsidR="006808BA" w:rsidRPr="005A24F4" w:rsidRDefault="006808BA" w:rsidP="009252EE">
      <w:pPr>
        <w:spacing w:line="360" w:lineRule="auto"/>
        <w:ind w:left="567" w:hanging="567"/>
        <w:jc w:val="both"/>
      </w:pPr>
    </w:p>
    <w:p w:rsidR="006A1FD8" w:rsidRPr="005A24F4" w:rsidRDefault="004E40E2" w:rsidP="009252EE">
      <w:pPr>
        <w:spacing w:line="360" w:lineRule="auto"/>
        <w:ind w:left="567" w:hanging="567"/>
        <w:jc w:val="both"/>
      </w:pPr>
      <w:r w:rsidRPr="005A24F4">
        <w:t>14</w:t>
      </w:r>
      <w:r w:rsidR="006808BA" w:rsidRPr="005A24F4">
        <w:t>.</w:t>
      </w:r>
      <w:r w:rsidR="006808BA" w:rsidRPr="005A24F4">
        <w:tab/>
        <w:t>It is also arguable that the First-tier Tribunal erred in her evaluation of the evidence relating to the strength of the Appellant’s relationship with his two older children. In paragraph 59 she found that they had a poor relationship with the father and had only visited him once in prison. In fact</w:t>
      </w:r>
      <w:r w:rsidRPr="005A24F4">
        <w:t>,</w:t>
      </w:r>
      <w:r w:rsidR="006808BA" w:rsidRPr="005A24F4">
        <w:t xml:space="preserve"> the evidence contained in the Appellant’s Bundle indicated that they had visited him on four occasions and had maintained a close relationship with him. </w:t>
      </w:r>
      <w:r w:rsidR="006A1FD8" w:rsidRPr="005A24F4">
        <w:t xml:space="preserve"> </w:t>
      </w:r>
    </w:p>
    <w:p w:rsidR="006A1FD8" w:rsidRPr="005A24F4" w:rsidRDefault="006A1FD8" w:rsidP="009252EE">
      <w:pPr>
        <w:spacing w:line="360" w:lineRule="auto"/>
        <w:ind w:left="567" w:hanging="567"/>
        <w:jc w:val="both"/>
      </w:pPr>
    </w:p>
    <w:p w:rsidR="005801AF" w:rsidRPr="005A24F4" w:rsidRDefault="004E40E2" w:rsidP="009252EE">
      <w:pPr>
        <w:spacing w:line="360" w:lineRule="auto"/>
        <w:ind w:left="567" w:hanging="567"/>
        <w:jc w:val="both"/>
      </w:pPr>
      <w:r w:rsidRPr="005A24F4">
        <w:lastRenderedPageBreak/>
        <w:t>15.</w:t>
      </w:r>
      <w:r w:rsidRPr="005A24F4">
        <w:tab/>
        <w:t xml:space="preserve">As a consequence, there were errors of law in First-tier Tribunal Judge Ford’s decision. </w:t>
      </w:r>
    </w:p>
    <w:p w:rsidR="005801AF" w:rsidRPr="005A24F4" w:rsidRDefault="005801AF" w:rsidP="009252EE">
      <w:pPr>
        <w:spacing w:line="360" w:lineRule="auto"/>
        <w:ind w:left="567" w:hanging="567"/>
        <w:jc w:val="both"/>
      </w:pPr>
    </w:p>
    <w:p w:rsidR="00CB7C19" w:rsidRPr="005A24F4" w:rsidRDefault="00CB7C19" w:rsidP="00B478BC">
      <w:pPr>
        <w:spacing w:line="360" w:lineRule="auto"/>
        <w:ind w:left="567" w:hanging="567"/>
        <w:jc w:val="both"/>
        <w:rPr>
          <w:b/>
        </w:rPr>
      </w:pPr>
      <w:r w:rsidRPr="005A24F4">
        <w:rPr>
          <w:b/>
        </w:rPr>
        <w:t xml:space="preserve">DECISION </w:t>
      </w:r>
    </w:p>
    <w:p w:rsidR="00CB7C19" w:rsidRPr="005A24F4" w:rsidRDefault="00CB7C19" w:rsidP="00026E39">
      <w:pPr>
        <w:ind w:left="567" w:hanging="567"/>
        <w:jc w:val="both"/>
        <w:rPr>
          <w:b/>
        </w:rPr>
      </w:pPr>
    </w:p>
    <w:p w:rsidR="00CB7C19" w:rsidRPr="005A24F4" w:rsidRDefault="00CB7C19" w:rsidP="00E25D2E">
      <w:pPr>
        <w:spacing w:line="360" w:lineRule="auto"/>
        <w:ind w:left="567" w:hanging="567"/>
        <w:jc w:val="both"/>
      </w:pPr>
      <w:r w:rsidRPr="005A24F4">
        <w:t>(1)</w:t>
      </w:r>
      <w:r w:rsidRPr="005A24F4">
        <w:tab/>
        <w:t>The Appellant</w:t>
      </w:r>
      <w:r w:rsidR="009252EE" w:rsidRPr="005A24F4">
        <w:t>’</w:t>
      </w:r>
      <w:r w:rsidRPr="005A24F4">
        <w:t>s</w:t>
      </w:r>
      <w:r w:rsidR="009252EE" w:rsidRPr="005A24F4">
        <w:t xml:space="preserve"> </w:t>
      </w:r>
      <w:r w:rsidRPr="005A24F4">
        <w:t>appeal</w:t>
      </w:r>
      <w:r w:rsidR="00667A58" w:rsidRPr="005A24F4">
        <w:t xml:space="preserve"> </w:t>
      </w:r>
      <w:r w:rsidR="009252EE" w:rsidRPr="005A24F4">
        <w:t>is</w:t>
      </w:r>
      <w:r w:rsidRPr="005A24F4">
        <w:t xml:space="preserve"> allowed.</w:t>
      </w:r>
    </w:p>
    <w:p w:rsidR="00667A58" w:rsidRPr="005A24F4" w:rsidRDefault="00667A58" w:rsidP="00E25D2E">
      <w:pPr>
        <w:spacing w:line="360" w:lineRule="auto"/>
        <w:ind w:left="567" w:hanging="567"/>
        <w:jc w:val="both"/>
      </w:pPr>
    </w:p>
    <w:p w:rsidR="00667A58" w:rsidRPr="005A24F4" w:rsidRDefault="00667A58" w:rsidP="00E25D2E">
      <w:pPr>
        <w:spacing w:line="360" w:lineRule="auto"/>
        <w:ind w:left="567" w:hanging="567"/>
        <w:jc w:val="both"/>
      </w:pPr>
      <w:r w:rsidRPr="005A24F4">
        <w:t>(2)</w:t>
      </w:r>
      <w:r w:rsidRPr="005A24F4">
        <w:tab/>
        <w:t xml:space="preserve">First-tier Tribunal Judge </w:t>
      </w:r>
      <w:r w:rsidR="00873F84" w:rsidRPr="005A24F4">
        <w:t>Ford</w:t>
      </w:r>
      <w:r w:rsidRPr="005A24F4">
        <w:t>’s decision is set aside.</w:t>
      </w:r>
    </w:p>
    <w:p w:rsidR="00CB7C19" w:rsidRPr="005A24F4" w:rsidRDefault="00CB7C19" w:rsidP="00E25D2E">
      <w:pPr>
        <w:spacing w:line="360" w:lineRule="auto"/>
        <w:ind w:left="567" w:hanging="567"/>
        <w:jc w:val="both"/>
      </w:pPr>
    </w:p>
    <w:p w:rsidR="00CB7C19" w:rsidRPr="005A24F4" w:rsidRDefault="00CB7C19" w:rsidP="00AC4AA8">
      <w:pPr>
        <w:spacing w:line="360" w:lineRule="auto"/>
        <w:ind w:left="567" w:hanging="567"/>
        <w:jc w:val="both"/>
      </w:pPr>
      <w:r w:rsidRPr="005A24F4">
        <w:t>(</w:t>
      </w:r>
      <w:r w:rsidR="00667A58" w:rsidRPr="005A24F4">
        <w:t>3</w:t>
      </w:r>
      <w:r w:rsidRPr="005A24F4">
        <w:t>)</w:t>
      </w:r>
      <w:r w:rsidRPr="005A24F4">
        <w:tab/>
        <w:t>The appea</w:t>
      </w:r>
      <w:r w:rsidR="00667A58" w:rsidRPr="005A24F4">
        <w:t>l is</w:t>
      </w:r>
      <w:r w:rsidR="009640AE" w:rsidRPr="005A24F4">
        <w:t xml:space="preserve"> </w:t>
      </w:r>
      <w:r w:rsidRPr="005A24F4">
        <w:t xml:space="preserve">remitted to the First-tier Tribunal to be heard </w:t>
      </w:r>
      <w:r w:rsidRPr="005A24F4">
        <w:rPr>
          <w:i/>
        </w:rPr>
        <w:t xml:space="preserve">de novo </w:t>
      </w:r>
      <w:r w:rsidRPr="005A24F4">
        <w:t xml:space="preserve">before a First-tier Tribunal Judge other than First-tier Tribunal Judge </w:t>
      </w:r>
      <w:r w:rsidR="00873F84" w:rsidRPr="005A24F4">
        <w:t>Ford</w:t>
      </w:r>
      <w:r w:rsidR="00667A58" w:rsidRPr="005A24F4">
        <w:t xml:space="preserve"> and First-tier Tribunal Judge </w:t>
      </w:r>
      <w:r w:rsidR="00873F84" w:rsidRPr="005A24F4">
        <w:t>Woodcraft</w:t>
      </w:r>
      <w:r w:rsidRPr="005A24F4">
        <w:t xml:space="preserve">.   </w:t>
      </w:r>
    </w:p>
    <w:p w:rsidR="004E40E2" w:rsidRPr="005A24F4" w:rsidRDefault="004E40E2" w:rsidP="00AC4AA8">
      <w:pPr>
        <w:spacing w:line="360" w:lineRule="auto"/>
        <w:ind w:left="567" w:hanging="567"/>
        <w:jc w:val="both"/>
      </w:pPr>
    </w:p>
    <w:p w:rsidR="00CB7C19" w:rsidRPr="005A24F4" w:rsidRDefault="00CB7C19" w:rsidP="00026E39">
      <w:pPr>
        <w:jc w:val="both"/>
        <w:rPr>
          <w:sz w:val="40"/>
        </w:rPr>
      </w:pPr>
      <w:r w:rsidRPr="005A24F4">
        <w:rPr>
          <w:sz w:val="40"/>
        </w:rPr>
        <w:t>Nadine Finch</w:t>
      </w:r>
    </w:p>
    <w:p w:rsidR="00CB7C19" w:rsidRPr="005A24F4" w:rsidRDefault="00CB7C19" w:rsidP="00026E39">
      <w:pPr>
        <w:ind w:left="567" w:hanging="567"/>
        <w:jc w:val="both"/>
      </w:pPr>
    </w:p>
    <w:p w:rsidR="00CB7C19" w:rsidRPr="005A24F4" w:rsidRDefault="00CB7C19" w:rsidP="00847259">
      <w:pPr>
        <w:jc w:val="both"/>
      </w:pPr>
      <w:r w:rsidRPr="005A24F4">
        <w:t>Signed</w:t>
      </w:r>
      <w:r w:rsidRPr="005A24F4">
        <w:tab/>
      </w:r>
      <w:r w:rsidRPr="005A24F4">
        <w:tab/>
      </w:r>
      <w:r w:rsidRPr="005A24F4">
        <w:tab/>
      </w:r>
      <w:r w:rsidRPr="005A24F4">
        <w:tab/>
      </w:r>
      <w:r w:rsidRPr="005A24F4">
        <w:tab/>
      </w:r>
      <w:r w:rsidRPr="005A24F4">
        <w:tab/>
      </w:r>
      <w:r w:rsidRPr="005A24F4">
        <w:tab/>
      </w:r>
      <w:r w:rsidRPr="005A24F4">
        <w:tab/>
        <w:t xml:space="preserve">Date </w:t>
      </w:r>
      <w:r w:rsidR="008A589F" w:rsidRPr="005A24F4">
        <w:t>30</w:t>
      </w:r>
      <w:r w:rsidR="002B4420" w:rsidRPr="005A24F4">
        <w:t xml:space="preserve"> July</w:t>
      </w:r>
      <w:r w:rsidRPr="005A24F4">
        <w:t xml:space="preserve"> 2018</w:t>
      </w:r>
    </w:p>
    <w:p w:rsidR="00CB7C19" w:rsidRPr="005A24F4" w:rsidRDefault="00CB7C19" w:rsidP="00847259">
      <w:pPr>
        <w:jc w:val="both"/>
      </w:pPr>
    </w:p>
    <w:p w:rsidR="00CB7C19" w:rsidRPr="005A24F4" w:rsidRDefault="00CB7C19" w:rsidP="00847259">
      <w:pPr>
        <w:jc w:val="both"/>
        <w:rPr>
          <w:color w:val="000000"/>
        </w:rPr>
      </w:pPr>
      <w:r w:rsidRPr="005A24F4">
        <w:rPr>
          <w:color w:val="000000"/>
        </w:rPr>
        <w:t xml:space="preserve">Upper Tribunal Judge Finch </w:t>
      </w:r>
    </w:p>
    <w:p w:rsidR="00CB7C19" w:rsidRPr="005A24F4" w:rsidRDefault="00CB7C19" w:rsidP="00847259">
      <w:pPr>
        <w:jc w:val="both"/>
        <w:rPr>
          <w:color w:val="000000"/>
        </w:rPr>
      </w:pPr>
    </w:p>
    <w:p w:rsidR="00CB7C19" w:rsidRPr="005A24F4" w:rsidRDefault="00CB7C19" w:rsidP="00847259">
      <w:pPr>
        <w:jc w:val="both"/>
        <w:rPr>
          <w:color w:val="000000"/>
        </w:rPr>
      </w:pPr>
      <w:bookmarkStart w:id="0" w:name="_GoBack"/>
      <w:bookmarkEnd w:id="0"/>
    </w:p>
    <w:sectPr w:rsidR="00CB7C19" w:rsidRPr="005A24F4" w:rsidSect="008419CB">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A95" w:rsidRDefault="00950A95">
      <w:r>
        <w:separator/>
      </w:r>
    </w:p>
  </w:endnote>
  <w:endnote w:type="continuationSeparator" w:id="0">
    <w:p w:rsidR="00950A95" w:rsidRDefault="0095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302517194"/>
      <w:docPartObj>
        <w:docPartGallery w:val="Page Numbers (Bottom of Page)"/>
        <w:docPartUnique/>
      </w:docPartObj>
    </w:sdtPr>
    <w:sdtEndPr>
      <w:rPr>
        <w:rFonts w:ascii="Times New Roman" w:hAnsi="Times New Roman"/>
        <w:noProof/>
        <w:sz w:val="24"/>
        <w:szCs w:val="24"/>
      </w:rPr>
    </w:sdtEndPr>
    <w:sdtContent>
      <w:p w:rsidR="00E677A5" w:rsidRPr="008419CB" w:rsidRDefault="00E677A5">
        <w:pPr>
          <w:pStyle w:val="Footer"/>
          <w:jc w:val="center"/>
        </w:pPr>
        <w:r w:rsidRPr="008419CB">
          <w:fldChar w:fldCharType="begin"/>
        </w:r>
        <w:r w:rsidRPr="008419CB">
          <w:instrText xml:space="preserve"> PAGE   \* MERGEFORMAT </w:instrText>
        </w:r>
        <w:r w:rsidRPr="008419CB">
          <w:fldChar w:fldCharType="separate"/>
        </w:r>
        <w:r w:rsidR="002843E8">
          <w:rPr>
            <w:noProof/>
          </w:rPr>
          <w:t>5</w:t>
        </w:r>
        <w:r w:rsidRPr="008419CB">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19" w:rsidRPr="008419CB" w:rsidRDefault="00CB7C19" w:rsidP="00A82254">
    <w:pPr>
      <w:jc w:val="center"/>
      <w:rPr>
        <w:b/>
      </w:rPr>
    </w:pPr>
    <w:r w:rsidRPr="008419CB">
      <w:rPr>
        <w:b/>
        <w:spacing w:val="-6"/>
      </w:rPr>
      <w:t>©</w:t>
    </w:r>
    <w:r w:rsidR="00D74DEC" w:rsidRPr="008419CB">
      <w:rPr>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A95" w:rsidRDefault="00950A95">
      <w:r>
        <w:separator/>
      </w:r>
    </w:p>
  </w:footnote>
  <w:footnote w:type="continuationSeparator" w:id="0">
    <w:p w:rsidR="00950A95" w:rsidRDefault="00950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19" w:rsidRDefault="0083471C" w:rsidP="0083471C">
    <w:pPr>
      <w:tabs>
        <w:tab w:val="right" w:pos="9638"/>
      </w:tabs>
      <w:rPr>
        <w:color w:val="000000"/>
        <w:sz w:val="16"/>
        <w:szCs w:val="16"/>
      </w:rPr>
    </w:pPr>
    <w:r>
      <w:rPr>
        <w:rFonts w:ascii="Book Antiqua" w:hAnsi="Book Antiqua" w:cs="Arial"/>
        <w:caps/>
        <w:color w:val="000000"/>
        <w:sz w:val="20"/>
        <w:szCs w:val="20"/>
      </w:rPr>
      <w:tab/>
    </w:r>
    <w:r w:rsidR="00CB7C19" w:rsidRPr="008419CB">
      <w:rPr>
        <w:color w:val="000000"/>
        <w:sz w:val="16"/>
        <w:szCs w:val="16"/>
      </w:rPr>
      <w:t>Appeal Number</w:t>
    </w:r>
    <w:r w:rsidR="00FA137F" w:rsidRPr="008419CB">
      <w:rPr>
        <w:color w:val="000000"/>
        <w:sz w:val="16"/>
        <w:szCs w:val="16"/>
      </w:rPr>
      <w:t xml:space="preserve"> </w:t>
    </w:r>
    <w:r w:rsidR="00762219" w:rsidRPr="008419CB">
      <w:rPr>
        <w:color w:val="000000"/>
        <w:sz w:val="16"/>
        <w:szCs w:val="16"/>
      </w:rPr>
      <w:t>HU/09051/2017</w:t>
    </w:r>
  </w:p>
  <w:p w:rsidR="008419CB" w:rsidRPr="008419CB" w:rsidRDefault="008419CB" w:rsidP="0083471C">
    <w:pPr>
      <w:tabs>
        <w:tab w:val="right" w:pos="9638"/>
      </w:tabs>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E414B89"/>
    <w:multiLevelType w:val="hybridMultilevel"/>
    <w:tmpl w:val="D2E43580"/>
    <w:lvl w:ilvl="0" w:tplc="2042ECCC">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5" w15:restartNumberingAfterBreak="0">
    <w:nsid w:val="5CB677A5"/>
    <w:multiLevelType w:val="multilevel"/>
    <w:tmpl w:val="AD2054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8" w15:restartNumberingAfterBreak="0">
    <w:nsid w:val="7F715898"/>
    <w:multiLevelType w:val="multilevel"/>
    <w:tmpl w:val="1E34174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360"/>
        </w:tabs>
        <w:ind w:left="3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7"/>
  </w:num>
  <w:num w:numId="2">
    <w:abstractNumId w:val="4"/>
  </w:num>
  <w:num w:numId="3">
    <w:abstractNumId w:val="1"/>
  </w:num>
  <w:num w:numId="4">
    <w:abstractNumId w:val="0"/>
  </w:num>
  <w:num w:numId="5">
    <w:abstractNumId w:val="6"/>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5C5B"/>
    <w:rsid w:val="00011C5D"/>
    <w:rsid w:val="00012919"/>
    <w:rsid w:val="00013EFF"/>
    <w:rsid w:val="00014893"/>
    <w:rsid w:val="00016BC5"/>
    <w:rsid w:val="00025E48"/>
    <w:rsid w:val="00026E39"/>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25C7"/>
    <w:rsid w:val="000A3D14"/>
    <w:rsid w:val="000A3F67"/>
    <w:rsid w:val="000A5B67"/>
    <w:rsid w:val="000B024E"/>
    <w:rsid w:val="000B0381"/>
    <w:rsid w:val="000B24F7"/>
    <w:rsid w:val="000B51C2"/>
    <w:rsid w:val="000B5402"/>
    <w:rsid w:val="000B6640"/>
    <w:rsid w:val="000C00D4"/>
    <w:rsid w:val="000C2CDE"/>
    <w:rsid w:val="000C3CB0"/>
    <w:rsid w:val="000C4CC2"/>
    <w:rsid w:val="000D4BC9"/>
    <w:rsid w:val="000D5D94"/>
    <w:rsid w:val="000E3A77"/>
    <w:rsid w:val="000F1A0E"/>
    <w:rsid w:val="0010028C"/>
    <w:rsid w:val="00100617"/>
    <w:rsid w:val="00102E5E"/>
    <w:rsid w:val="001069F9"/>
    <w:rsid w:val="00106C24"/>
    <w:rsid w:val="001107AD"/>
    <w:rsid w:val="00111206"/>
    <w:rsid w:val="00111800"/>
    <w:rsid w:val="0011268F"/>
    <w:rsid w:val="0011302C"/>
    <w:rsid w:val="00114C50"/>
    <w:rsid w:val="001165A7"/>
    <w:rsid w:val="00120A12"/>
    <w:rsid w:val="00121A51"/>
    <w:rsid w:val="001222AE"/>
    <w:rsid w:val="00124732"/>
    <w:rsid w:val="00124BCD"/>
    <w:rsid w:val="001263DC"/>
    <w:rsid w:val="00135190"/>
    <w:rsid w:val="001430C7"/>
    <w:rsid w:val="00144A8F"/>
    <w:rsid w:val="0014653D"/>
    <w:rsid w:val="00151509"/>
    <w:rsid w:val="001521D5"/>
    <w:rsid w:val="00161013"/>
    <w:rsid w:val="00161D7A"/>
    <w:rsid w:val="00162CB6"/>
    <w:rsid w:val="00166E37"/>
    <w:rsid w:val="00167D3A"/>
    <w:rsid w:val="00173946"/>
    <w:rsid w:val="00174D95"/>
    <w:rsid w:val="00176B08"/>
    <w:rsid w:val="00183704"/>
    <w:rsid w:val="001971C8"/>
    <w:rsid w:val="001A030A"/>
    <w:rsid w:val="001A19A9"/>
    <w:rsid w:val="001A2558"/>
    <w:rsid w:val="001A3082"/>
    <w:rsid w:val="001B091F"/>
    <w:rsid w:val="001B186A"/>
    <w:rsid w:val="001B2F75"/>
    <w:rsid w:val="001B5021"/>
    <w:rsid w:val="001B6A67"/>
    <w:rsid w:val="001B768F"/>
    <w:rsid w:val="001C1123"/>
    <w:rsid w:val="001C40FF"/>
    <w:rsid w:val="001C5143"/>
    <w:rsid w:val="001E5D7C"/>
    <w:rsid w:val="001F245E"/>
    <w:rsid w:val="001F2716"/>
    <w:rsid w:val="00200BD4"/>
    <w:rsid w:val="00203467"/>
    <w:rsid w:val="002035ED"/>
    <w:rsid w:val="00206D4A"/>
    <w:rsid w:val="00207617"/>
    <w:rsid w:val="0021618E"/>
    <w:rsid w:val="002165E3"/>
    <w:rsid w:val="00217865"/>
    <w:rsid w:val="00224D49"/>
    <w:rsid w:val="0023134B"/>
    <w:rsid w:val="002367B0"/>
    <w:rsid w:val="00236A9B"/>
    <w:rsid w:val="002376E5"/>
    <w:rsid w:val="00243EF7"/>
    <w:rsid w:val="00246B5D"/>
    <w:rsid w:val="00251979"/>
    <w:rsid w:val="00251A86"/>
    <w:rsid w:val="00252C7D"/>
    <w:rsid w:val="00253110"/>
    <w:rsid w:val="00253D70"/>
    <w:rsid w:val="002540F1"/>
    <w:rsid w:val="00254DBC"/>
    <w:rsid w:val="00256EEF"/>
    <w:rsid w:val="002630D9"/>
    <w:rsid w:val="00264D85"/>
    <w:rsid w:val="00266099"/>
    <w:rsid w:val="00267EBB"/>
    <w:rsid w:val="00271A88"/>
    <w:rsid w:val="002809C0"/>
    <w:rsid w:val="00283659"/>
    <w:rsid w:val="002843E8"/>
    <w:rsid w:val="00287C9C"/>
    <w:rsid w:val="002946D1"/>
    <w:rsid w:val="002A5013"/>
    <w:rsid w:val="002A78E2"/>
    <w:rsid w:val="002B342D"/>
    <w:rsid w:val="002B4420"/>
    <w:rsid w:val="002C6BD4"/>
    <w:rsid w:val="002D083B"/>
    <w:rsid w:val="002D0E6D"/>
    <w:rsid w:val="002D56FD"/>
    <w:rsid w:val="002D68BF"/>
    <w:rsid w:val="002D6C34"/>
    <w:rsid w:val="002E7EA9"/>
    <w:rsid w:val="002F0F14"/>
    <w:rsid w:val="002F6B98"/>
    <w:rsid w:val="002F7BBB"/>
    <w:rsid w:val="00300D36"/>
    <w:rsid w:val="00300EFA"/>
    <w:rsid w:val="00302B72"/>
    <w:rsid w:val="00303BAF"/>
    <w:rsid w:val="003179B6"/>
    <w:rsid w:val="00321375"/>
    <w:rsid w:val="00322667"/>
    <w:rsid w:val="003257CA"/>
    <w:rsid w:val="003343B2"/>
    <w:rsid w:val="00335737"/>
    <w:rsid w:val="00336CBF"/>
    <w:rsid w:val="0034179C"/>
    <w:rsid w:val="00343FE3"/>
    <w:rsid w:val="0034796B"/>
    <w:rsid w:val="003523E4"/>
    <w:rsid w:val="00353B0E"/>
    <w:rsid w:val="003546C8"/>
    <w:rsid w:val="003626A1"/>
    <w:rsid w:val="00363410"/>
    <w:rsid w:val="0037519F"/>
    <w:rsid w:val="00376618"/>
    <w:rsid w:val="00376763"/>
    <w:rsid w:val="00382F7D"/>
    <w:rsid w:val="00384748"/>
    <w:rsid w:val="003863F7"/>
    <w:rsid w:val="00390A01"/>
    <w:rsid w:val="00394E67"/>
    <w:rsid w:val="00395C30"/>
    <w:rsid w:val="00396330"/>
    <w:rsid w:val="00397C8F"/>
    <w:rsid w:val="003A0375"/>
    <w:rsid w:val="003A7CF2"/>
    <w:rsid w:val="003C5CE5"/>
    <w:rsid w:val="003D3F1E"/>
    <w:rsid w:val="003D461D"/>
    <w:rsid w:val="003D549E"/>
    <w:rsid w:val="003E015F"/>
    <w:rsid w:val="003E267B"/>
    <w:rsid w:val="003E3C30"/>
    <w:rsid w:val="003E7CC8"/>
    <w:rsid w:val="003E7CD1"/>
    <w:rsid w:val="003F4C61"/>
    <w:rsid w:val="00400C3E"/>
    <w:rsid w:val="00401DA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53127"/>
    <w:rsid w:val="0045568B"/>
    <w:rsid w:val="0046060F"/>
    <w:rsid w:val="00464DE1"/>
    <w:rsid w:val="004672C1"/>
    <w:rsid w:val="00471E3C"/>
    <w:rsid w:val="00473BE7"/>
    <w:rsid w:val="00477193"/>
    <w:rsid w:val="00484940"/>
    <w:rsid w:val="004931D1"/>
    <w:rsid w:val="004939DE"/>
    <w:rsid w:val="004A00B4"/>
    <w:rsid w:val="004A1848"/>
    <w:rsid w:val="004A1985"/>
    <w:rsid w:val="004A34EE"/>
    <w:rsid w:val="004A6F4A"/>
    <w:rsid w:val="004B2449"/>
    <w:rsid w:val="004B5275"/>
    <w:rsid w:val="004B66BF"/>
    <w:rsid w:val="004B7E8C"/>
    <w:rsid w:val="004C1D93"/>
    <w:rsid w:val="004C5D11"/>
    <w:rsid w:val="004C6EC3"/>
    <w:rsid w:val="004E1E3A"/>
    <w:rsid w:val="004E40E2"/>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6F43"/>
    <w:rsid w:val="00537E50"/>
    <w:rsid w:val="005420FD"/>
    <w:rsid w:val="00543D39"/>
    <w:rsid w:val="00547222"/>
    <w:rsid w:val="00547356"/>
    <w:rsid w:val="005473D4"/>
    <w:rsid w:val="005479E1"/>
    <w:rsid w:val="00553E0A"/>
    <w:rsid w:val="00556B0D"/>
    <w:rsid w:val="005570FD"/>
    <w:rsid w:val="005575EA"/>
    <w:rsid w:val="005611D9"/>
    <w:rsid w:val="005630AD"/>
    <w:rsid w:val="0056365B"/>
    <w:rsid w:val="00565359"/>
    <w:rsid w:val="005661A7"/>
    <w:rsid w:val="0056624B"/>
    <w:rsid w:val="00571979"/>
    <w:rsid w:val="0057790C"/>
    <w:rsid w:val="005801AF"/>
    <w:rsid w:val="005836E0"/>
    <w:rsid w:val="00590558"/>
    <w:rsid w:val="00593795"/>
    <w:rsid w:val="00595102"/>
    <w:rsid w:val="00596130"/>
    <w:rsid w:val="005A11EA"/>
    <w:rsid w:val="005A24F4"/>
    <w:rsid w:val="005A6895"/>
    <w:rsid w:val="005A75FF"/>
    <w:rsid w:val="005B7413"/>
    <w:rsid w:val="005C2B9C"/>
    <w:rsid w:val="005C3EB1"/>
    <w:rsid w:val="005C720F"/>
    <w:rsid w:val="005D0062"/>
    <w:rsid w:val="005D10AB"/>
    <w:rsid w:val="005D603D"/>
    <w:rsid w:val="005E34E2"/>
    <w:rsid w:val="005E3B61"/>
    <w:rsid w:val="005F3EB4"/>
    <w:rsid w:val="005F7557"/>
    <w:rsid w:val="00601D8F"/>
    <w:rsid w:val="00602C67"/>
    <w:rsid w:val="00602FB3"/>
    <w:rsid w:val="0060435A"/>
    <w:rsid w:val="00604A30"/>
    <w:rsid w:val="00606611"/>
    <w:rsid w:val="00610B20"/>
    <w:rsid w:val="00614EA6"/>
    <w:rsid w:val="0062078F"/>
    <w:rsid w:val="00627B05"/>
    <w:rsid w:val="0063325D"/>
    <w:rsid w:val="00636BB7"/>
    <w:rsid w:val="006408F7"/>
    <w:rsid w:val="00643D0C"/>
    <w:rsid w:val="00643F31"/>
    <w:rsid w:val="0064652F"/>
    <w:rsid w:val="00646D54"/>
    <w:rsid w:val="006479DD"/>
    <w:rsid w:val="00652381"/>
    <w:rsid w:val="00653E97"/>
    <w:rsid w:val="00667A58"/>
    <w:rsid w:val="006702B4"/>
    <w:rsid w:val="006705BC"/>
    <w:rsid w:val="00672884"/>
    <w:rsid w:val="006808BA"/>
    <w:rsid w:val="00681052"/>
    <w:rsid w:val="00684A74"/>
    <w:rsid w:val="0068707D"/>
    <w:rsid w:val="00690B8A"/>
    <w:rsid w:val="00693BA8"/>
    <w:rsid w:val="006A1FD8"/>
    <w:rsid w:val="006A5E43"/>
    <w:rsid w:val="006B2C82"/>
    <w:rsid w:val="006B3E15"/>
    <w:rsid w:val="006B48F0"/>
    <w:rsid w:val="006C0A52"/>
    <w:rsid w:val="006C2275"/>
    <w:rsid w:val="006C5055"/>
    <w:rsid w:val="006C5230"/>
    <w:rsid w:val="006C7066"/>
    <w:rsid w:val="006D091B"/>
    <w:rsid w:val="006E47C4"/>
    <w:rsid w:val="006F2CF1"/>
    <w:rsid w:val="006F73F1"/>
    <w:rsid w:val="00701A03"/>
    <w:rsid w:val="00702792"/>
    <w:rsid w:val="00702B91"/>
    <w:rsid w:val="00703184"/>
    <w:rsid w:val="007038ED"/>
    <w:rsid w:val="00703BC3"/>
    <w:rsid w:val="00704B61"/>
    <w:rsid w:val="00705AFB"/>
    <w:rsid w:val="00724968"/>
    <w:rsid w:val="00725575"/>
    <w:rsid w:val="007276FF"/>
    <w:rsid w:val="007326A3"/>
    <w:rsid w:val="00744073"/>
    <w:rsid w:val="00745C27"/>
    <w:rsid w:val="00747519"/>
    <w:rsid w:val="007552A9"/>
    <w:rsid w:val="00761858"/>
    <w:rsid w:val="00762219"/>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BD6"/>
    <w:rsid w:val="007B4374"/>
    <w:rsid w:val="007B5330"/>
    <w:rsid w:val="007B5D3C"/>
    <w:rsid w:val="007C0095"/>
    <w:rsid w:val="007C6FA5"/>
    <w:rsid w:val="007D4375"/>
    <w:rsid w:val="007D543D"/>
    <w:rsid w:val="007D63FF"/>
    <w:rsid w:val="007E2895"/>
    <w:rsid w:val="007F2534"/>
    <w:rsid w:val="007F339D"/>
    <w:rsid w:val="00804815"/>
    <w:rsid w:val="00806A73"/>
    <w:rsid w:val="0080713D"/>
    <w:rsid w:val="008130CE"/>
    <w:rsid w:val="00813153"/>
    <w:rsid w:val="00821B72"/>
    <w:rsid w:val="00823EF2"/>
    <w:rsid w:val="008245E9"/>
    <w:rsid w:val="00826B2A"/>
    <w:rsid w:val="00827025"/>
    <w:rsid w:val="008303B8"/>
    <w:rsid w:val="00830810"/>
    <w:rsid w:val="00831918"/>
    <w:rsid w:val="00831E27"/>
    <w:rsid w:val="00833D8D"/>
    <w:rsid w:val="00833DCE"/>
    <w:rsid w:val="0083471C"/>
    <w:rsid w:val="00841072"/>
    <w:rsid w:val="008419CB"/>
    <w:rsid w:val="00847259"/>
    <w:rsid w:val="008478F6"/>
    <w:rsid w:val="008516F1"/>
    <w:rsid w:val="008537F9"/>
    <w:rsid w:val="00854534"/>
    <w:rsid w:val="00854894"/>
    <w:rsid w:val="008566D0"/>
    <w:rsid w:val="0086738E"/>
    <w:rsid w:val="00871063"/>
    <w:rsid w:val="00871D34"/>
    <w:rsid w:val="00873F84"/>
    <w:rsid w:val="00874D45"/>
    <w:rsid w:val="0087528C"/>
    <w:rsid w:val="00877198"/>
    <w:rsid w:val="00881860"/>
    <w:rsid w:val="00891016"/>
    <w:rsid w:val="0089348F"/>
    <w:rsid w:val="00897C8C"/>
    <w:rsid w:val="008A2695"/>
    <w:rsid w:val="008A589F"/>
    <w:rsid w:val="008A7E3E"/>
    <w:rsid w:val="008B270C"/>
    <w:rsid w:val="008B2F0F"/>
    <w:rsid w:val="008B5078"/>
    <w:rsid w:val="008C12BC"/>
    <w:rsid w:val="008C3D3D"/>
    <w:rsid w:val="008D1135"/>
    <w:rsid w:val="008D4131"/>
    <w:rsid w:val="008E0286"/>
    <w:rsid w:val="008E7B93"/>
    <w:rsid w:val="008F1932"/>
    <w:rsid w:val="008F1BDC"/>
    <w:rsid w:val="008F4587"/>
    <w:rsid w:val="008F48D0"/>
    <w:rsid w:val="008F4C67"/>
    <w:rsid w:val="008F6C0F"/>
    <w:rsid w:val="00901A46"/>
    <w:rsid w:val="00920EC0"/>
    <w:rsid w:val="00921062"/>
    <w:rsid w:val="00921E1F"/>
    <w:rsid w:val="00922444"/>
    <w:rsid w:val="009239B0"/>
    <w:rsid w:val="00924D93"/>
    <w:rsid w:val="009252EE"/>
    <w:rsid w:val="009276B8"/>
    <w:rsid w:val="00947565"/>
    <w:rsid w:val="00950A95"/>
    <w:rsid w:val="00950F7D"/>
    <w:rsid w:val="009530C8"/>
    <w:rsid w:val="00953E15"/>
    <w:rsid w:val="00955EEC"/>
    <w:rsid w:val="00956C43"/>
    <w:rsid w:val="009604E6"/>
    <w:rsid w:val="00961434"/>
    <w:rsid w:val="009617A1"/>
    <w:rsid w:val="00963E6D"/>
    <w:rsid w:val="00963ED3"/>
    <w:rsid w:val="00963F7F"/>
    <w:rsid w:val="009640AE"/>
    <w:rsid w:val="00965C3E"/>
    <w:rsid w:val="009722BC"/>
    <w:rsid w:val="009727A3"/>
    <w:rsid w:val="00974225"/>
    <w:rsid w:val="009771B1"/>
    <w:rsid w:val="00980665"/>
    <w:rsid w:val="00984B68"/>
    <w:rsid w:val="00984E64"/>
    <w:rsid w:val="00987774"/>
    <w:rsid w:val="0099516E"/>
    <w:rsid w:val="009A11E8"/>
    <w:rsid w:val="009A244B"/>
    <w:rsid w:val="009A39E7"/>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5234"/>
    <w:rsid w:val="00A201AB"/>
    <w:rsid w:val="00A2642D"/>
    <w:rsid w:val="00A26459"/>
    <w:rsid w:val="00A31C8B"/>
    <w:rsid w:val="00A32CD1"/>
    <w:rsid w:val="00A40BC5"/>
    <w:rsid w:val="00A46E02"/>
    <w:rsid w:val="00A46E45"/>
    <w:rsid w:val="00A509FA"/>
    <w:rsid w:val="00A53185"/>
    <w:rsid w:val="00A54BD6"/>
    <w:rsid w:val="00A564E3"/>
    <w:rsid w:val="00A575DA"/>
    <w:rsid w:val="00A57B5D"/>
    <w:rsid w:val="00A6017F"/>
    <w:rsid w:val="00A61FE2"/>
    <w:rsid w:val="00A6486B"/>
    <w:rsid w:val="00A659B5"/>
    <w:rsid w:val="00A71F7C"/>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C217A"/>
    <w:rsid w:val="00AC4AA8"/>
    <w:rsid w:val="00AC6CDD"/>
    <w:rsid w:val="00AD1233"/>
    <w:rsid w:val="00AD5231"/>
    <w:rsid w:val="00AD7BB2"/>
    <w:rsid w:val="00AE1861"/>
    <w:rsid w:val="00AE47FD"/>
    <w:rsid w:val="00AE6DDE"/>
    <w:rsid w:val="00AE7D0A"/>
    <w:rsid w:val="00AE7D4D"/>
    <w:rsid w:val="00AF6109"/>
    <w:rsid w:val="00B03D62"/>
    <w:rsid w:val="00B04B47"/>
    <w:rsid w:val="00B04BD3"/>
    <w:rsid w:val="00B14A0F"/>
    <w:rsid w:val="00B14DB5"/>
    <w:rsid w:val="00B20AD8"/>
    <w:rsid w:val="00B25CB9"/>
    <w:rsid w:val="00B26AA2"/>
    <w:rsid w:val="00B30647"/>
    <w:rsid w:val="00B34549"/>
    <w:rsid w:val="00B3524D"/>
    <w:rsid w:val="00B354CC"/>
    <w:rsid w:val="00B40F69"/>
    <w:rsid w:val="00B40FFF"/>
    <w:rsid w:val="00B46616"/>
    <w:rsid w:val="00B478BC"/>
    <w:rsid w:val="00B50946"/>
    <w:rsid w:val="00B515A8"/>
    <w:rsid w:val="00B5248D"/>
    <w:rsid w:val="00B55F62"/>
    <w:rsid w:val="00B601E0"/>
    <w:rsid w:val="00B62149"/>
    <w:rsid w:val="00B7040A"/>
    <w:rsid w:val="00B73518"/>
    <w:rsid w:val="00B802B0"/>
    <w:rsid w:val="00B83391"/>
    <w:rsid w:val="00B84192"/>
    <w:rsid w:val="00B84A71"/>
    <w:rsid w:val="00B87C01"/>
    <w:rsid w:val="00B93154"/>
    <w:rsid w:val="00B95326"/>
    <w:rsid w:val="00B97CED"/>
    <w:rsid w:val="00BA295F"/>
    <w:rsid w:val="00BB5234"/>
    <w:rsid w:val="00BB7A60"/>
    <w:rsid w:val="00BB7C68"/>
    <w:rsid w:val="00BC042A"/>
    <w:rsid w:val="00BC0C41"/>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19C"/>
    <w:rsid w:val="00C355A8"/>
    <w:rsid w:val="00C43662"/>
    <w:rsid w:val="00C43BFD"/>
    <w:rsid w:val="00C53074"/>
    <w:rsid w:val="00C63FCE"/>
    <w:rsid w:val="00C72D54"/>
    <w:rsid w:val="00C74B35"/>
    <w:rsid w:val="00C87A30"/>
    <w:rsid w:val="00C942F8"/>
    <w:rsid w:val="00C94635"/>
    <w:rsid w:val="00CA10DE"/>
    <w:rsid w:val="00CB464F"/>
    <w:rsid w:val="00CB4AB2"/>
    <w:rsid w:val="00CB5088"/>
    <w:rsid w:val="00CB575C"/>
    <w:rsid w:val="00CB5C75"/>
    <w:rsid w:val="00CB6CFF"/>
    <w:rsid w:val="00CB6E35"/>
    <w:rsid w:val="00CB7C19"/>
    <w:rsid w:val="00CC295A"/>
    <w:rsid w:val="00CC76F0"/>
    <w:rsid w:val="00CD3634"/>
    <w:rsid w:val="00CD3B1E"/>
    <w:rsid w:val="00CD3E3A"/>
    <w:rsid w:val="00CD58CE"/>
    <w:rsid w:val="00CD59AC"/>
    <w:rsid w:val="00CD643A"/>
    <w:rsid w:val="00CD7CCB"/>
    <w:rsid w:val="00CE1A46"/>
    <w:rsid w:val="00CE1B9B"/>
    <w:rsid w:val="00CE3602"/>
    <w:rsid w:val="00CE5824"/>
    <w:rsid w:val="00CF20B6"/>
    <w:rsid w:val="00D01A25"/>
    <w:rsid w:val="00D06C8C"/>
    <w:rsid w:val="00D11C22"/>
    <w:rsid w:val="00D142FC"/>
    <w:rsid w:val="00D20757"/>
    <w:rsid w:val="00D22636"/>
    <w:rsid w:val="00D27055"/>
    <w:rsid w:val="00D32D6A"/>
    <w:rsid w:val="00D33AF2"/>
    <w:rsid w:val="00D3569D"/>
    <w:rsid w:val="00D40687"/>
    <w:rsid w:val="00D40FD9"/>
    <w:rsid w:val="00D42BE3"/>
    <w:rsid w:val="00D45631"/>
    <w:rsid w:val="00D53769"/>
    <w:rsid w:val="00D558B3"/>
    <w:rsid w:val="00D56507"/>
    <w:rsid w:val="00D576FD"/>
    <w:rsid w:val="00D57890"/>
    <w:rsid w:val="00D67C17"/>
    <w:rsid w:val="00D71CB7"/>
    <w:rsid w:val="00D73B10"/>
    <w:rsid w:val="00D74DEC"/>
    <w:rsid w:val="00D76EB4"/>
    <w:rsid w:val="00D80907"/>
    <w:rsid w:val="00D858C5"/>
    <w:rsid w:val="00D85C13"/>
    <w:rsid w:val="00D87AF7"/>
    <w:rsid w:val="00D9111A"/>
    <w:rsid w:val="00D91BE3"/>
    <w:rsid w:val="00D9291A"/>
    <w:rsid w:val="00D92B45"/>
    <w:rsid w:val="00D9445B"/>
    <w:rsid w:val="00D94AFC"/>
    <w:rsid w:val="00DA31CD"/>
    <w:rsid w:val="00DA7299"/>
    <w:rsid w:val="00DB032D"/>
    <w:rsid w:val="00DB0FA2"/>
    <w:rsid w:val="00DB2824"/>
    <w:rsid w:val="00DB2DF1"/>
    <w:rsid w:val="00DB4CF2"/>
    <w:rsid w:val="00DB6169"/>
    <w:rsid w:val="00DB70AE"/>
    <w:rsid w:val="00DC1BD4"/>
    <w:rsid w:val="00DC39E7"/>
    <w:rsid w:val="00DC6179"/>
    <w:rsid w:val="00DC719A"/>
    <w:rsid w:val="00DD1BBC"/>
    <w:rsid w:val="00DD228A"/>
    <w:rsid w:val="00DD4868"/>
    <w:rsid w:val="00DD5071"/>
    <w:rsid w:val="00DD5C39"/>
    <w:rsid w:val="00DE6345"/>
    <w:rsid w:val="00DE7DB7"/>
    <w:rsid w:val="00DF01B2"/>
    <w:rsid w:val="00DF09E9"/>
    <w:rsid w:val="00DF0EC0"/>
    <w:rsid w:val="00DF7CE2"/>
    <w:rsid w:val="00E00973"/>
    <w:rsid w:val="00E00A0A"/>
    <w:rsid w:val="00E03875"/>
    <w:rsid w:val="00E05ECE"/>
    <w:rsid w:val="00E066DE"/>
    <w:rsid w:val="00E07F57"/>
    <w:rsid w:val="00E142AF"/>
    <w:rsid w:val="00E14C03"/>
    <w:rsid w:val="00E17463"/>
    <w:rsid w:val="00E17E24"/>
    <w:rsid w:val="00E25182"/>
    <w:rsid w:val="00E25D2E"/>
    <w:rsid w:val="00E30683"/>
    <w:rsid w:val="00E44B41"/>
    <w:rsid w:val="00E453D8"/>
    <w:rsid w:val="00E47401"/>
    <w:rsid w:val="00E50BCE"/>
    <w:rsid w:val="00E51F18"/>
    <w:rsid w:val="00E52B70"/>
    <w:rsid w:val="00E574BF"/>
    <w:rsid w:val="00E57959"/>
    <w:rsid w:val="00E61292"/>
    <w:rsid w:val="00E61AB9"/>
    <w:rsid w:val="00E6703A"/>
    <w:rsid w:val="00E67616"/>
    <w:rsid w:val="00E677A5"/>
    <w:rsid w:val="00E75E86"/>
    <w:rsid w:val="00E77C4D"/>
    <w:rsid w:val="00E81D01"/>
    <w:rsid w:val="00E83B41"/>
    <w:rsid w:val="00E841E4"/>
    <w:rsid w:val="00E845A5"/>
    <w:rsid w:val="00E848CE"/>
    <w:rsid w:val="00E85E57"/>
    <w:rsid w:val="00E95E09"/>
    <w:rsid w:val="00EA4A5B"/>
    <w:rsid w:val="00EA53CE"/>
    <w:rsid w:val="00EB5DB7"/>
    <w:rsid w:val="00EB5FC7"/>
    <w:rsid w:val="00EB71D2"/>
    <w:rsid w:val="00EB772A"/>
    <w:rsid w:val="00EC0100"/>
    <w:rsid w:val="00EC3926"/>
    <w:rsid w:val="00ED345E"/>
    <w:rsid w:val="00ED4DFD"/>
    <w:rsid w:val="00ED5594"/>
    <w:rsid w:val="00ED56AC"/>
    <w:rsid w:val="00ED5C52"/>
    <w:rsid w:val="00ED7C65"/>
    <w:rsid w:val="00EE1E3E"/>
    <w:rsid w:val="00EE45D8"/>
    <w:rsid w:val="00EF488C"/>
    <w:rsid w:val="00EF49CF"/>
    <w:rsid w:val="00F040D9"/>
    <w:rsid w:val="00F05F28"/>
    <w:rsid w:val="00F115EC"/>
    <w:rsid w:val="00F15CE3"/>
    <w:rsid w:val="00F179F0"/>
    <w:rsid w:val="00F22EDA"/>
    <w:rsid w:val="00F246FD"/>
    <w:rsid w:val="00F2664D"/>
    <w:rsid w:val="00F301F6"/>
    <w:rsid w:val="00F312FD"/>
    <w:rsid w:val="00F34B59"/>
    <w:rsid w:val="00F41E63"/>
    <w:rsid w:val="00F563E7"/>
    <w:rsid w:val="00F63267"/>
    <w:rsid w:val="00F729E6"/>
    <w:rsid w:val="00F74FA7"/>
    <w:rsid w:val="00F75D7A"/>
    <w:rsid w:val="00F760DA"/>
    <w:rsid w:val="00F84B01"/>
    <w:rsid w:val="00F85BA0"/>
    <w:rsid w:val="00F97364"/>
    <w:rsid w:val="00FA040C"/>
    <w:rsid w:val="00FA137F"/>
    <w:rsid w:val="00FA1DB5"/>
    <w:rsid w:val="00FA546D"/>
    <w:rsid w:val="00FA608B"/>
    <w:rsid w:val="00FB05E3"/>
    <w:rsid w:val="00FB66A9"/>
    <w:rsid w:val="00FB6DB1"/>
    <w:rsid w:val="00FC244D"/>
    <w:rsid w:val="00FC4DDB"/>
    <w:rsid w:val="00FD3222"/>
    <w:rsid w:val="00FE20E0"/>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56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styleId="ListParagraph">
    <w:name w:val="List Paragraph"/>
    <w:basedOn w:val="Normal"/>
    <w:uiPriority w:val="99"/>
    <w:qFormat/>
    <w:rsid w:val="001E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3126">
      <w:marLeft w:val="0"/>
      <w:marRight w:val="0"/>
      <w:marTop w:val="0"/>
      <w:marBottom w:val="0"/>
      <w:divBdr>
        <w:top w:val="none" w:sz="0" w:space="0" w:color="auto"/>
        <w:left w:val="none" w:sz="0" w:space="0" w:color="auto"/>
        <w:bottom w:val="none" w:sz="0" w:space="0" w:color="auto"/>
        <w:right w:val="none" w:sz="0" w:space="0" w:color="auto"/>
      </w:divBdr>
    </w:div>
    <w:div w:id="76023127">
      <w:marLeft w:val="0"/>
      <w:marRight w:val="0"/>
      <w:marTop w:val="0"/>
      <w:marBottom w:val="0"/>
      <w:divBdr>
        <w:top w:val="none" w:sz="0" w:space="0" w:color="auto"/>
        <w:left w:val="none" w:sz="0" w:space="0" w:color="auto"/>
        <w:bottom w:val="none" w:sz="0" w:space="0" w:color="auto"/>
        <w:right w:val="none" w:sz="0" w:space="0" w:color="auto"/>
      </w:divBdr>
      <w:divsChild>
        <w:div w:id="76023133">
          <w:marLeft w:val="0"/>
          <w:marRight w:val="0"/>
          <w:marTop w:val="0"/>
          <w:marBottom w:val="0"/>
          <w:divBdr>
            <w:top w:val="none" w:sz="0" w:space="0" w:color="auto"/>
            <w:left w:val="none" w:sz="0" w:space="0" w:color="auto"/>
            <w:bottom w:val="none" w:sz="0" w:space="0" w:color="auto"/>
            <w:right w:val="none" w:sz="0" w:space="0" w:color="auto"/>
          </w:divBdr>
          <w:divsChild>
            <w:div w:id="76023134">
              <w:marLeft w:val="0"/>
              <w:marRight w:val="0"/>
              <w:marTop w:val="0"/>
              <w:marBottom w:val="0"/>
              <w:divBdr>
                <w:top w:val="single" w:sz="2" w:space="0" w:color="FFFFFF"/>
                <w:left w:val="single" w:sz="6" w:space="0" w:color="FFFFFF"/>
                <w:bottom w:val="single" w:sz="6" w:space="0" w:color="FFFFFF"/>
                <w:right w:val="single" w:sz="6" w:space="0" w:color="FFFFFF"/>
              </w:divBdr>
              <w:divsChild>
                <w:div w:id="76023135">
                  <w:marLeft w:val="0"/>
                  <w:marRight w:val="0"/>
                  <w:marTop w:val="0"/>
                  <w:marBottom w:val="0"/>
                  <w:divBdr>
                    <w:top w:val="single" w:sz="6" w:space="1" w:color="D3D3D3"/>
                    <w:left w:val="none" w:sz="0" w:space="0" w:color="auto"/>
                    <w:bottom w:val="none" w:sz="0" w:space="0" w:color="auto"/>
                    <w:right w:val="none" w:sz="0" w:space="0" w:color="auto"/>
                  </w:divBdr>
                  <w:divsChild>
                    <w:div w:id="760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3129">
      <w:marLeft w:val="0"/>
      <w:marRight w:val="0"/>
      <w:marTop w:val="0"/>
      <w:marBottom w:val="0"/>
      <w:divBdr>
        <w:top w:val="none" w:sz="0" w:space="0" w:color="auto"/>
        <w:left w:val="none" w:sz="0" w:space="0" w:color="auto"/>
        <w:bottom w:val="none" w:sz="0" w:space="0" w:color="auto"/>
        <w:right w:val="none" w:sz="0" w:space="0" w:color="auto"/>
      </w:divBdr>
    </w:div>
    <w:div w:id="76023130">
      <w:marLeft w:val="0"/>
      <w:marRight w:val="0"/>
      <w:marTop w:val="0"/>
      <w:marBottom w:val="0"/>
      <w:divBdr>
        <w:top w:val="none" w:sz="0" w:space="0" w:color="auto"/>
        <w:left w:val="none" w:sz="0" w:space="0" w:color="auto"/>
        <w:bottom w:val="none" w:sz="0" w:space="0" w:color="auto"/>
        <w:right w:val="none" w:sz="0" w:space="0" w:color="auto"/>
      </w:divBdr>
    </w:div>
    <w:div w:id="76023131">
      <w:marLeft w:val="0"/>
      <w:marRight w:val="0"/>
      <w:marTop w:val="0"/>
      <w:marBottom w:val="0"/>
      <w:divBdr>
        <w:top w:val="none" w:sz="0" w:space="0" w:color="auto"/>
        <w:left w:val="none" w:sz="0" w:space="0" w:color="auto"/>
        <w:bottom w:val="none" w:sz="0" w:space="0" w:color="auto"/>
        <w:right w:val="none" w:sz="0" w:space="0" w:color="auto"/>
      </w:divBdr>
    </w:div>
    <w:div w:id="76023132">
      <w:marLeft w:val="0"/>
      <w:marRight w:val="0"/>
      <w:marTop w:val="0"/>
      <w:marBottom w:val="0"/>
      <w:divBdr>
        <w:top w:val="none" w:sz="0" w:space="0" w:color="auto"/>
        <w:left w:val="none" w:sz="0" w:space="0" w:color="auto"/>
        <w:bottom w:val="none" w:sz="0" w:space="0" w:color="auto"/>
        <w:right w:val="none" w:sz="0" w:space="0" w:color="auto"/>
      </w:divBdr>
    </w:div>
    <w:div w:id="760231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7602</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2018-08-23T15:35:00Z</dcterms:created>
  <dcterms:modified xsi:type="dcterms:W3CDTF">2018-08-23T15:36:00Z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