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Pr="00B9709C" w:rsidRDefault="00661E1C" w:rsidP="00C321B5">
      <w:pPr>
        <w:jc w:val="center"/>
        <w:rPr>
          <w:rFonts w:ascii="Book Antiqua" w:hAnsi="Book Antiqua" w:cs="Arial"/>
          <w:sz w:val="16"/>
          <w:szCs w:val="16"/>
        </w:rPr>
      </w:pPr>
      <w:r w:rsidRPr="00B9709C">
        <w:rPr>
          <w:noProof/>
          <w:sz w:val="16"/>
          <w:szCs w:val="16"/>
        </w:rPr>
        <w:drawing>
          <wp:inline distT="0" distB="0" distL="0" distR="0">
            <wp:extent cx="1043940" cy="906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3940" cy="906780"/>
                    </a:xfrm>
                    <a:prstGeom prst="rect">
                      <a:avLst/>
                    </a:prstGeom>
                    <a:noFill/>
                    <a:ln>
                      <a:noFill/>
                    </a:ln>
                  </pic:spPr>
                </pic:pic>
              </a:graphicData>
            </a:graphic>
          </wp:inline>
        </w:drawing>
      </w:r>
    </w:p>
    <w:p w:rsidR="00D94AFC" w:rsidRPr="00B9709C" w:rsidRDefault="00D94AFC">
      <w:pPr>
        <w:rPr>
          <w:rFonts w:ascii="Book Antiqua" w:hAnsi="Book Antiqua" w:cs="Arial"/>
          <w:sz w:val="16"/>
          <w:szCs w:val="16"/>
        </w:rPr>
      </w:pPr>
    </w:p>
    <w:p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rsidR="00BE57BE" w:rsidRPr="00BE57BE" w:rsidRDefault="00C321B5" w:rsidP="00BE57BE">
      <w:pPr>
        <w:tabs>
          <w:tab w:val="right" w:pos="9639"/>
        </w:tabs>
        <w:rPr>
          <w:rFonts w:ascii="Book Antiqua" w:hAnsi="Book Antiqua" w:cs="Arial"/>
          <w:caps/>
        </w:rPr>
      </w:pPr>
      <w:r w:rsidRPr="00F5664C">
        <w:rPr>
          <w:rFonts w:ascii="Book Antiqua" w:hAnsi="Book Antiqua" w:cs="Arial"/>
          <w:b/>
        </w:rPr>
        <w:t>(Immigration and Asylum Chamber)</w:t>
      </w:r>
      <w:r w:rsidR="00B626FA" w:rsidRPr="00F5664C">
        <w:rPr>
          <w:rFonts w:ascii="Book Antiqua" w:hAnsi="Book Antiqua" w:cs="Arial"/>
          <w:b/>
        </w:rPr>
        <w:tab/>
      </w:r>
      <w:r w:rsidR="00B3524D" w:rsidRPr="00F5664C">
        <w:rPr>
          <w:rFonts w:ascii="Book Antiqua" w:hAnsi="Book Antiqua" w:cs="Arial"/>
        </w:rPr>
        <w:t>Appeal Number</w:t>
      </w:r>
      <w:r w:rsidR="00C17091">
        <w:rPr>
          <w:rFonts w:ascii="Book Antiqua" w:hAnsi="Book Antiqua" w:cs="Arial"/>
        </w:rPr>
        <w:t>s</w:t>
      </w:r>
      <w:r w:rsidR="00D53769" w:rsidRPr="00F5664C">
        <w:rPr>
          <w:rFonts w:ascii="Book Antiqua" w:hAnsi="Book Antiqua" w:cs="Arial"/>
        </w:rPr>
        <w:t>:</w:t>
      </w:r>
      <w:r w:rsidR="00B3524D" w:rsidRPr="00F5664C">
        <w:rPr>
          <w:rFonts w:ascii="Book Antiqua" w:hAnsi="Book Antiqua" w:cs="Arial"/>
        </w:rPr>
        <w:t xml:space="preserve"> </w:t>
      </w:r>
      <w:r w:rsidR="00BE57BE" w:rsidRPr="00BE57BE">
        <w:rPr>
          <w:rFonts w:ascii="Book Antiqua" w:hAnsi="Book Antiqua" w:cs="Arial"/>
          <w:caps/>
        </w:rPr>
        <w:t>HU/09072/2016</w:t>
      </w:r>
    </w:p>
    <w:p w:rsidR="00C345E1" w:rsidRPr="00F5664C" w:rsidRDefault="00BE57BE" w:rsidP="00BE57BE">
      <w:pPr>
        <w:tabs>
          <w:tab w:val="right" w:pos="9639"/>
        </w:tabs>
        <w:rPr>
          <w:rFonts w:ascii="Book Antiqua" w:hAnsi="Book Antiqua" w:cs="Arial"/>
        </w:rPr>
      </w:pPr>
      <w:r>
        <w:rPr>
          <w:rFonts w:ascii="Book Antiqua" w:hAnsi="Book Antiqua" w:cs="Arial"/>
          <w:caps/>
        </w:rPr>
        <w:tab/>
      </w:r>
      <w:r w:rsidRPr="00BE57BE">
        <w:rPr>
          <w:rFonts w:ascii="Book Antiqua" w:hAnsi="Book Antiqua" w:cs="Arial"/>
          <w:caps/>
        </w:rPr>
        <w:t>HU/09076/2016</w:t>
      </w:r>
    </w:p>
    <w:p w:rsidR="00C345E1" w:rsidRDefault="00C345E1" w:rsidP="00C345E1">
      <w:pPr>
        <w:jc w:val="center"/>
        <w:rPr>
          <w:rFonts w:ascii="Book Antiqua" w:hAnsi="Book Antiqua" w:cs="Arial"/>
        </w:rPr>
      </w:pPr>
    </w:p>
    <w:p w:rsidR="00B9709C" w:rsidRPr="00F5664C" w:rsidRDefault="00B9709C" w:rsidP="00C345E1">
      <w:pPr>
        <w:jc w:val="center"/>
        <w:rPr>
          <w:rFonts w:ascii="Book Antiqua" w:hAnsi="Book Antiqua" w:cs="Arial"/>
        </w:rPr>
      </w:pPr>
    </w:p>
    <w:p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rsidR="00C345E1" w:rsidRPr="00F5664C" w:rsidRDefault="00C345E1" w:rsidP="00C345E1">
      <w:pPr>
        <w:jc w:val="center"/>
        <w:rPr>
          <w:rFonts w:ascii="Book Antiqua" w:hAnsi="Book Antiqua" w:cs="Arial"/>
          <w:b/>
          <w:u w:val="single"/>
        </w:rPr>
      </w:pPr>
    </w:p>
    <w:p w:rsidR="00C345E1" w:rsidRPr="00F5664C"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6048"/>
        <w:gridCol w:w="3960"/>
      </w:tblGrid>
      <w:tr w:rsidR="00D22636" w:rsidRPr="00151BA9" w:rsidTr="00151BA9">
        <w:tc>
          <w:tcPr>
            <w:tcW w:w="6048" w:type="dxa"/>
            <w:shd w:val="clear" w:color="auto" w:fill="auto"/>
          </w:tcPr>
          <w:p w:rsidR="00D22636" w:rsidRPr="00151BA9" w:rsidRDefault="00D22636" w:rsidP="00151BA9">
            <w:pPr>
              <w:jc w:val="both"/>
              <w:rPr>
                <w:rFonts w:ascii="Book Antiqua" w:hAnsi="Book Antiqua" w:cs="Arial"/>
                <w:b/>
              </w:rPr>
            </w:pPr>
            <w:r w:rsidRPr="00151BA9">
              <w:rPr>
                <w:rFonts w:ascii="Book Antiqua" w:hAnsi="Book Antiqua" w:cs="Arial"/>
                <w:b/>
              </w:rPr>
              <w:t xml:space="preserve">Heard at </w:t>
            </w:r>
            <w:r w:rsidR="00BE57BE" w:rsidRPr="00151BA9">
              <w:rPr>
                <w:rFonts w:ascii="Book Antiqua" w:hAnsi="Book Antiqua" w:cs="Arial"/>
                <w:b/>
              </w:rPr>
              <w:t>Field House</w:t>
            </w:r>
          </w:p>
        </w:tc>
        <w:tc>
          <w:tcPr>
            <w:tcW w:w="3960" w:type="dxa"/>
            <w:shd w:val="clear" w:color="auto" w:fill="auto"/>
          </w:tcPr>
          <w:p w:rsidR="00D22636" w:rsidRPr="00151BA9" w:rsidRDefault="00CF7E9F" w:rsidP="00151BA9">
            <w:pPr>
              <w:jc w:val="both"/>
              <w:rPr>
                <w:rFonts w:ascii="Book Antiqua" w:hAnsi="Book Antiqua" w:cs="Arial"/>
                <w:b/>
              </w:rPr>
            </w:pPr>
            <w:r w:rsidRPr="00151BA9">
              <w:rPr>
                <w:rFonts w:ascii="Book Antiqua" w:hAnsi="Book Antiqua" w:cs="Arial"/>
                <w:b/>
              </w:rPr>
              <w:t>Decision &amp; Reasons</w:t>
            </w:r>
            <w:r w:rsidR="00283659" w:rsidRPr="00151BA9">
              <w:rPr>
                <w:rFonts w:ascii="Book Antiqua" w:hAnsi="Book Antiqua" w:cs="Arial"/>
                <w:b/>
              </w:rPr>
              <w:t xml:space="preserve"> Promulgated</w:t>
            </w:r>
          </w:p>
        </w:tc>
      </w:tr>
      <w:tr w:rsidR="00D22636" w:rsidRPr="00151BA9" w:rsidTr="00151BA9">
        <w:tc>
          <w:tcPr>
            <w:tcW w:w="6048" w:type="dxa"/>
            <w:shd w:val="clear" w:color="auto" w:fill="auto"/>
          </w:tcPr>
          <w:p w:rsidR="00D22636" w:rsidRPr="00151BA9" w:rsidRDefault="00D22636" w:rsidP="00151BA9">
            <w:pPr>
              <w:jc w:val="both"/>
              <w:rPr>
                <w:rFonts w:ascii="Book Antiqua" w:hAnsi="Book Antiqua" w:cs="Arial"/>
                <w:b/>
              </w:rPr>
            </w:pPr>
            <w:r w:rsidRPr="00151BA9">
              <w:rPr>
                <w:rFonts w:ascii="Book Antiqua" w:hAnsi="Book Antiqua" w:cs="Arial"/>
                <w:b/>
              </w:rPr>
              <w:t xml:space="preserve">On </w:t>
            </w:r>
            <w:r w:rsidR="00BE57BE" w:rsidRPr="00151BA9">
              <w:rPr>
                <w:rFonts w:ascii="Book Antiqua" w:hAnsi="Book Antiqua" w:cs="Arial"/>
                <w:b/>
              </w:rPr>
              <w:t>14</w:t>
            </w:r>
            <w:r w:rsidR="00BE57BE" w:rsidRPr="00151BA9">
              <w:rPr>
                <w:rFonts w:ascii="Book Antiqua" w:hAnsi="Book Antiqua" w:cs="Arial"/>
                <w:b/>
                <w:vertAlign w:val="superscript"/>
              </w:rPr>
              <w:t>th</w:t>
            </w:r>
            <w:r w:rsidR="00BE57BE" w:rsidRPr="00151BA9">
              <w:rPr>
                <w:rFonts w:ascii="Book Antiqua" w:hAnsi="Book Antiqua" w:cs="Arial"/>
                <w:b/>
              </w:rPr>
              <w:t xml:space="preserve"> June 2018</w:t>
            </w:r>
          </w:p>
        </w:tc>
        <w:tc>
          <w:tcPr>
            <w:tcW w:w="3960" w:type="dxa"/>
            <w:shd w:val="clear" w:color="auto" w:fill="auto"/>
          </w:tcPr>
          <w:p w:rsidR="00D22636" w:rsidRPr="00151BA9" w:rsidRDefault="00661E1C" w:rsidP="00151BA9">
            <w:pPr>
              <w:jc w:val="both"/>
              <w:rPr>
                <w:rFonts w:ascii="Book Antiqua" w:hAnsi="Book Antiqua" w:cs="Arial"/>
                <w:b/>
              </w:rPr>
            </w:pPr>
            <w:r>
              <w:rPr>
                <w:rFonts w:ascii="Book Antiqua" w:hAnsi="Book Antiqua" w:cs="Arial"/>
                <w:b/>
              </w:rPr>
              <w:t>On 26</w:t>
            </w:r>
            <w:r w:rsidRPr="00661E1C">
              <w:rPr>
                <w:rFonts w:ascii="Book Antiqua" w:hAnsi="Book Antiqua" w:cs="Arial"/>
                <w:b/>
                <w:vertAlign w:val="superscript"/>
              </w:rPr>
              <w:t>th</w:t>
            </w:r>
            <w:r>
              <w:rPr>
                <w:rFonts w:ascii="Book Antiqua" w:hAnsi="Book Antiqua" w:cs="Arial"/>
                <w:b/>
              </w:rPr>
              <w:t xml:space="preserve"> June 2018</w:t>
            </w:r>
          </w:p>
        </w:tc>
      </w:tr>
      <w:tr w:rsidR="00D22636" w:rsidRPr="00151BA9" w:rsidTr="00151BA9">
        <w:tc>
          <w:tcPr>
            <w:tcW w:w="6048" w:type="dxa"/>
            <w:shd w:val="clear" w:color="auto" w:fill="auto"/>
          </w:tcPr>
          <w:p w:rsidR="00D22636" w:rsidRPr="00151BA9" w:rsidRDefault="00D22636" w:rsidP="00151BA9">
            <w:pPr>
              <w:jc w:val="both"/>
              <w:rPr>
                <w:rFonts w:ascii="Book Antiqua" w:hAnsi="Book Antiqua" w:cs="Arial"/>
                <w:b/>
              </w:rPr>
            </w:pPr>
          </w:p>
        </w:tc>
        <w:tc>
          <w:tcPr>
            <w:tcW w:w="3960" w:type="dxa"/>
            <w:shd w:val="clear" w:color="auto" w:fill="auto"/>
          </w:tcPr>
          <w:p w:rsidR="00D22636" w:rsidRPr="00151BA9" w:rsidRDefault="00D22636" w:rsidP="00151BA9">
            <w:pPr>
              <w:jc w:val="both"/>
              <w:rPr>
                <w:rFonts w:ascii="Book Antiqua" w:hAnsi="Book Antiqua" w:cs="Arial"/>
                <w:b/>
              </w:rPr>
            </w:pPr>
          </w:p>
        </w:tc>
      </w:tr>
    </w:tbl>
    <w:p w:rsidR="00A15234" w:rsidRPr="00F5664C" w:rsidRDefault="00A15234" w:rsidP="00A15234">
      <w:pPr>
        <w:jc w:val="center"/>
        <w:rPr>
          <w:rFonts w:ascii="Book Antiqua" w:hAnsi="Book Antiqua" w:cs="Arial"/>
        </w:rPr>
      </w:pPr>
    </w:p>
    <w:p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rsidR="00A15234" w:rsidRPr="00F5664C" w:rsidRDefault="00A15234" w:rsidP="00A15234">
      <w:pPr>
        <w:jc w:val="center"/>
        <w:rPr>
          <w:rFonts w:ascii="Book Antiqua" w:hAnsi="Book Antiqua" w:cs="Arial"/>
          <w:b/>
        </w:rPr>
      </w:pPr>
    </w:p>
    <w:p w:rsidR="00A845DC" w:rsidRDefault="00241B28" w:rsidP="00A15234">
      <w:pPr>
        <w:jc w:val="center"/>
        <w:rPr>
          <w:rFonts w:ascii="Book Antiqua" w:hAnsi="Book Antiqua" w:cs="Arial"/>
          <w:b/>
        </w:rPr>
      </w:pPr>
      <w:r>
        <w:rPr>
          <w:rFonts w:ascii="Book Antiqua" w:hAnsi="Book Antiqua" w:cs="Arial"/>
          <w:b/>
        </w:rPr>
        <w:t>DEPUTY UPPER TRIBUNAL</w:t>
      </w:r>
      <w:r w:rsidR="00B16F58" w:rsidRPr="00F5664C">
        <w:rPr>
          <w:rFonts w:ascii="Book Antiqua" w:hAnsi="Book Antiqua" w:cs="Arial"/>
          <w:b/>
        </w:rPr>
        <w:t xml:space="preserve"> JUDGE </w:t>
      </w:r>
      <w:r w:rsidR="00D71973">
        <w:rPr>
          <w:rFonts w:ascii="Book Antiqua" w:hAnsi="Book Antiqua" w:cs="Arial"/>
          <w:b/>
        </w:rPr>
        <w:t>KELLY</w:t>
      </w:r>
    </w:p>
    <w:p w:rsidR="00B16F58" w:rsidRDefault="00B16F58" w:rsidP="00A15234">
      <w:pPr>
        <w:jc w:val="center"/>
        <w:rPr>
          <w:rFonts w:ascii="Book Antiqua" w:hAnsi="Book Antiqua" w:cs="Arial"/>
          <w:b/>
        </w:rPr>
      </w:pPr>
    </w:p>
    <w:p w:rsidR="00B9709C" w:rsidRPr="00F5664C" w:rsidRDefault="00B9709C" w:rsidP="00A15234">
      <w:pPr>
        <w:jc w:val="center"/>
        <w:rPr>
          <w:rFonts w:ascii="Book Antiqua" w:hAnsi="Book Antiqua" w:cs="Arial"/>
          <w:b/>
        </w:rPr>
      </w:pPr>
    </w:p>
    <w:p w:rsidR="00A845DC" w:rsidRPr="00F5664C" w:rsidRDefault="00A845DC" w:rsidP="00A15234">
      <w:pPr>
        <w:jc w:val="center"/>
        <w:rPr>
          <w:rFonts w:ascii="Book Antiqua" w:hAnsi="Book Antiqua" w:cs="Arial"/>
          <w:b/>
        </w:rPr>
      </w:pPr>
      <w:r w:rsidRPr="00F5664C">
        <w:rPr>
          <w:rFonts w:ascii="Book Antiqua" w:hAnsi="Book Antiqua" w:cs="Arial"/>
          <w:b/>
        </w:rPr>
        <w:t>Between</w:t>
      </w:r>
    </w:p>
    <w:p w:rsidR="00A845DC" w:rsidRPr="00F5664C" w:rsidRDefault="00A845DC" w:rsidP="00A15234">
      <w:pPr>
        <w:jc w:val="center"/>
        <w:rPr>
          <w:rFonts w:ascii="Book Antiqua" w:hAnsi="Book Antiqua" w:cs="Arial"/>
          <w:b/>
        </w:rPr>
      </w:pPr>
    </w:p>
    <w:p w:rsidR="00BE57BE" w:rsidRPr="00BE57BE" w:rsidRDefault="00BE57BE" w:rsidP="00BE57BE">
      <w:pPr>
        <w:jc w:val="center"/>
        <w:rPr>
          <w:rFonts w:ascii="Book Antiqua" w:hAnsi="Book Antiqua" w:cs="Arial"/>
          <w:b/>
          <w:caps/>
        </w:rPr>
      </w:pPr>
      <w:r w:rsidRPr="00BE57BE">
        <w:rPr>
          <w:rFonts w:ascii="Book Antiqua" w:hAnsi="Book Antiqua" w:cs="Arial"/>
          <w:b/>
          <w:caps/>
        </w:rPr>
        <w:t>Parvaneh Hassanzadeh</w:t>
      </w:r>
    </w:p>
    <w:p w:rsidR="00742A8D" w:rsidRPr="00BE57BE" w:rsidRDefault="00BE57BE" w:rsidP="00BE57BE">
      <w:pPr>
        <w:jc w:val="center"/>
        <w:rPr>
          <w:rFonts w:ascii="Book Antiqua" w:hAnsi="Book Antiqua" w:cs="Arial"/>
          <w:b/>
          <w:caps/>
        </w:rPr>
      </w:pPr>
      <w:r w:rsidRPr="00BE57BE">
        <w:rPr>
          <w:rFonts w:ascii="Book Antiqua" w:hAnsi="Book Antiqua" w:cs="Arial"/>
          <w:b/>
          <w:caps/>
        </w:rPr>
        <w:t>Sina Hassanzadeh</w:t>
      </w:r>
    </w:p>
    <w:p w:rsidR="00CF7E9F" w:rsidRDefault="00A923DA" w:rsidP="00CF7E9F">
      <w:pPr>
        <w:jc w:val="center"/>
        <w:rPr>
          <w:rFonts w:ascii="Book Antiqua" w:hAnsi="Book Antiqua" w:cs="Arial"/>
          <w:b/>
          <w:caps/>
        </w:rPr>
      </w:pPr>
      <w:r>
        <w:rPr>
          <w:rFonts w:ascii="Book Antiqua" w:hAnsi="Book Antiqua" w:cs="Arial"/>
          <w:b/>
          <w:caps/>
        </w:rPr>
        <w:t>(ANONYMITY DIRECTIOn not made</w:t>
      </w:r>
      <w:r w:rsidR="00CF7E9F" w:rsidRPr="00CF7E9F">
        <w:rPr>
          <w:rFonts w:ascii="Book Antiqua" w:hAnsi="Book Antiqua" w:cs="Arial"/>
          <w:b/>
          <w:caps/>
        </w:rPr>
        <w:t>)</w:t>
      </w:r>
    </w:p>
    <w:p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r w:rsidR="00BE57BE">
        <w:rPr>
          <w:rFonts w:ascii="Book Antiqua" w:hAnsi="Book Antiqua" w:cs="Arial"/>
          <w:u w:val="single"/>
        </w:rPr>
        <w:t>s</w:t>
      </w:r>
    </w:p>
    <w:p w:rsidR="00704B61" w:rsidRPr="00F5664C" w:rsidRDefault="00DD5071" w:rsidP="00704B61">
      <w:pPr>
        <w:jc w:val="center"/>
        <w:rPr>
          <w:rFonts w:ascii="Book Antiqua" w:hAnsi="Book Antiqua" w:cs="Arial"/>
          <w:b/>
        </w:rPr>
      </w:pPr>
      <w:r w:rsidRPr="00F5664C">
        <w:rPr>
          <w:rFonts w:ascii="Book Antiqua" w:hAnsi="Book Antiqua" w:cs="Arial"/>
          <w:b/>
        </w:rPr>
        <w:t>and</w:t>
      </w:r>
    </w:p>
    <w:p w:rsidR="00DD5071" w:rsidRPr="00F5664C" w:rsidRDefault="00DD5071" w:rsidP="00704B61">
      <w:pPr>
        <w:jc w:val="center"/>
        <w:rPr>
          <w:rFonts w:ascii="Book Antiqua" w:hAnsi="Book Antiqua" w:cs="Arial"/>
          <w:b/>
        </w:rPr>
      </w:pPr>
    </w:p>
    <w:p w:rsidR="00DD5071" w:rsidRPr="00F5664C" w:rsidRDefault="00DD5071" w:rsidP="00704B61">
      <w:pPr>
        <w:jc w:val="center"/>
        <w:rPr>
          <w:rFonts w:ascii="Book Antiqua" w:hAnsi="Book Antiqua" w:cs="Arial"/>
          <w:b/>
        </w:rPr>
      </w:pPr>
      <w:r w:rsidRPr="00F5664C">
        <w:rPr>
          <w:rFonts w:ascii="Book Antiqua" w:hAnsi="Book Antiqua" w:cs="Arial"/>
          <w:b/>
          <w:caps/>
        </w:rPr>
        <w:fldChar w:fldCharType="begin">
          <w:ffData>
            <w:name w:val="Text7"/>
            <w:enabled/>
            <w:calcOnExit w:val="0"/>
            <w:textInput>
              <w:default w:val="THE SECRETARY OF STATE FOR THE HOME DEPARTMENT"/>
              <w:format w:val="UPPERCASE"/>
            </w:textInput>
          </w:ffData>
        </w:fldChar>
      </w:r>
      <w:bookmarkStart w:id="0" w:name="Text7"/>
      <w:r w:rsidRPr="00F5664C">
        <w:rPr>
          <w:rFonts w:ascii="Book Antiqua" w:hAnsi="Book Antiqua" w:cs="Arial"/>
          <w:b/>
          <w:caps/>
        </w:rPr>
        <w:instrText xml:space="preserve"> FORMTEXT </w:instrText>
      </w:r>
      <w:r w:rsidRPr="00F5664C">
        <w:rPr>
          <w:rFonts w:ascii="Book Antiqua" w:hAnsi="Book Antiqua" w:cs="Arial"/>
          <w:b/>
          <w:caps/>
        </w:rPr>
      </w:r>
      <w:r w:rsidRPr="00F5664C">
        <w:rPr>
          <w:rFonts w:ascii="Book Antiqua" w:hAnsi="Book Antiqua" w:cs="Arial"/>
          <w:b/>
          <w:caps/>
        </w:rPr>
        <w:fldChar w:fldCharType="separate"/>
      </w:r>
      <w:r w:rsidRPr="00F5664C">
        <w:rPr>
          <w:rFonts w:ascii="Book Antiqua" w:hAnsi="Book Antiqua" w:cs="Arial"/>
          <w:b/>
          <w:caps/>
          <w:noProof/>
        </w:rPr>
        <w:t>THE SECRETARY OF STATE FOR THE HOME DEPARTMENT</w:t>
      </w:r>
      <w:r w:rsidRPr="00F5664C">
        <w:rPr>
          <w:rFonts w:ascii="Book Antiqua" w:hAnsi="Book Antiqua" w:cs="Arial"/>
          <w:b/>
          <w:caps/>
        </w:rPr>
        <w:fldChar w:fldCharType="end"/>
      </w:r>
      <w:bookmarkEnd w:id="0"/>
    </w:p>
    <w:p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rsidR="00DD5071" w:rsidRPr="00F5664C" w:rsidRDefault="00DD5071" w:rsidP="00DD5071">
      <w:pPr>
        <w:rPr>
          <w:rFonts w:ascii="Book Antiqua" w:hAnsi="Book Antiqua" w:cs="Arial"/>
          <w:u w:val="single"/>
        </w:rPr>
      </w:pPr>
    </w:p>
    <w:p w:rsidR="00DD5071" w:rsidRPr="00F5664C" w:rsidRDefault="00DD5071" w:rsidP="00DD5071">
      <w:pPr>
        <w:rPr>
          <w:rFonts w:ascii="Book Antiqua" w:hAnsi="Book Antiqua" w:cs="Arial"/>
          <w:u w:val="single"/>
        </w:rPr>
      </w:pPr>
    </w:p>
    <w:p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rsidR="00DE7DB7" w:rsidRPr="00F5664C" w:rsidRDefault="00DE7DB7" w:rsidP="00126ECE">
      <w:pPr>
        <w:tabs>
          <w:tab w:val="left" w:pos="2520"/>
        </w:tabs>
        <w:ind w:left="2520" w:hanging="2520"/>
        <w:rPr>
          <w:rFonts w:ascii="Book Antiqua" w:hAnsi="Book Antiqua" w:cs="Arial"/>
        </w:rPr>
      </w:pPr>
      <w:r w:rsidRPr="00F5664C">
        <w:rPr>
          <w:rFonts w:ascii="Book Antiqua" w:hAnsi="Book Antiqua" w:cs="Arial"/>
        </w:rPr>
        <w:t>For the Appellant</w:t>
      </w:r>
      <w:r w:rsidR="00BE57BE">
        <w:rPr>
          <w:rFonts w:ascii="Book Antiqua" w:hAnsi="Book Antiqua" w:cs="Arial"/>
        </w:rPr>
        <w:t>s</w:t>
      </w:r>
      <w:r w:rsidRPr="00F5664C">
        <w:rPr>
          <w:rFonts w:ascii="Book Antiqua" w:hAnsi="Book Antiqua" w:cs="Arial"/>
        </w:rPr>
        <w:t>:</w:t>
      </w:r>
      <w:r w:rsidRPr="00F5664C">
        <w:rPr>
          <w:rFonts w:ascii="Book Antiqua" w:hAnsi="Book Antiqua" w:cs="Arial"/>
        </w:rPr>
        <w:tab/>
      </w:r>
      <w:r w:rsidR="00126ECE" w:rsidRPr="00126ECE">
        <w:rPr>
          <w:rFonts w:ascii="Book Antiqua" w:hAnsi="Book Antiqua" w:cs="Courier New"/>
        </w:rPr>
        <w:t>Mr G Goddard, Legal Representative, Southwark Law Centre</w:t>
      </w:r>
    </w:p>
    <w:p w:rsidR="00DE7DB7" w:rsidRPr="00F5664C" w:rsidRDefault="00DE7DB7" w:rsidP="00DE7DB7">
      <w:pPr>
        <w:tabs>
          <w:tab w:val="left" w:pos="2520"/>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sidR="00AD3A1A">
        <w:rPr>
          <w:rFonts w:ascii="Book Antiqua" w:hAnsi="Book Antiqua" w:cs="Arial"/>
        </w:rPr>
        <w:t>Ms K Pal, Home Office Presenting Officer</w:t>
      </w:r>
    </w:p>
    <w:p w:rsidR="00DE7DB7" w:rsidRPr="00F5664C" w:rsidRDefault="00DE7DB7" w:rsidP="00402B9E">
      <w:pPr>
        <w:tabs>
          <w:tab w:val="left" w:pos="2520"/>
        </w:tabs>
        <w:jc w:val="center"/>
        <w:rPr>
          <w:rFonts w:ascii="Book Antiqua" w:hAnsi="Book Antiqua" w:cs="Arial"/>
        </w:rPr>
      </w:pPr>
    </w:p>
    <w:p w:rsidR="00DE7DB7" w:rsidRPr="00F5664C" w:rsidRDefault="00DE7DB7" w:rsidP="00402B9E">
      <w:pPr>
        <w:tabs>
          <w:tab w:val="left" w:pos="2520"/>
        </w:tabs>
        <w:jc w:val="center"/>
        <w:rPr>
          <w:rFonts w:ascii="Book Antiqua" w:hAnsi="Book Antiqua" w:cs="Arial"/>
        </w:rPr>
      </w:pPr>
    </w:p>
    <w:p w:rsidR="00DE7DB7" w:rsidRPr="00F5664C" w:rsidRDefault="00CF7E9F"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F5664C">
        <w:rPr>
          <w:rFonts w:ascii="Book Antiqua" w:hAnsi="Book Antiqua" w:cs="Arial"/>
          <w:b/>
          <w:u w:val="single"/>
        </w:rPr>
        <w:t>AND REASONS</w:t>
      </w:r>
    </w:p>
    <w:p w:rsidR="00126ECE" w:rsidRDefault="00273344" w:rsidP="00B9709C">
      <w:pPr>
        <w:pStyle w:val="p"/>
        <w:spacing w:before="160"/>
      </w:pPr>
      <w:r>
        <w:t xml:space="preserve">This is an appeal by </w:t>
      </w:r>
      <w:proofErr w:type="spellStart"/>
      <w:r w:rsidRPr="00273344">
        <w:t>Parvaneh</w:t>
      </w:r>
      <w:proofErr w:type="spellEnd"/>
      <w:r w:rsidRPr="00273344">
        <w:t xml:space="preserve"> </w:t>
      </w:r>
      <w:proofErr w:type="spellStart"/>
      <w:r w:rsidRPr="00273344">
        <w:t>Hassanzadeh</w:t>
      </w:r>
      <w:proofErr w:type="spellEnd"/>
      <w:r>
        <w:t xml:space="preserve"> and </w:t>
      </w:r>
      <w:proofErr w:type="spellStart"/>
      <w:r w:rsidRPr="00273344">
        <w:t>Sina</w:t>
      </w:r>
      <w:proofErr w:type="spellEnd"/>
      <w:r w:rsidRPr="00273344">
        <w:t xml:space="preserve"> </w:t>
      </w:r>
      <w:proofErr w:type="spellStart"/>
      <w:r w:rsidRPr="00273344">
        <w:t>Hassanzadeh</w:t>
      </w:r>
      <w:proofErr w:type="spellEnd"/>
      <w:r>
        <w:t xml:space="preserve"> against the decision of First-tier Tribunal Judge Peter-John White to dismiss their appeals from the decision of the Entry Clearance Officer to refuse them entry clearance to the United Kingdom as respectively the wife and son of Mr Ibrahim </w:t>
      </w:r>
      <w:proofErr w:type="spellStart"/>
      <w:r w:rsidRPr="00273344">
        <w:t>Hassanzadeh</w:t>
      </w:r>
      <w:proofErr w:type="spellEnd"/>
      <w:r>
        <w:t>.</w:t>
      </w:r>
      <w:r w:rsidR="00A51A42">
        <w:t xml:space="preserve">  Both </w:t>
      </w:r>
      <w:r w:rsidR="00944F40">
        <w:t xml:space="preserve">the Appellants and Mr </w:t>
      </w:r>
      <w:proofErr w:type="spellStart"/>
      <w:r w:rsidR="00944F40">
        <w:t>Hassanzadeh</w:t>
      </w:r>
      <w:proofErr w:type="spellEnd"/>
      <w:r w:rsidR="00A51A42">
        <w:t xml:space="preserve"> </w:t>
      </w:r>
      <w:r w:rsidR="00944F40">
        <w:t>(who</w:t>
      </w:r>
      <w:r w:rsidR="00A51A42">
        <w:t xml:space="preserve"> I shall refer to hereafter as </w:t>
      </w:r>
      <w:r w:rsidR="00944F40">
        <w:t xml:space="preserve">“the Sponsor”) are </w:t>
      </w:r>
      <w:r w:rsidR="00944F40">
        <w:lastRenderedPageBreak/>
        <w:t>citizens of Iran</w:t>
      </w:r>
      <w:r w:rsidR="00146290">
        <w:t xml:space="preserve">.  The Sponsor has been settled in the </w:t>
      </w:r>
      <w:smartTag w:uri="urn:schemas-microsoft-com:office:smarttags" w:element="country-region">
        <w:smartTag w:uri="urn:schemas-microsoft-com:office:smarttags" w:element="address">
          <w:r w:rsidR="00146290">
            <w:t>United Kingdom</w:t>
          </w:r>
        </w:smartTag>
      </w:smartTag>
      <w:r w:rsidR="00146290">
        <w:t xml:space="preserve"> for many years now and is in full-time employment.</w:t>
      </w:r>
    </w:p>
    <w:p w:rsidR="00126ECE" w:rsidRDefault="00146290" w:rsidP="00B9709C">
      <w:pPr>
        <w:pStyle w:val="p"/>
        <w:spacing w:before="160"/>
      </w:pPr>
      <w:r>
        <w:t>The date of the Entry Clearance Officer’s refusal was 25</w:t>
      </w:r>
      <w:r w:rsidRPr="00146290">
        <w:rPr>
          <w:vertAlign w:val="superscript"/>
        </w:rPr>
        <w:t>th</w:t>
      </w:r>
      <w:r w:rsidR="001F45FA">
        <w:t xml:space="preserve"> February 2016. The reason f</w:t>
      </w:r>
      <w:r w:rsidR="004476C2">
        <w:t>or refusal</w:t>
      </w:r>
      <w:r>
        <w:t xml:space="preserve"> under the Immigration Rules</w:t>
      </w:r>
      <w:r w:rsidR="001F45FA">
        <w:t xml:space="preserve"> was that the appellants</w:t>
      </w:r>
      <w:r>
        <w:t xml:space="preserve"> had failed to submit the specified evidence required under Appendix F</w:t>
      </w:r>
      <w:r w:rsidR="004476C2">
        <w:t>M-SE as proof of the Sponsor’s pre-application earnings</w:t>
      </w:r>
      <w:r w:rsidR="00126ECE">
        <w:t>.  I am told by Mr Goddard</w:t>
      </w:r>
      <w:r w:rsidR="004476C2">
        <w:t xml:space="preserve"> that this is challenged. However, that challenge was not ventilated</w:t>
      </w:r>
      <w:r w:rsidR="00126ECE">
        <w:t xml:space="preserve"> before the First-tier Tribunal and</w:t>
      </w:r>
      <w:r w:rsidR="001F45FA">
        <w:t xml:space="preserve"> it</w:t>
      </w:r>
      <w:r w:rsidR="00126ECE">
        <w:t xml:space="preserve"> is no</w:t>
      </w:r>
      <w:r w:rsidR="001F45FA">
        <w:t xml:space="preserve">t therefore relevant to the </w:t>
      </w:r>
      <w:r w:rsidR="00126ECE">
        <w:t>hearing</w:t>
      </w:r>
      <w:r w:rsidR="001F45FA">
        <w:t xml:space="preserve"> today</w:t>
      </w:r>
      <w:r w:rsidR="00126ECE">
        <w:t>.</w:t>
      </w:r>
    </w:p>
    <w:p w:rsidR="00126ECE" w:rsidRDefault="00F11308" w:rsidP="00B9709C">
      <w:pPr>
        <w:pStyle w:val="p"/>
        <w:spacing w:before="160"/>
      </w:pPr>
      <w:r>
        <w:t>One might therefore have expected that</w:t>
      </w:r>
      <w:r w:rsidR="00AD3A1A">
        <w:t xml:space="preserve"> the </w:t>
      </w:r>
      <w:r>
        <w:t>documents that had allegedly been omitted from the applications would</w:t>
      </w:r>
      <w:r w:rsidR="001F45FA">
        <w:t xml:space="preserve"> have been submitted</w:t>
      </w:r>
      <w:r>
        <w:t xml:space="preserve"> (or re-submitted)</w:t>
      </w:r>
      <w:r w:rsidR="001F45FA">
        <w:t xml:space="preserve"> with</w:t>
      </w:r>
      <w:r w:rsidR="00AD3A1A">
        <w:t xml:space="preserve"> the appeal bundle.  As Judge Peter-John White o</w:t>
      </w:r>
      <w:r>
        <w:t>bserved, had this</w:t>
      </w:r>
      <w:r w:rsidR="001F45FA">
        <w:t xml:space="preserve"> been done</w:t>
      </w:r>
      <w:r w:rsidR="00AD3A1A">
        <w:t xml:space="preserve"> the difficulties that have since arisen would not have occurred and it is almost certain that the</w:t>
      </w:r>
      <w:r w:rsidR="001F45FA">
        <w:t>se</w:t>
      </w:r>
      <w:r w:rsidR="00AD3A1A">
        <w:t xml:space="preserve"> appeals would have been allowed </w:t>
      </w:r>
      <w:r w:rsidR="001F45FA">
        <w:t>in the First-tier Tribunal. However</w:t>
      </w:r>
      <w:r w:rsidR="00AD3A1A">
        <w:t>,</w:t>
      </w:r>
      <w:r w:rsidR="001F45FA">
        <w:t xml:space="preserve"> for reasons unknown,</w:t>
      </w:r>
      <w:r>
        <w:t xml:space="preserve"> the documents submitted on appeal related to a period that</w:t>
      </w:r>
      <w:r w:rsidR="00AD3A1A">
        <w:t xml:space="preserve"> not only post</w:t>
      </w:r>
      <w:r>
        <w:t>-</w:t>
      </w:r>
      <w:r w:rsidR="00AD3A1A">
        <w:t>dated t</w:t>
      </w:r>
      <w:r w:rsidR="001F45FA">
        <w:t>he application but also</w:t>
      </w:r>
      <w:r w:rsidR="00AD3A1A">
        <w:t xml:space="preserve"> post</w:t>
      </w:r>
      <w:r w:rsidR="001F45FA">
        <w:t>-</w:t>
      </w:r>
      <w:r w:rsidR="00AD3A1A">
        <w:t>dated the decision to refuse entry clearance.</w:t>
      </w:r>
      <w:r>
        <w:t xml:space="preserve">  Those documents appear to show that the Sponsor was earning</w:t>
      </w:r>
      <w:r w:rsidR="001F45FA">
        <w:t xml:space="preserve"> in the</w:t>
      </w:r>
      <w:r w:rsidR="00456F56">
        <w:t xml:space="preserve"> region of £30,000 a year</w:t>
      </w:r>
      <w:r>
        <w:t xml:space="preserve"> during the post-decision period that they cover</w:t>
      </w:r>
      <w:r w:rsidR="00456F56">
        <w:t>.</w:t>
      </w:r>
      <w:r w:rsidR="001F45FA">
        <w:t xml:space="preserve"> </w:t>
      </w:r>
    </w:p>
    <w:p w:rsidR="00456F56" w:rsidRDefault="00F11308" w:rsidP="00B9709C">
      <w:pPr>
        <w:pStyle w:val="p"/>
        <w:spacing w:before="160"/>
      </w:pPr>
      <w:r>
        <w:t>Accordingly, the first issue was whether the Tribunal could take account of the above documents in determining whether the Appellants met the requirements of the Immigration Rules.  The ground upon which permission to appeal has been granted is that the judge made an error of law in determining that issue</w:t>
      </w:r>
      <w:r w:rsidR="00456F56">
        <w:t xml:space="preserve">.  </w:t>
      </w:r>
      <w:r>
        <w:t>The analysis is</w:t>
      </w:r>
      <w:r w:rsidR="006A4FB4">
        <w:t xml:space="preserve"> contained within parag</w:t>
      </w:r>
      <w:r w:rsidR="00A67830">
        <w:t>raph 11 of the Decision</w:t>
      </w:r>
      <w:r w:rsidR="006A4FB4">
        <w:t>:</w:t>
      </w:r>
    </w:p>
    <w:p w:rsidR="006A4FB4" w:rsidRPr="00B9709C" w:rsidRDefault="002B7686" w:rsidP="00B9709C">
      <w:pPr>
        <w:pStyle w:val="q"/>
        <w:spacing w:before="120"/>
        <w:ind w:right="567"/>
        <w:rPr>
          <w:sz w:val="22"/>
        </w:rPr>
      </w:pPr>
      <w:r w:rsidRPr="00B9709C">
        <w:rPr>
          <w:sz w:val="22"/>
        </w:rPr>
        <w:t xml:space="preserve">“Although the specified evidence must cover the period leading up to the date of application there is no bar on late production of evidence.  The Appellants could, assuming the documentation exists, have provided for the appeal the six months of bank statements and payslips which should have been with the application.  For whatever reason, they have not done that.  The payslips and bank statements produced to me, both in the bundle and in the folder, relate to a period from November 2016 to June 2017, long after the application and decision.  Mr </w:t>
      </w:r>
      <w:proofErr w:type="spellStart"/>
      <w:r w:rsidRPr="00B9709C">
        <w:rPr>
          <w:sz w:val="22"/>
        </w:rPr>
        <w:t>Fouladvand</w:t>
      </w:r>
      <w:proofErr w:type="spellEnd"/>
      <w:r w:rsidRPr="00B9709C">
        <w:rPr>
          <w:sz w:val="22"/>
        </w:rPr>
        <w:t xml:space="preserve"> </w:t>
      </w:r>
      <w:r w:rsidR="008F7DC6" w:rsidRPr="00B9709C">
        <w:rPr>
          <w:sz w:val="22"/>
        </w:rPr>
        <w:t>made a submission that I could treat the Rule as satisfied on the basis of this evidence, covering a later period, but he cited no authority for that bold submission.  The Rule is quite express in requiring the evidence to relate to the period up to the date of application and I am in no doubt that it cannot be satisfied by evidence showing an income level a year later.  Accordingly I find that the requirements of E-ECP.3.3</w:t>
      </w:r>
      <w:r w:rsidRPr="00B9709C">
        <w:rPr>
          <w:sz w:val="22"/>
        </w:rPr>
        <w:t xml:space="preserve"> </w:t>
      </w:r>
      <w:r w:rsidR="008F7DC6" w:rsidRPr="00B9709C">
        <w:rPr>
          <w:sz w:val="22"/>
        </w:rPr>
        <w:t>and E-ECC.2.2 are not shown to be met.</w:t>
      </w:r>
      <w:r w:rsidRPr="00B9709C">
        <w:rPr>
          <w:sz w:val="22"/>
        </w:rPr>
        <w:t>”</w:t>
      </w:r>
    </w:p>
    <w:p w:rsidR="00F11308" w:rsidRDefault="006402EC" w:rsidP="00B9709C">
      <w:pPr>
        <w:pStyle w:val="p"/>
        <w:spacing w:before="160"/>
      </w:pPr>
      <w:r>
        <w:t>It is clear from th</w:t>
      </w:r>
      <w:r w:rsidR="00F11308">
        <w:t xml:space="preserve">e above that the Appellants’ </w:t>
      </w:r>
      <w:r w:rsidR="00A67830">
        <w:t>argument</w:t>
      </w:r>
      <w:r>
        <w:t xml:space="preserve"> in the First-tier </w:t>
      </w:r>
      <w:r w:rsidR="00A67830">
        <w:t>Tribunal was that they</w:t>
      </w:r>
      <w:r w:rsidR="00F11308">
        <w:t xml:space="preserve"> had now demonstrated that they met </w:t>
      </w:r>
      <w:r>
        <w:t>the requirement</w:t>
      </w:r>
      <w:r w:rsidR="00F11308">
        <w:t>s of the Rules</w:t>
      </w:r>
      <w:r w:rsidR="00A67830">
        <w:t xml:space="preserve"> and that if followed from this that their appeals should be allowed</w:t>
      </w:r>
      <w:r>
        <w:t>.</w:t>
      </w:r>
      <w:r w:rsidR="00A67830">
        <w:t xml:space="preserve">  </w:t>
      </w:r>
    </w:p>
    <w:p w:rsidR="008F7DC6" w:rsidRDefault="00F11308" w:rsidP="00B9709C">
      <w:pPr>
        <w:pStyle w:val="p"/>
        <w:spacing w:before="160"/>
      </w:pPr>
      <w:r>
        <w:t>T</w:t>
      </w:r>
      <w:r w:rsidR="001B6E50">
        <w:t>here is no longer jurisdiction to</w:t>
      </w:r>
      <w:r w:rsidR="00A67830">
        <w:t xml:space="preserve"> al</w:t>
      </w:r>
      <w:r>
        <w:t>low an appeal where</w:t>
      </w:r>
      <w:r w:rsidR="00A67830">
        <w:t xml:space="preserve"> the Respondent’s decision “is not in accordance with immigration rules”</w:t>
      </w:r>
      <w:r>
        <w:t>. I</w:t>
      </w:r>
      <w:r w:rsidR="00A67830">
        <w:t>t nevertheless seems to me that</w:t>
      </w:r>
      <w:r w:rsidR="001B6E50">
        <w:t xml:space="preserve"> g</w:t>
      </w:r>
      <w:r w:rsidR="00A67830">
        <w:t>iven the nature of Appendix FM</w:t>
      </w:r>
      <w:r>
        <w:t xml:space="preserve">, </w:t>
      </w:r>
      <w:r w:rsidR="00A67830">
        <w:t>which purports to provide</w:t>
      </w:r>
      <w:r w:rsidR="001B6E50">
        <w:t xml:space="preserve"> </w:t>
      </w:r>
      <w:r w:rsidR="00A67830">
        <w:t>a complete code under Article 8 in family cases</w:t>
      </w:r>
      <w:r>
        <w:t xml:space="preserve"> (</w:t>
      </w:r>
      <w:r w:rsidR="00A67830">
        <w:t>see Gen.1.1)</w:t>
      </w:r>
      <w:r>
        <w:t>,</w:t>
      </w:r>
      <w:r w:rsidR="00A67830">
        <w:t xml:space="preserve"> it would</w:t>
      </w:r>
      <w:r>
        <w:t xml:space="preserve"> indeed</w:t>
      </w:r>
      <w:r w:rsidR="003C1803">
        <w:t xml:space="preserve"> follow that if</w:t>
      </w:r>
      <w:r>
        <w:t xml:space="preserve"> </w:t>
      </w:r>
      <w:r w:rsidR="00EF6CCA">
        <w:t>its requirements we</w:t>
      </w:r>
      <w:r w:rsidR="003C1803">
        <w:t xml:space="preserve">re met </w:t>
      </w:r>
      <w:r w:rsidR="00A67830">
        <w:t>the appeal would fall to be allowed on the ground that the Respondent’</w:t>
      </w:r>
      <w:r w:rsidR="00EF6CCA">
        <w:t>s decision wa</w:t>
      </w:r>
      <w:r w:rsidR="003C1803">
        <w:t>s</w:t>
      </w:r>
      <w:r w:rsidR="00A67830">
        <w:t xml:space="preserve"> incompatible with the right of the Appellants to respect for their family life.  T</w:t>
      </w:r>
      <w:r w:rsidR="003C1803">
        <w:t xml:space="preserve">he </w:t>
      </w:r>
      <w:r w:rsidR="003C1803">
        <w:lastRenderedPageBreak/>
        <w:t xml:space="preserve">question of whether </w:t>
      </w:r>
      <w:r w:rsidR="00EF6CCA">
        <w:t xml:space="preserve">the </w:t>
      </w:r>
      <w:r w:rsidR="003C1803">
        <w:t>post-decision evidence was capable of meeting the requirements of the Rules</w:t>
      </w:r>
      <w:r w:rsidR="001B6E50">
        <w:t xml:space="preserve"> was</w:t>
      </w:r>
      <w:r w:rsidR="00A67830">
        <w:t xml:space="preserve"> thus</w:t>
      </w:r>
      <w:r w:rsidR="001B6E50">
        <w:t xml:space="preserve"> critical to the outcome of the appeal</w:t>
      </w:r>
      <w:r w:rsidR="003C1803">
        <w:t xml:space="preserve"> at</w:t>
      </w:r>
      <w:r w:rsidR="00C21F4B">
        <w:t xml:space="preserve"> the first stage of </w:t>
      </w:r>
      <w:r w:rsidR="00A67830">
        <w:t>the Article 8 analysis</w:t>
      </w:r>
      <w:r w:rsidR="001B6E50">
        <w:t>.</w:t>
      </w:r>
    </w:p>
    <w:p w:rsidR="00C21F4B" w:rsidRDefault="00C21F4B" w:rsidP="00B9709C">
      <w:pPr>
        <w:pStyle w:val="p"/>
        <w:spacing w:before="160"/>
      </w:pPr>
      <w:r>
        <w:t>The judge’s self-direction concerning</w:t>
      </w:r>
      <w:r w:rsidR="001B6E50">
        <w:t xml:space="preserve"> post</w:t>
      </w:r>
      <w:r>
        <w:t>-</w:t>
      </w:r>
      <w:r w:rsidR="001B6E50">
        <w:t>decision evidence was, with respec</w:t>
      </w:r>
      <w:r w:rsidR="003C1803">
        <w:t>t, outdated</w:t>
      </w:r>
      <w:r>
        <w:t>.  Thus, at paragraph 5, he said</w:t>
      </w:r>
      <w:r w:rsidR="001B6E50">
        <w:t>:</w:t>
      </w:r>
      <w:r w:rsidR="0046274C">
        <w:t xml:space="preserve"> </w:t>
      </w:r>
    </w:p>
    <w:p w:rsidR="00C21F4B" w:rsidRPr="00B9709C" w:rsidRDefault="001B6E50" w:rsidP="00B9709C">
      <w:pPr>
        <w:pStyle w:val="p"/>
        <w:numPr>
          <w:ilvl w:val="0"/>
          <w:numId w:val="0"/>
        </w:numPr>
        <w:spacing w:before="120"/>
        <w:ind w:left="1134" w:right="567"/>
        <w:rPr>
          <w:sz w:val="22"/>
        </w:rPr>
      </w:pPr>
      <w:r w:rsidRPr="00B9709C">
        <w:rPr>
          <w:sz w:val="22"/>
        </w:rPr>
        <w:t>“</w:t>
      </w:r>
      <w:r w:rsidR="00106C4C" w:rsidRPr="00B9709C">
        <w:rPr>
          <w:sz w:val="22"/>
        </w:rPr>
        <w:t xml:space="preserve">The relevant date for my consideration is the date of the decision to refuse, although I may take account of later matters insofar as they cast light on the state of affairs at the date of refusal: see </w:t>
      </w:r>
      <w:r w:rsidR="00106C4C" w:rsidRPr="00B9709C">
        <w:rPr>
          <w:b/>
          <w:sz w:val="22"/>
          <w:u w:val="single"/>
        </w:rPr>
        <w:t>DR</w:t>
      </w:r>
      <w:r w:rsidR="00106C4C" w:rsidRPr="00B9709C">
        <w:rPr>
          <w:b/>
          <w:sz w:val="22"/>
        </w:rPr>
        <w:t xml:space="preserve"> (Morocco)* [2005] UKIAT 00038</w:t>
      </w:r>
      <w:r w:rsidR="0046274C" w:rsidRPr="00B9709C">
        <w:rPr>
          <w:sz w:val="22"/>
        </w:rPr>
        <w:t>.</w:t>
      </w:r>
      <w:r w:rsidRPr="00B9709C">
        <w:rPr>
          <w:sz w:val="22"/>
        </w:rPr>
        <w:t>”</w:t>
      </w:r>
      <w:r w:rsidR="00D73846" w:rsidRPr="00B9709C">
        <w:rPr>
          <w:sz w:val="22"/>
        </w:rPr>
        <w:t xml:space="preserve">  </w:t>
      </w:r>
    </w:p>
    <w:p w:rsidR="00C21F4B" w:rsidRDefault="00D73846" w:rsidP="00B9709C">
      <w:pPr>
        <w:pStyle w:val="p"/>
        <w:numPr>
          <w:ilvl w:val="0"/>
          <w:numId w:val="0"/>
        </w:numPr>
        <w:spacing w:before="160"/>
        <w:ind w:left="567"/>
      </w:pPr>
      <w:r w:rsidRPr="00A22897">
        <w:t>The judge then went on to refer to changes introd</w:t>
      </w:r>
      <w:r w:rsidR="00EF6CCA">
        <w:t>uced by the Immigration Act 20</w:t>
      </w:r>
      <w:r w:rsidR="00820DF3">
        <w:t>14. He nevertheless</w:t>
      </w:r>
      <w:r w:rsidR="00C21F4B">
        <w:t xml:space="preserve"> appears to have overlo</w:t>
      </w:r>
      <w:r w:rsidR="004731AF">
        <w:t>oked the</w:t>
      </w:r>
      <w:r w:rsidR="003C1803">
        <w:t xml:space="preserve"> fact that</w:t>
      </w:r>
      <w:r w:rsidR="004731AF">
        <w:t xml:space="preserve"> a new approach</w:t>
      </w:r>
      <w:r w:rsidR="00C21F4B">
        <w:t xml:space="preserve"> to post-decision eviden</w:t>
      </w:r>
      <w:r w:rsidR="004731AF">
        <w:t>ce</w:t>
      </w:r>
      <w:r w:rsidR="003C1803">
        <w:t xml:space="preserve"> was amongst those changes</w:t>
      </w:r>
      <w:r w:rsidRPr="00A22897">
        <w:t>.</w:t>
      </w:r>
      <w:r w:rsidR="00C21F4B">
        <w:t xml:space="preserve"> </w:t>
      </w:r>
      <w:r w:rsidR="004731AF">
        <w:t>The current</w:t>
      </w:r>
      <w:r w:rsidR="00C21F4B">
        <w:t xml:space="preserve"> approach</w:t>
      </w:r>
      <w:r w:rsidR="0046274C" w:rsidRPr="00A22897">
        <w:t xml:space="preserve"> is contained i</w:t>
      </w:r>
      <w:r w:rsidR="00C21F4B">
        <w:t>n Section 85(</w:t>
      </w:r>
      <w:r w:rsidR="004731AF">
        <w:t>4) of the 2002 Act (as amended) which reads as</w:t>
      </w:r>
      <w:r w:rsidR="00A22897" w:rsidRPr="00A22897">
        <w:t xml:space="preserve"> follows: </w:t>
      </w:r>
    </w:p>
    <w:p w:rsidR="00C21F4B" w:rsidRDefault="00A22897" w:rsidP="00B9709C">
      <w:pPr>
        <w:pStyle w:val="p"/>
        <w:numPr>
          <w:ilvl w:val="0"/>
          <w:numId w:val="0"/>
        </w:numPr>
        <w:spacing w:before="120"/>
        <w:ind w:left="1134"/>
      </w:pPr>
      <w:r w:rsidRPr="00A22897">
        <w:t>“On an appeal under Section 82(1) against a decision the Tribunal may consider any matter which it thinks relevant to the substance of the decision, including a matter arising after the date of the decision.”</w:t>
      </w:r>
      <w:r>
        <w:t xml:space="preserve">  </w:t>
      </w:r>
    </w:p>
    <w:p w:rsidR="00A22897" w:rsidRDefault="00C21F4B" w:rsidP="00B9709C">
      <w:pPr>
        <w:pStyle w:val="p"/>
        <w:numPr>
          <w:ilvl w:val="0"/>
          <w:numId w:val="0"/>
        </w:numPr>
        <w:spacing w:before="160"/>
        <w:ind w:left="567"/>
      </w:pPr>
      <w:r>
        <w:t>This approach applies equally to both in-country and out-of-country appeal</w:t>
      </w:r>
      <w:r w:rsidR="004731AF">
        <w:t>s</w:t>
      </w:r>
      <w:r>
        <w:t xml:space="preserve">. </w:t>
      </w:r>
      <w:r w:rsidR="00820DF3">
        <w:t>T</w:t>
      </w:r>
      <w:r w:rsidR="00A22897">
        <w:t>he judge’s</w:t>
      </w:r>
      <w:r w:rsidR="004731AF">
        <w:t xml:space="preserve"> self-direction relating</w:t>
      </w:r>
      <w:r w:rsidR="00A22897">
        <w:t xml:space="preserve"> to post</w:t>
      </w:r>
      <w:r>
        <w:t>-</w:t>
      </w:r>
      <w:r w:rsidR="003C1803">
        <w:t>decision evidence did not</w:t>
      </w:r>
      <w:r w:rsidR="00820DF3">
        <w:t xml:space="preserve"> therefore</w:t>
      </w:r>
      <w:r w:rsidR="003C1803">
        <w:t xml:space="preserve"> accurately reflect the current law</w:t>
      </w:r>
      <w:r w:rsidR="00A22897">
        <w:t>.</w:t>
      </w:r>
      <w:r>
        <w:t xml:space="preserve"> The r</w:t>
      </w:r>
      <w:r w:rsidR="004731AF">
        <w:t>emaining question is whether that</w:t>
      </w:r>
      <w:r>
        <w:t xml:space="preserve"> error was material </w:t>
      </w:r>
      <w:r w:rsidR="003C1803">
        <w:t>to the outcome given</w:t>
      </w:r>
      <w:r>
        <w:t xml:space="preserve"> the specific facts of this appeal.</w:t>
      </w:r>
    </w:p>
    <w:p w:rsidR="004731AF" w:rsidRDefault="004731AF" w:rsidP="00B9709C">
      <w:pPr>
        <w:pStyle w:val="p"/>
        <w:spacing w:before="160"/>
      </w:pPr>
      <w:r>
        <w:t>The argument</w:t>
      </w:r>
      <w:r w:rsidR="00A22897">
        <w:t xml:space="preserve"> in the Grounds of Appeal to the Upper Tribunal is that Section </w:t>
      </w:r>
      <w:r w:rsidR="00A22897" w:rsidRPr="00A22897">
        <w:t>85(4)</w:t>
      </w:r>
      <w:r w:rsidR="00A22897">
        <w:t xml:space="preserve"> </w:t>
      </w:r>
      <w:r w:rsidR="003C1803">
        <w:t xml:space="preserve">should have been </w:t>
      </w:r>
      <w:r w:rsidR="00A22897">
        <w:t>applied to the</w:t>
      </w:r>
      <w:r>
        <w:t xml:space="preserve"> Appellants’</w:t>
      </w:r>
      <w:r w:rsidR="00A22897">
        <w:t xml:space="preserve"> post</w:t>
      </w:r>
      <w:r>
        <w:t>-decision doc</w:t>
      </w:r>
      <w:r w:rsidR="003C1803">
        <w:t>uments and that the Appellants would thus have been</w:t>
      </w:r>
      <w:r>
        <w:t xml:space="preserve"> able to show that they met ‘specified evidence’ requirements of</w:t>
      </w:r>
      <w:r w:rsidR="00A22897">
        <w:t xml:space="preserve"> Appendix F</w:t>
      </w:r>
      <w:r>
        <w:t>M-SE</w:t>
      </w:r>
      <w:r w:rsidR="00A22897">
        <w:t>.</w:t>
      </w:r>
      <w:r w:rsidR="00D73846">
        <w:t xml:space="preserve">  </w:t>
      </w:r>
      <w:r>
        <w:t xml:space="preserve">This </w:t>
      </w:r>
      <w:r w:rsidR="00820DF3">
        <w:t>seems to me to be an essentially</w:t>
      </w:r>
      <w:r w:rsidR="00D73846">
        <w:t xml:space="preserve"> circular argument</w:t>
      </w:r>
      <w:r>
        <w:t xml:space="preserve"> for the following reasons</w:t>
      </w:r>
      <w:r w:rsidR="00D73846">
        <w:t xml:space="preserve">.  </w:t>
      </w:r>
    </w:p>
    <w:p w:rsidR="004B7109" w:rsidRDefault="00D73846" w:rsidP="00B9709C">
      <w:pPr>
        <w:pStyle w:val="p"/>
        <w:spacing w:before="160"/>
      </w:pPr>
      <w:r>
        <w:t xml:space="preserve">Although </w:t>
      </w:r>
      <w:r w:rsidRPr="00D73846">
        <w:t>Section 85(4)</w:t>
      </w:r>
      <w:r>
        <w:t xml:space="preserve"> clearly and expressly states that the Tr</w:t>
      </w:r>
      <w:r w:rsidR="00DF7B0D">
        <w:t>ibunal may have regard to matters</w:t>
      </w:r>
      <w:r>
        <w:t xml:space="preserve"> arising after the date of decision</w:t>
      </w:r>
      <w:r w:rsidR="004731AF">
        <w:t>, this is subject to the important qualification that the evidence in question is</w:t>
      </w:r>
      <w:r w:rsidR="004B7109">
        <w:t xml:space="preserve"> </w:t>
      </w:r>
      <w:r w:rsidR="004731AF">
        <w:t>“</w:t>
      </w:r>
      <w:r w:rsidR="004B7109">
        <w:t>relevant to the substance of the decision</w:t>
      </w:r>
      <w:r w:rsidR="004731AF">
        <w:t>”</w:t>
      </w:r>
      <w:r w:rsidR="004B7109">
        <w:t xml:space="preserve">. </w:t>
      </w:r>
      <w:r w:rsidR="004731AF">
        <w:t xml:space="preserve"> The substance of the Respondent’</w:t>
      </w:r>
      <w:r w:rsidR="003C1803">
        <w:t>s decision</w:t>
      </w:r>
      <w:r w:rsidR="004731AF">
        <w:t xml:space="preserve"> was that the documents submitted with the app</w:t>
      </w:r>
      <w:r w:rsidR="00DF7B0D">
        <w:t xml:space="preserve">lication </w:t>
      </w:r>
      <w:r w:rsidR="004731AF">
        <w:t>did not satisfy the</w:t>
      </w:r>
      <w:r w:rsidR="00DF7B0D">
        <w:t xml:space="preserve"> </w:t>
      </w:r>
      <w:r w:rsidR="003C1803">
        <w:t xml:space="preserve">requirement for </w:t>
      </w:r>
      <w:r w:rsidR="00820DF3">
        <w:t>documents that related</w:t>
      </w:r>
      <w:r w:rsidR="00DF7B0D">
        <w:t xml:space="preserve"> to</w:t>
      </w:r>
      <w:r w:rsidR="004731AF">
        <w:t xml:space="preserve"> </w:t>
      </w:r>
      <w:r w:rsidR="00DF7B0D">
        <w:t>the</w:t>
      </w:r>
      <w:r w:rsidR="003C1803">
        <w:t xml:space="preserve"> Sponsor’s</w:t>
      </w:r>
      <w:r w:rsidR="00DF7B0D">
        <w:t xml:space="preserve"> </w:t>
      </w:r>
      <w:r w:rsidR="00DF7B0D" w:rsidRPr="00DF7B0D">
        <w:rPr>
          <w:u w:val="single"/>
        </w:rPr>
        <w:t>pre-application</w:t>
      </w:r>
      <w:r w:rsidR="003C1803">
        <w:t xml:space="preserve"> earnings</w:t>
      </w:r>
      <w:r w:rsidR="00DF7B0D">
        <w:t>. Section 85(4) was thus incapable of assisting the Appellant</w:t>
      </w:r>
      <w:r w:rsidR="003C1803">
        <w:t>s at</w:t>
      </w:r>
      <w:r w:rsidR="00DF7B0D">
        <w:t xml:space="preserve"> the first stage of the analysis under Article 8 of the Human Rights Convention.</w:t>
      </w:r>
    </w:p>
    <w:p w:rsidR="003C1803" w:rsidRDefault="004B7109" w:rsidP="00B9709C">
      <w:pPr>
        <w:pStyle w:val="p"/>
        <w:spacing w:before="160"/>
      </w:pPr>
      <w:r>
        <w:t>The judge then went on to consider Article 8</w:t>
      </w:r>
      <w:r w:rsidR="00DF7B0D">
        <w:t xml:space="preserve"> outside the Rules. At this point</w:t>
      </w:r>
      <w:r w:rsidR="00BA553C">
        <w:t xml:space="preserve"> the argument put by Mr Goddard is subtly d</w:t>
      </w:r>
      <w:r w:rsidR="000E1C1A">
        <w:t xml:space="preserve">ifferent from that </w:t>
      </w:r>
      <w:r w:rsidR="003C1803">
        <w:t xml:space="preserve">which was </w:t>
      </w:r>
      <w:r w:rsidR="000E1C1A">
        <w:t>put</w:t>
      </w:r>
      <w:r w:rsidR="003C1803">
        <w:t xml:space="preserve"> in the First-tier Tribunal. It</w:t>
      </w:r>
      <w:r w:rsidR="000E1C1A">
        <w:t xml:space="preserve"> may be summarised as follows. </w:t>
      </w:r>
    </w:p>
    <w:p w:rsidR="005B4FF1" w:rsidRDefault="000E1C1A" w:rsidP="00B9709C">
      <w:pPr>
        <w:pStyle w:val="p"/>
        <w:spacing w:before="160"/>
      </w:pPr>
      <w:r>
        <w:t>O</w:t>
      </w:r>
      <w:r w:rsidR="003C1803">
        <w:t>nce the judge moved on to consider the appeal</w:t>
      </w:r>
      <w:r w:rsidR="00BA553C">
        <w:t xml:space="preserve"> outside the Rules</w:t>
      </w:r>
      <w:r w:rsidR="003C1803">
        <w:t>,</w:t>
      </w:r>
      <w:r w:rsidR="00BA553C">
        <w:t xml:space="preserve"> </w:t>
      </w:r>
      <w:r w:rsidR="00820DF3">
        <w:t>the requirement for</w:t>
      </w:r>
      <w:r w:rsidR="003C1803">
        <w:t xml:space="preserve"> the evidence </w:t>
      </w:r>
      <w:r w:rsidR="004A4106">
        <w:t xml:space="preserve">to </w:t>
      </w:r>
      <w:r w:rsidR="003C1803">
        <w:t>relate to the Sponsor’s pre-application earnings was</w:t>
      </w:r>
      <w:r w:rsidR="00DF7B0D">
        <w:t xml:space="preserve"> no longer</w:t>
      </w:r>
      <w:r w:rsidR="00BA553C">
        <w:t xml:space="preserve"> relevan</w:t>
      </w:r>
      <w:r>
        <w:t>t.  Accordingly, even if the judge was right in holding that the Appellants could not succeed under the Rules, he nevertheless</w:t>
      </w:r>
      <w:r w:rsidR="00DF7B0D">
        <w:t xml:space="preserve"> erred in failing to treat the post-decision documentation as a</w:t>
      </w:r>
      <w:r w:rsidR="00BA553C">
        <w:t xml:space="preserve"> weighty consideration</w:t>
      </w:r>
      <w:r>
        <w:t xml:space="preserve"> in the wider Article 8 assessment (outside the Rules) given that these showed</w:t>
      </w:r>
      <w:r w:rsidR="00BA553C">
        <w:t xml:space="preserve"> that the Sponsor earned a signif</w:t>
      </w:r>
      <w:r>
        <w:t>icantly larger sum than that required by</w:t>
      </w:r>
      <w:r w:rsidR="00BA553C">
        <w:t xml:space="preserve"> the Rules</w:t>
      </w:r>
      <w:r w:rsidR="005B4FF1">
        <w:t>. T</w:t>
      </w:r>
      <w:r w:rsidR="00535F60">
        <w:t>he weight attaching to the public interest in excluding the Appellant from the United Kingdom</w:t>
      </w:r>
      <w:r w:rsidR="005B4FF1">
        <w:t xml:space="preserve"> was thus diminished</w:t>
      </w:r>
      <w:r w:rsidR="00535F60">
        <w:t>.</w:t>
      </w:r>
      <w:r>
        <w:t xml:space="preserve"> </w:t>
      </w:r>
    </w:p>
    <w:p w:rsidR="00C12635" w:rsidRDefault="005B4FF1" w:rsidP="00B9709C">
      <w:pPr>
        <w:pStyle w:val="p"/>
        <w:spacing w:before="160"/>
      </w:pPr>
      <w:r>
        <w:lastRenderedPageBreak/>
        <w:t>Strictly speaking, the above</w:t>
      </w:r>
      <w:r w:rsidR="003C1803">
        <w:t xml:space="preserve"> argument is not one </w:t>
      </w:r>
      <w:r w:rsidR="000E1C1A">
        <w:t>for which permission to appeal has been granted.</w:t>
      </w:r>
      <w:r w:rsidR="00535F60">
        <w:t xml:space="preserve"> I</w:t>
      </w:r>
      <w:r>
        <w:t xml:space="preserve"> have </w:t>
      </w:r>
      <w:r w:rsidR="00820DF3">
        <w:t>nevertheless considered and</w:t>
      </w:r>
      <w:r>
        <w:t xml:space="preserve"> reject</w:t>
      </w:r>
      <w:r w:rsidR="00820DF3">
        <w:t>ed</w:t>
      </w:r>
      <w:r>
        <w:t xml:space="preserve"> </w:t>
      </w:r>
      <w:r w:rsidR="000E1C1A">
        <w:t>it on</w:t>
      </w:r>
      <w:r w:rsidR="00535F60">
        <w:t xml:space="preserve"> two</w:t>
      </w:r>
      <w:r w:rsidR="000E1C1A">
        <w:t xml:space="preserve"> discrete</w:t>
      </w:r>
      <w:r w:rsidR="00535F60">
        <w:t xml:space="preserve"> grounds.</w:t>
      </w:r>
    </w:p>
    <w:p w:rsidR="00535F60" w:rsidRPr="00C12635" w:rsidRDefault="00535F60" w:rsidP="00B9709C">
      <w:pPr>
        <w:pStyle w:val="p"/>
        <w:spacing w:before="160"/>
      </w:pPr>
      <w:r>
        <w:t>Firstly, as a matter of principle,</w:t>
      </w:r>
      <w:r w:rsidRPr="00535F60">
        <w:t xml:space="preserve"> </w:t>
      </w:r>
      <w:r w:rsidR="005B4FF1">
        <w:t>if the</w:t>
      </w:r>
      <w:r>
        <w:t xml:space="preserve"> argument is right then </w:t>
      </w:r>
      <w:r w:rsidR="005B4FF1">
        <w:t>it allows</w:t>
      </w:r>
      <w:r>
        <w:t xml:space="preserve"> applicants to bypass what wou</w:t>
      </w:r>
      <w:r w:rsidR="005B4FF1">
        <w:t>ld otherwise be the necessity for making</w:t>
      </w:r>
      <w:r>
        <w:t xml:space="preserve"> a fresh application under the Immigration </w:t>
      </w:r>
      <w:r w:rsidRPr="00C12635">
        <w:t>Rules</w:t>
      </w:r>
      <w:r>
        <w:t xml:space="preserve"> (together with payment of a substantial fee) by</w:t>
      </w:r>
      <w:r w:rsidR="005B4FF1">
        <w:t xml:space="preserve"> simply</w:t>
      </w:r>
      <w:r>
        <w:t xml:space="preserve"> appealing </w:t>
      </w:r>
      <w:r w:rsidR="005B4FF1">
        <w:t>against a decision that was</w:t>
      </w:r>
      <w:r w:rsidR="000E1C1A">
        <w:t xml:space="preserve"> considered</w:t>
      </w:r>
      <w:r>
        <w:t xml:space="preserve"> </w:t>
      </w:r>
      <w:r w:rsidR="00EF6CCA">
        <w:t xml:space="preserve">under the Rules </w:t>
      </w:r>
      <w:r>
        <w:t xml:space="preserve">upon </w:t>
      </w:r>
      <w:r w:rsidR="00EF6CCA">
        <w:t xml:space="preserve">an </w:t>
      </w:r>
      <w:r>
        <w:t xml:space="preserve">entirely different </w:t>
      </w:r>
      <w:r w:rsidR="00EF6CCA">
        <w:t>evidential basis</w:t>
      </w:r>
      <w:r>
        <w:t>.</w:t>
      </w:r>
      <w:r w:rsidR="000E1C1A">
        <w:t xml:space="preserve"> In my judgement, the purpose of the appeal process is to</w:t>
      </w:r>
      <w:r>
        <w:t xml:space="preserve"> provide a mechanism for correcting errors in the original decision that </w:t>
      </w:r>
      <w:r w:rsidR="000E1C1A">
        <w:t xml:space="preserve">may </w:t>
      </w:r>
      <w:r w:rsidR="00EF6CCA">
        <w:t>otherwise have led</w:t>
      </w:r>
      <w:r>
        <w:t xml:space="preserve"> to a breach of a person’s fundamental </w:t>
      </w:r>
      <w:r w:rsidR="000E1C1A">
        <w:t>human rights. Its purpose is not</w:t>
      </w:r>
      <w:r>
        <w:t xml:space="preserve"> to provide a cheap alternative to making a fresh application with a view rectifying the errors</w:t>
      </w:r>
      <w:r w:rsidR="00EF6CCA">
        <w:t xml:space="preserve"> that were</w:t>
      </w:r>
      <w:r>
        <w:t xml:space="preserve"> made in the original application.  </w:t>
      </w:r>
    </w:p>
    <w:p w:rsidR="00C5194E" w:rsidRDefault="000E1C1A" w:rsidP="00B9709C">
      <w:pPr>
        <w:pStyle w:val="p"/>
        <w:spacing w:before="160"/>
      </w:pPr>
      <w:r>
        <w:t>Secondly, I do not accept that the ability of the Sponsor to provide financial support for the Appellants was of itself a weight</w:t>
      </w:r>
      <w:r w:rsidR="005B4FF1">
        <w:t>y factor in the assessment of</w:t>
      </w:r>
      <w:r>
        <w:t xml:space="preserve"> their fundamental human rights. </w:t>
      </w:r>
      <w:r w:rsidR="00C12635">
        <w:t>Although it is a non</w:t>
      </w:r>
      <w:r w:rsidR="0082153C">
        <w:t>-exhaustive list</w:t>
      </w:r>
      <w:r>
        <w:t>,</w:t>
      </w:r>
      <w:r w:rsidR="0082153C">
        <w:t xml:space="preserve"> Section 117B of the 20</w:t>
      </w:r>
      <w:r w:rsidR="008332CE">
        <w:t>02</w:t>
      </w:r>
      <w:r w:rsidR="0082153C">
        <w:t xml:space="preserve"> Act requires the Tribunal </w:t>
      </w:r>
      <w:r w:rsidR="009A39CB">
        <w:t xml:space="preserve">to have regard to the factors therein </w:t>
      </w:r>
      <w:r w:rsidR="005B4FF1">
        <w:t>listed.  One of those factors</w:t>
      </w:r>
      <w:r w:rsidR="009A39CB">
        <w:t xml:space="preserve"> is that it is in the public interest for those wishing to live in the United Kingdom to be financially self-sufficient.</w:t>
      </w:r>
      <w:r w:rsidR="005B4FF1">
        <w:t xml:space="preserve"> It is moreover well-established law</w:t>
      </w:r>
      <w:r w:rsidR="00C5194E">
        <w:t>, as the judge noted at paragr</w:t>
      </w:r>
      <w:r w:rsidR="00EF6CCA">
        <w:t>aph 15, that</w:t>
      </w:r>
      <w:r w:rsidR="005B4FF1">
        <w:t xml:space="preserve"> financial</w:t>
      </w:r>
      <w:r w:rsidR="0092152E">
        <w:t xml:space="preserve"> self-sufficiency</w:t>
      </w:r>
      <w:r w:rsidR="005B4FF1">
        <w:t xml:space="preserve"> is an essentially</w:t>
      </w:r>
      <w:r w:rsidR="00C5194E">
        <w:t xml:space="preserve"> neutral factor.  What the judge said was this</w:t>
      </w:r>
      <w:r w:rsidR="00255AFF">
        <w:t>:</w:t>
      </w:r>
    </w:p>
    <w:p w:rsidR="00255AFF" w:rsidRPr="00B9709C" w:rsidRDefault="00255AFF" w:rsidP="00B9709C">
      <w:pPr>
        <w:pStyle w:val="q"/>
        <w:spacing w:before="120"/>
        <w:ind w:right="567"/>
        <w:rPr>
          <w:sz w:val="22"/>
        </w:rPr>
      </w:pPr>
      <w:r w:rsidRPr="00B9709C">
        <w:rPr>
          <w:sz w:val="22"/>
        </w:rPr>
        <w:t xml:space="preserve">“I remind myself of the provisions of Section 117B of the 2002 </w:t>
      </w:r>
      <w:r w:rsidR="008332CE" w:rsidRPr="00B9709C">
        <w:rPr>
          <w:sz w:val="22"/>
        </w:rPr>
        <w:t>A</w:t>
      </w:r>
      <w:r w:rsidRPr="00B9709C">
        <w:rPr>
          <w:sz w:val="22"/>
        </w:rPr>
        <w:t>ct, insofar as they bear on entry clearance rather than removal cases.  The maintenance of immigration control is in the public interest and these Appellants fail, in the way described to meet the requirements of the Immigration Rules.  It is in the public interest that applicants speak English and be self-sufficient, but even where those are shown they are not positive reason</w:t>
      </w:r>
      <w:r w:rsidR="008332CE" w:rsidRPr="00B9709C">
        <w:rPr>
          <w:sz w:val="22"/>
        </w:rPr>
        <w:t>s for a grant of leave.</w:t>
      </w:r>
      <w:r w:rsidRPr="00B9709C">
        <w:rPr>
          <w:sz w:val="22"/>
        </w:rPr>
        <w:t>”</w:t>
      </w:r>
    </w:p>
    <w:p w:rsidR="008332CE" w:rsidRDefault="0092152E" w:rsidP="00B9709C">
      <w:pPr>
        <w:pStyle w:val="un"/>
        <w:spacing w:before="160"/>
      </w:pPr>
      <w:r>
        <w:t xml:space="preserve">That </w:t>
      </w:r>
      <w:r w:rsidR="008332CE">
        <w:t>was an</w:t>
      </w:r>
      <w:r>
        <w:t xml:space="preserve"> entirely</w:t>
      </w:r>
      <w:r w:rsidR="008332CE">
        <w:t xml:space="preserve"> accurate statement</w:t>
      </w:r>
      <w:r w:rsidR="00EF6CCA">
        <w:t xml:space="preserve"> of the law and</w:t>
      </w:r>
      <w:r>
        <w:t xml:space="preserve"> it</w:t>
      </w:r>
      <w:r w:rsidR="00EF6CCA">
        <w:t xml:space="preserve"> in my judgement</w:t>
      </w:r>
      <w:r>
        <w:t xml:space="preserve"> suffices to dispose of Mr Goddard’s argument that the </w:t>
      </w:r>
      <w:r w:rsidR="00EF6CCA">
        <w:t xml:space="preserve">judge ought to have </w:t>
      </w:r>
      <w:r w:rsidR="004A4106">
        <w:t>placed favourable</w:t>
      </w:r>
      <w:r w:rsidR="00EF6CCA">
        <w:t xml:space="preserve"> weight</w:t>
      </w:r>
      <w:r>
        <w:t xml:space="preserve"> upon the evidence of the Sponsor’s post-decision financial position.</w:t>
      </w:r>
    </w:p>
    <w:p w:rsidR="0092152E" w:rsidRDefault="001946F8" w:rsidP="00B9709C">
      <w:pPr>
        <w:pStyle w:val="p"/>
        <w:spacing w:before="160"/>
      </w:pPr>
      <w:r>
        <w:t>I am therefore satisfied</w:t>
      </w:r>
      <w:r w:rsidR="0092152E">
        <w:t xml:space="preserve"> that, apart from the matter that I mentioned at paragraph 6 above, there was no error of law in the approach that the judge </w:t>
      </w:r>
      <w:r>
        <w:t xml:space="preserve">took </w:t>
      </w:r>
      <w:r w:rsidR="0092152E">
        <w:t xml:space="preserve">to these appeals.  I am equally satisfied that the judge’s outdated self-direction to </w:t>
      </w:r>
      <w:r>
        <w:t>post</w:t>
      </w:r>
      <w:r w:rsidR="0092152E">
        <w:t>-decision evidence had</w:t>
      </w:r>
      <w:r>
        <w:t xml:space="preserve"> no bearing </w:t>
      </w:r>
      <w:r w:rsidR="0092152E">
        <w:t>up</w:t>
      </w:r>
      <w:r>
        <w:t>on the outcome of the appeal</w:t>
      </w:r>
      <w:r w:rsidR="0092152E">
        <w:t>.</w:t>
      </w:r>
      <w:r w:rsidR="005E10D2">
        <w:t xml:space="preserve"> </w:t>
      </w:r>
    </w:p>
    <w:p w:rsidR="00CF7E9F" w:rsidRPr="0092152E" w:rsidRDefault="0092152E" w:rsidP="00B9709C">
      <w:pPr>
        <w:pStyle w:val="p"/>
        <w:numPr>
          <w:ilvl w:val="0"/>
          <w:numId w:val="0"/>
        </w:numPr>
        <w:spacing w:before="160"/>
        <w:rPr>
          <w:b/>
          <w:u w:val="single"/>
        </w:rPr>
      </w:pPr>
      <w:r w:rsidRPr="0092152E">
        <w:rPr>
          <w:b/>
          <w:u w:val="single"/>
        </w:rPr>
        <w:t>Notice of Decision</w:t>
      </w:r>
    </w:p>
    <w:p w:rsidR="0092152E" w:rsidRPr="00CF7E9F" w:rsidRDefault="0092152E" w:rsidP="00B9709C">
      <w:pPr>
        <w:pStyle w:val="p"/>
        <w:numPr>
          <w:ilvl w:val="0"/>
          <w:numId w:val="0"/>
        </w:numPr>
        <w:spacing w:before="160"/>
      </w:pPr>
      <w:r>
        <w:t>The appeals are dismissed</w:t>
      </w:r>
    </w:p>
    <w:p w:rsidR="000369F5" w:rsidRPr="00F5664C" w:rsidRDefault="0092152E" w:rsidP="00B9709C">
      <w:pPr>
        <w:spacing w:before="160"/>
        <w:jc w:val="both"/>
        <w:rPr>
          <w:rFonts w:ascii="Book Antiqua" w:hAnsi="Book Antiqua" w:cs="Arial"/>
        </w:rPr>
      </w:pPr>
      <w:bookmarkStart w:id="1" w:name="_GoBack"/>
      <w:bookmarkEnd w:id="1"/>
      <w:r>
        <w:rPr>
          <w:rFonts w:ascii="Book Antiqua" w:hAnsi="Book Antiqua" w:cs="Arial"/>
        </w:rPr>
        <w:t>No anonymity direction is made.</w:t>
      </w:r>
    </w:p>
    <w:p w:rsidR="000369F5" w:rsidRPr="00F5664C" w:rsidRDefault="000369F5" w:rsidP="000369F5">
      <w:pPr>
        <w:tabs>
          <w:tab w:val="left" w:pos="2520"/>
        </w:tabs>
        <w:jc w:val="both"/>
        <w:rPr>
          <w:rFonts w:ascii="Book Antiqua" w:hAnsi="Book Antiqua" w:cs="Arial"/>
        </w:rPr>
      </w:pPr>
    </w:p>
    <w:p w:rsidR="00CF7E9F" w:rsidRPr="00F5664C" w:rsidRDefault="00CF7E9F" w:rsidP="000369F5">
      <w:pPr>
        <w:tabs>
          <w:tab w:val="left" w:pos="2520"/>
        </w:tabs>
        <w:jc w:val="both"/>
        <w:rPr>
          <w:rFonts w:ascii="Book Antiqua" w:hAnsi="Book Antiqua" w:cs="Arial"/>
        </w:rPr>
      </w:pPr>
    </w:p>
    <w:p w:rsidR="001F2716" w:rsidRPr="00F5664C" w:rsidRDefault="006E3C90" w:rsidP="000369F5">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001F2716" w:rsidRPr="00F5664C">
        <w:rPr>
          <w:rFonts w:ascii="Book Antiqua" w:hAnsi="Book Antiqua" w:cs="Arial"/>
        </w:rPr>
        <w:t>Date</w:t>
      </w:r>
      <w:r w:rsidR="0092152E">
        <w:rPr>
          <w:rFonts w:ascii="Book Antiqua" w:hAnsi="Book Antiqua" w:cs="Arial"/>
        </w:rPr>
        <w:t>: 25</w:t>
      </w:r>
      <w:r w:rsidR="0092152E" w:rsidRPr="0092152E">
        <w:rPr>
          <w:rFonts w:ascii="Book Antiqua" w:hAnsi="Book Antiqua" w:cs="Arial"/>
          <w:vertAlign w:val="superscript"/>
        </w:rPr>
        <w:t>th</w:t>
      </w:r>
      <w:r w:rsidR="0092152E">
        <w:rPr>
          <w:rFonts w:ascii="Book Antiqua" w:hAnsi="Book Antiqua" w:cs="Arial"/>
        </w:rPr>
        <w:t xml:space="preserve"> June 2018</w:t>
      </w:r>
    </w:p>
    <w:p w:rsidR="001F2716" w:rsidRPr="00F5664C" w:rsidRDefault="001F2716" w:rsidP="000369F5">
      <w:pPr>
        <w:tabs>
          <w:tab w:val="left" w:pos="2520"/>
        </w:tabs>
        <w:jc w:val="both"/>
        <w:rPr>
          <w:rFonts w:ascii="Book Antiqua" w:hAnsi="Book Antiqua" w:cs="Arial"/>
        </w:rPr>
      </w:pPr>
    </w:p>
    <w:p w:rsidR="005B7789" w:rsidRPr="00F5664C" w:rsidRDefault="00C33F41" w:rsidP="00F841E9">
      <w:pPr>
        <w:tabs>
          <w:tab w:val="left" w:pos="2520"/>
        </w:tabs>
        <w:jc w:val="both"/>
        <w:rPr>
          <w:rFonts w:ascii="Book Antiqua" w:hAnsi="Book Antiqua" w:cs="Arial"/>
        </w:rPr>
      </w:pPr>
      <w:r>
        <w:rPr>
          <w:rFonts w:ascii="Book Antiqua" w:hAnsi="Book Antiqua" w:cs="Arial"/>
        </w:rPr>
        <w:t>Deputy Upper Tribunal</w:t>
      </w:r>
      <w:r w:rsidR="00AC5CF6" w:rsidRPr="00F5664C">
        <w:rPr>
          <w:rFonts w:ascii="Book Antiqua" w:hAnsi="Book Antiqua" w:cs="Arial"/>
        </w:rPr>
        <w:t xml:space="preserve"> Judge</w:t>
      </w:r>
      <w:r w:rsidR="00B16F58" w:rsidRPr="00F5664C">
        <w:rPr>
          <w:rFonts w:ascii="Book Antiqua" w:hAnsi="Book Antiqua" w:cs="Arial"/>
        </w:rPr>
        <w:t xml:space="preserve"> </w:t>
      </w:r>
      <w:r w:rsidR="00D71973">
        <w:rPr>
          <w:rFonts w:ascii="Book Antiqua" w:hAnsi="Book Antiqua" w:cs="Arial"/>
        </w:rPr>
        <w:t>Kelly</w:t>
      </w:r>
      <w:r w:rsidR="00C321B5" w:rsidRPr="00F5664C">
        <w:rPr>
          <w:rFonts w:ascii="Book Antiqua" w:hAnsi="Book Antiqua" w:cs="Arial"/>
        </w:rPr>
        <w:t xml:space="preserve"> </w:t>
      </w:r>
    </w:p>
    <w:sectPr w:rsidR="005B7789" w:rsidRPr="00F5664C" w:rsidSect="00776E97">
      <w:headerReference w:type="default" r:id="rId9"/>
      <w:footerReference w:type="default" r:id="rId10"/>
      <w:headerReference w:type="first" r:id="rId11"/>
      <w:footerReference w:type="first" r:id="rId12"/>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13C27" w:rsidRDefault="00A13C27">
      <w:r>
        <w:separator/>
      </w:r>
    </w:p>
  </w:endnote>
  <w:endnote w:type="continuationSeparator" w:id="0">
    <w:p w:rsidR="00A13C27" w:rsidRDefault="00A13C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5A70" w:rsidRPr="00F5664C" w:rsidRDefault="00E05A70" w:rsidP="00593795">
    <w:pPr>
      <w:pStyle w:val="Footer"/>
      <w:jc w:val="center"/>
      <w:rPr>
        <w:rFonts w:ascii="Book Antiqua" w:hAnsi="Book Antiqua" w:cs="Arial"/>
        <w:sz w:val="16"/>
        <w:szCs w:val="16"/>
      </w:rPr>
    </w:pPr>
    <w:r w:rsidRPr="00F5664C">
      <w:rPr>
        <w:rStyle w:val="PageNumber"/>
        <w:rFonts w:ascii="Book Antiqua" w:hAnsi="Book Antiqua" w:cs="Arial"/>
        <w:sz w:val="16"/>
        <w:szCs w:val="16"/>
      </w:rPr>
      <w:fldChar w:fldCharType="begin"/>
    </w:r>
    <w:r w:rsidRPr="00F5664C">
      <w:rPr>
        <w:rStyle w:val="PageNumber"/>
        <w:rFonts w:ascii="Book Antiqua" w:hAnsi="Book Antiqua" w:cs="Arial"/>
        <w:sz w:val="16"/>
        <w:szCs w:val="16"/>
      </w:rPr>
      <w:instrText xml:space="preserve"> PAGE </w:instrText>
    </w:r>
    <w:r w:rsidRPr="00F5664C">
      <w:rPr>
        <w:rStyle w:val="PageNumber"/>
        <w:rFonts w:ascii="Book Antiqua" w:hAnsi="Book Antiqua" w:cs="Arial"/>
        <w:sz w:val="16"/>
        <w:szCs w:val="16"/>
      </w:rPr>
      <w:fldChar w:fldCharType="separate"/>
    </w:r>
    <w:r w:rsidR="00F841E9">
      <w:rPr>
        <w:rStyle w:val="PageNumber"/>
        <w:rFonts w:ascii="Book Antiqua" w:hAnsi="Book Antiqua" w:cs="Arial"/>
        <w:noProof/>
        <w:sz w:val="16"/>
        <w:szCs w:val="16"/>
      </w:rPr>
      <w:t>2</w:t>
    </w:r>
    <w:r w:rsidRPr="00F5664C">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5A70" w:rsidRPr="00F5664C" w:rsidRDefault="00E05A70" w:rsidP="00842418">
    <w:pPr>
      <w:jc w:val="center"/>
      <w:rPr>
        <w:rFonts w:ascii="Book Antiqua" w:hAnsi="Book Antiqua" w:cs="Arial"/>
        <w:b/>
      </w:rPr>
    </w:pPr>
    <w:r w:rsidRPr="00F5664C">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13C27" w:rsidRDefault="00A13C27">
      <w:r>
        <w:separator/>
      </w:r>
    </w:p>
  </w:footnote>
  <w:footnote w:type="continuationSeparator" w:id="0">
    <w:p w:rsidR="00A13C27" w:rsidRDefault="00A13C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5A70" w:rsidRPr="00BE57BE" w:rsidRDefault="00E05A70" w:rsidP="00BE57BE">
    <w:pPr>
      <w:pStyle w:val="Header"/>
      <w:tabs>
        <w:tab w:val="right" w:pos="9639"/>
      </w:tabs>
      <w:jc w:val="right"/>
      <w:rPr>
        <w:rFonts w:ascii="Book Antiqua" w:hAnsi="Book Antiqua" w:cs="Arial"/>
        <w:sz w:val="16"/>
        <w:szCs w:val="16"/>
      </w:rPr>
    </w:pPr>
    <w:r w:rsidRPr="00F5664C">
      <w:rPr>
        <w:rFonts w:ascii="Book Antiqua" w:hAnsi="Book Antiqua" w:cs="Arial"/>
        <w:sz w:val="16"/>
        <w:szCs w:val="16"/>
      </w:rPr>
      <w:t>Appeal Number</w:t>
    </w:r>
    <w:r>
      <w:rPr>
        <w:rFonts w:ascii="Book Antiqua" w:hAnsi="Book Antiqua" w:cs="Arial"/>
        <w:sz w:val="16"/>
        <w:szCs w:val="16"/>
      </w:rPr>
      <w:t>s</w:t>
    </w:r>
    <w:r w:rsidRPr="00F5664C">
      <w:rPr>
        <w:rFonts w:ascii="Book Antiqua" w:hAnsi="Book Antiqua" w:cs="Arial"/>
        <w:sz w:val="16"/>
        <w:szCs w:val="16"/>
      </w:rPr>
      <w:t xml:space="preserve">: </w:t>
    </w:r>
    <w:r w:rsidRPr="00BE57BE">
      <w:rPr>
        <w:rFonts w:ascii="Book Antiqua" w:hAnsi="Book Antiqua" w:cs="Arial"/>
        <w:sz w:val="16"/>
        <w:szCs w:val="16"/>
      </w:rPr>
      <w:t>HU/09072/2016</w:t>
    </w:r>
  </w:p>
  <w:p w:rsidR="00E05A70" w:rsidRPr="00BE57BE" w:rsidRDefault="00E05A70" w:rsidP="00BE57BE">
    <w:pPr>
      <w:pStyle w:val="Header"/>
      <w:tabs>
        <w:tab w:val="right" w:pos="9639"/>
      </w:tabs>
      <w:jc w:val="right"/>
      <w:rPr>
        <w:rFonts w:ascii="Book Antiqua" w:hAnsi="Book Antiqua" w:cs="Arial"/>
        <w:sz w:val="16"/>
        <w:szCs w:val="16"/>
      </w:rPr>
    </w:pPr>
    <w:r w:rsidRPr="00BE57BE">
      <w:rPr>
        <w:rFonts w:ascii="Book Antiqua" w:hAnsi="Book Antiqua" w:cs="Arial"/>
        <w:sz w:val="16"/>
        <w:szCs w:val="16"/>
      </w:rPr>
      <w:t>HU/09076/2016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5A70" w:rsidRPr="00F5664C" w:rsidRDefault="00E05A70">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5F668EC"/>
    <w:multiLevelType w:val="multilevel"/>
    <w:tmpl w:val="FCFCD9D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4D60EB8"/>
    <w:multiLevelType w:val="multilevel"/>
    <w:tmpl w:val="C1F20C70"/>
    <w:lvl w:ilvl="0">
      <w:start w:val="1"/>
      <w:numFmt w:val="decimal"/>
      <w:pStyle w:val="p"/>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60B6618B"/>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5"/>
  </w:num>
  <w:num w:numId="2">
    <w:abstractNumId w:val="14"/>
  </w:num>
  <w:num w:numId="3">
    <w:abstractNumId w:val="3"/>
  </w:num>
  <w:num w:numId="4">
    <w:abstractNumId w:val="10"/>
  </w:num>
  <w:num w:numId="5">
    <w:abstractNumId w:val="19"/>
  </w:num>
  <w:num w:numId="6">
    <w:abstractNumId w:val="11"/>
  </w:num>
  <w:num w:numId="7">
    <w:abstractNumId w:val="18"/>
  </w:num>
  <w:num w:numId="8">
    <w:abstractNumId w:val="8"/>
  </w:num>
  <w:num w:numId="9">
    <w:abstractNumId w:val="7"/>
  </w:num>
  <w:num w:numId="10">
    <w:abstractNumId w:val="17"/>
  </w:num>
  <w:num w:numId="11">
    <w:abstractNumId w:val="16"/>
  </w:num>
  <w:num w:numId="12">
    <w:abstractNumId w:val="2"/>
  </w:num>
  <w:num w:numId="13">
    <w:abstractNumId w:val="15"/>
  </w:num>
  <w:num w:numId="14">
    <w:abstractNumId w:val="0"/>
  </w:num>
  <w:num w:numId="15">
    <w:abstractNumId w:val="4"/>
  </w:num>
  <w:num w:numId="16">
    <w:abstractNumId w:val="6"/>
  </w:num>
  <w:num w:numId="17">
    <w:abstractNumId w:val="12"/>
  </w:num>
  <w:num w:numId="18">
    <w:abstractNumId w:val="9"/>
  </w:num>
  <w:num w:numId="19">
    <w:abstractNumId w:val="13"/>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56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55CC"/>
    <w:rsid w:val="00000621"/>
    <w:rsid w:val="000036C2"/>
    <w:rsid w:val="00033D3D"/>
    <w:rsid w:val="000369F5"/>
    <w:rsid w:val="00042918"/>
    <w:rsid w:val="00071A7E"/>
    <w:rsid w:val="000746C0"/>
    <w:rsid w:val="00074D1D"/>
    <w:rsid w:val="00092580"/>
    <w:rsid w:val="000D5D94"/>
    <w:rsid w:val="000E1C1A"/>
    <w:rsid w:val="001022B9"/>
    <w:rsid w:val="00106C4C"/>
    <w:rsid w:val="001165A7"/>
    <w:rsid w:val="00126ECE"/>
    <w:rsid w:val="00146290"/>
    <w:rsid w:val="001502B3"/>
    <w:rsid w:val="00151BA9"/>
    <w:rsid w:val="00151BB7"/>
    <w:rsid w:val="00167D3A"/>
    <w:rsid w:val="001836AC"/>
    <w:rsid w:val="001946F8"/>
    <w:rsid w:val="001A1E2C"/>
    <w:rsid w:val="001B6E50"/>
    <w:rsid w:val="001F2716"/>
    <w:rsid w:val="001F45FA"/>
    <w:rsid w:val="0020133A"/>
    <w:rsid w:val="00207617"/>
    <w:rsid w:val="00241B28"/>
    <w:rsid w:val="00255AFF"/>
    <w:rsid w:val="00273344"/>
    <w:rsid w:val="00280938"/>
    <w:rsid w:val="00283659"/>
    <w:rsid w:val="002B6D27"/>
    <w:rsid w:val="002B7686"/>
    <w:rsid w:val="002C4E73"/>
    <w:rsid w:val="002D68BF"/>
    <w:rsid w:val="00303C11"/>
    <w:rsid w:val="00336CBF"/>
    <w:rsid w:val="003546C8"/>
    <w:rsid w:val="003A7CF2"/>
    <w:rsid w:val="003C1803"/>
    <w:rsid w:val="003C5CE5"/>
    <w:rsid w:val="003E267B"/>
    <w:rsid w:val="003E56A9"/>
    <w:rsid w:val="003E7CD1"/>
    <w:rsid w:val="00402B9E"/>
    <w:rsid w:val="00405524"/>
    <w:rsid w:val="00406607"/>
    <w:rsid w:val="00423932"/>
    <w:rsid w:val="004249CB"/>
    <w:rsid w:val="0044127D"/>
    <w:rsid w:val="004448DB"/>
    <w:rsid w:val="00446C9A"/>
    <w:rsid w:val="004476C2"/>
    <w:rsid w:val="00456F56"/>
    <w:rsid w:val="0046274C"/>
    <w:rsid w:val="004731AF"/>
    <w:rsid w:val="00477193"/>
    <w:rsid w:val="00477D24"/>
    <w:rsid w:val="004974CF"/>
    <w:rsid w:val="004A1848"/>
    <w:rsid w:val="004A4106"/>
    <w:rsid w:val="004B7109"/>
    <w:rsid w:val="004E2E3D"/>
    <w:rsid w:val="00502B91"/>
    <w:rsid w:val="00507FEC"/>
    <w:rsid w:val="00510F0E"/>
    <w:rsid w:val="00535F60"/>
    <w:rsid w:val="005479E1"/>
    <w:rsid w:val="005570FD"/>
    <w:rsid w:val="005575EA"/>
    <w:rsid w:val="0057790C"/>
    <w:rsid w:val="00593795"/>
    <w:rsid w:val="005A75FF"/>
    <w:rsid w:val="005B12EA"/>
    <w:rsid w:val="005B4FF1"/>
    <w:rsid w:val="005B7789"/>
    <w:rsid w:val="005E10D2"/>
    <w:rsid w:val="006402EC"/>
    <w:rsid w:val="0065791C"/>
    <w:rsid w:val="00661E1C"/>
    <w:rsid w:val="00666887"/>
    <w:rsid w:val="0068180C"/>
    <w:rsid w:val="00690B8A"/>
    <w:rsid w:val="006A4FB4"/>
    <w:rsid w:val="006D1DFA"/>
    <w:rsid w:val="006D506B"/>
    <w:rsid w:val="006E3C90"/>
    <w:rsid w:val="006F55CC"/>
    <w:rsid w:val="00704B61"/>
    <w:rsid w:val="007053A3"/>
    <w:rsid w:val="00742A8D"/>
    <w:rsid w:val="00747430"/>
    <w:rsid w:val="00750E0C"/>
    <w:rsid w:val="007552A9"/>
    <w:rsid w:val="00761858"/>
    <w:rsid w:val="00767D59"/>
    <w:rsid w:val="00776E97"/>
    <w:rsid w:val="00780FD7"/>
    <w:rsid w:val="007912AD"/>
    <w:rsid w:val="007A1F28"/>
    <w:rsid w:val="007B0824"/>
    <w:rsid w:val="00820DF3"/>
    <w:rsid w:val="0082153C"/>
    <w:rsid w:val="008303B8"/>
    <w:rsid w:val="008332CE"/>
    <w:rsid w:val="00833DCE"/>
    <w:rsid w:val="00842418"/>
    <w:rsid w:val="00871D34"/>
    <w:rsid w:val="00887BA0"/>
    <w:rsid w:val="008B270C"/>
    <w:rsid w:val="008C3D3D"/>
    <w:rsid w:val="008D4131"/>
    <w:rsid w:val="008F1932"/>
    <w:rsid w:val="008F294D"/>
    <w:rsid w:val="008F7DC6"/>
    <w:rsid w:val="00921062"/>
    <w:rsid w:val="0092152E"/>
    <w:rsid w:val="0093083E"/>
    <w:rsid w:val="009337AF"/>
    <w:rsid w:val="00935649"/>
    <w:rsid w:val="0093786F"/>
    <w:rsid w:val="00944F40"/>
    <w:rsid w:val="00966ECF"/>
    <w:rsid w:val="009727A3"/>
    <w:rsid w:val="00987774"/>
    <w:rsid w:val="009A11E8"/>
    <w:rsid w:val="009A39CB"/>
    <w:rsid w:val="009A6191"/>
    <w:rsid w:val="009E4E62"/>
    <w:rsid w:val="009F5220"/>
    <w:rsid w:val="009F5955"/>
    <w:rsid w:val="009F7C4D"/>
    <w:rsid w:val="00A13C27"/>
    <w:rsid w:val="00A15234"/>
    <w:rsid w:val="00A201AB"/>
    <w:rsid w:val="00A22897"/>
    <w:rsid w:val="00A31C8B"/>
    <w:rsid w:val="00A51A42"/>
    <w:rsid w:val="00A64223"/>
    <w:rsid w:val="00A67830"/>
    <w:rsid w:val="00A845DC"/>
    <w:rsid w:val="00A923DA"/>
    <w:rsid w:val="00A97AEE"/>
    <w:rsid w:val="00AC5CF6"/>
    <w:rsid w:val="00AD3A1A"/>
    <w:rsid w:val="00B144FA"/>
    <w:rsid w:val="00B16F58"/>
    <w:rsid w:val="00B30648"/>
    <w:rsid w:val="00B32A76"/>
    <w:rsid w:val="00B3524D"/>
    <w:rsid w:val="00B40F69"/>
    <w:rsid w:val="00B46616"/>
    <w:rsid w:val="00B610E3"/>
    <w:rsid w:val="00B61205"/>
    <w:rsid w:val="00B617C4"/>
    <w:rsid w:val="00B626FA"/>
    <w:rsid w:val="00B7040A"/>
    <w:rsid w:val="00B96FA0"/>
    <w:rsid w:val="00B9709C"/>
    <w:rsid w:val="00BA553C"/>
    <w:rsid w:val="00BA7C9E"/>
    <w:rsid w:val="00BD4196"/>
    <w:rsid w:val="00BE57BE"/>
    <w:rsid w:val="00BF22CA"/>
    <w:rsid w:val="00C12635"/>
    <w:rsid w:val="00C1440A"/>
    <w:rsid w:val="00C17091"/>
    <w:rsid w:val="00C213A2"/>
    <w:rsid w:val="00C21F4B"/>
    <w:rsid w:val="00C26032"/>
    <w:rsid w:val="00C265B0"/>
    <w:rsid w:val="00C321B5"/>
    <w:rsid w:val="00C33F41"/>
    <w:rsid w:val="00C345E1"/>
    <w:rsid w:val="00C5194E"/>
    <w:rsid w:val="00C977BA"/>
    <w:rsid w:val="00CA519C"/>
    <w:rsid w:val="00CB6E35"/>
    <w:rsid w:val="00CC4699"/>
    <w:rsid w:val="00CE1A46"/>
    <w:rsid w:val="00CF20DB"/>
    <w:rsid w:val="00CF253F"/>
    <w:rsid w:val="00CF56B4"/>
    <w:rsid w:val="00CF7E9F"/>
    <w:rsid w:val="00D159E8"/>
    <w:rsid w:val="00D20F09"/>
    <w:rsid w:val="00D22636"/>
    <w:rsid w:val="00D22AE0"/>
    <w:rsid w:val="00D371C7"/>
    <w:rsid w:val="00D40FD9"/>
    <w:rsid w:val="00D53769"/>
    <w:rsid w:val="00D71973"/>
    <w:rsid w:val="00D73846"/>
    <w:rsid w:val="00D85C13"/>
    <w:rsid w:val="00D91BE3"/>
    <w:rsid w:val="00D94AFC"/>
    <w:rsid w:val="00DB70AE"/>
    <w:rsid w:val="00DB7231"/>
    <w:rsid w:val="00DD5071"/>
    <w:rsid w:val="00DD5C39"/>
    <w:rsid w:val="00DE26AF"/>
    <w:rsid w:val="00DE7DB7"/>
    <w:rsid w:val="00DF7B0D"/>
    <w:rsid w:val="00E00A0A"/>
    <w:rsid w:val="00E00B89"/>
    <w:rsid w:val="00E05A70"/>
    <w:rsid w:val="00E07F57"/>
    <w:rsid w:val="00E265A9"/>
    <w:rsid w:val="00E37D52"/>
    <w:rsid w:val="00E4604E"/>
    <w:rsid w:val="00E50BCE"/>
    <w:rsid w:val="00E61292"/>
    <w:rsid w:val="00E72B54"/>
    <w:rsid w:val="00E75017"/>
    <w:rsid w:val="00E76309"/>
    <w:rsid w:val="00E77C4D"/>
    <w:rsid w:val="00E81D01"/>
    <w:rsid w:val="00EE45D8"/>
    <w:rsid w:val="00EF6CCA"/>
    <w:rsid w:val="00EF7666"/>
    <w:rsid w:val="00F004CD"/>
    <w:rsid w:val="00F11308"/>
    <w:rsid w:val="00F22EDA"/>
    <w:rsid w:val="00F3224D"/>
    <w:rsid w:val="00F33E0E"/>
    <w:rsid w:val="00F5664C"/>
    <w:rsid w:val="00F841E9"/>
    <w:rsid w:val="00FB7E80"/>
    <w:rsid w:val="00FD6996"/>
    <w:rsid w:val="00FE3B7F"/>
    <w:rsid w:val="00FF0B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address"/>
  <w:shapeDefaults>
    <o:shapedefaults v:ext="edit" spidmax="2049"/>
    <o:shapelayout v:ext="edit">
      <o:idmap v:ext="edit" data="1"/>
    </o:shapelayout>
  </w:shapeDefaults>
  <w:decimalSymbol w:val="."/>
  <w:listSeparator w:val=","/>
  <w14:docId w14:val="7BDFFD5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 w:type="paragraph" w:customStyle="1" w:styleId="p">
    <w:name w:val="p"/>
    <w:basedOn w:val="Normal"/>
    <w:rsid w:val="00BE57BE"/>
    <w:pPr>
      <w:numPr>
        <w:numId w:val="3"/>
      </w:numPr>
      <w:spacing w:before="240"/>
      <w:jc w:val="both"/>
    </w:pPr>
    <w:rPr>
      <w:rFonts w:ascii="Book Antiqua" w:hAnsi="Book Antiqua" w:cs="Arial"/>
    </w:rPr>
  </w:style>
  <w:style w:type="paragraph" w:customStyle="1" w:styleId="q">
    <w:name w:val="q"/>
    <w:basedOn w:val="Normal"/>
    <w:rsid w:val="002B7686"/>
    <w:pPr>
      <w:spacing w:before="240"/>
      <w:ind w:left="1134"/>
      <w:jc w:val="both"/>
    </w:pPr>
    <w:rPr>
      <w:rFonts w:ascii="Book Antiqua" w:hAnsi="Book Antiqua" w:cs="Arial"/>
    </w:rPr>
  </w:style>
  <w:style w:type="paragraph" w:customStyle="1" w:styleId="h">
    <w:name w:val="h"/>
    <w:basedOn w:val="p"/>
    <w:rsid w:val="00C12635"/>
    <w:pPr>
      <w:numPr>
        <w:numId w:val="0"/>
      </w:numPr>
    </w:pPr>
    <w:rPr>
      <w:rFonts w:cs="Courier New"/>
      <w:b/>
      <w:u w:val="single"/>
    </w:rPr>
  </w:style>
  <w:style w:type="paragraph" w:customStyle="1" w:styleId="un">
    <w:name w:val="un"/>
    <w:basedOn w:val="q"/>
    <w:rsid w:val="008332CE"/>
    <w:pPr>
      <w:ind w:left="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70BC1A-109C-48E7-9C88-7460248B0A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1550</Words>
  <Characters>8836</Characters>
  <Application>Microsoft Office Word</Application>
  <DocSecurity>0</DocSecurity>
  <Lines>73</Lines>
  <Paragraphs>20</Paragraphs>
  <ScaleCrop>false</ScaleCrop>
  <Company/>
  <LinksUpToDate>false</LinksUpToDate>
  <CharactersWithSpaces>10366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2018-07-17T09:33:00Z</dcterms:created>
  <dcterms:modified xsi:type="dcterms:W3CDTF">2018-07-17T09:33:00Z</dcterms:modified>
</cp:coreProperties>
</file>