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76DA" w:rsidRPr="008B51F8" w:rsidRDefault="007F76DA" w:rsidP="007F76DA">
      <w:pPr>
        <w:rPr>
          <w:rFonts w:ascii="Book Antiqua" w:hAnsi="Book Antiqua" w:cs="Arial"/>
          <w:color w:val="000000"/>
        </w:rPr>
      </w:pPr>
    </w:p>
    <w:p w:rsidR="007F76DA" w:rsidRPr="008B51F8" w:rsidRDefault="007F76DA" w:rsidP="007F76DA">
      <w:pPr>
        <w:jc w:val="center"/>
        <w:rPr>
          <w:rFonts w:ascii="Book Antiqua" w:hAnsi="Book Antiqua" w:cs="Arial"/>
          <w:color w:val="000000"/>
        </w:rPr>
      </w:pPr>
      <w:r w:rsidRPr="008B51F8">
        <w:rPr>
          <w:rFonts w:ascii="Book Antiqua" w:hAnsi="Book Antiqua"/>
          <w:noProof/>
        </w:rPr>
        <w:drawing>
          <wp:inline distT="0" distB="0" distL="0" distR="0" wp14:anchorId="37865747" wp14:editId="37CEFFC2">
            <wp:extent cx="1404000" cy="1065600"/>
            <wp:effectExtent l="0" t="0" r="5715"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404000" cy="1065600"/>
                    </a:xfrm>
                    <a:prstGeom prst="rect">
                      <a:avLst/>
                    </a:prstGeom>
                    <a:noFill/>
                    <a:ln>
                      <a:noFill/>
                    </a:ln>
                  </pic:spPr>
                </pic:pic>
              </a:graphicData>
            </a:graphic>
          </wp:inline>
        </w:drawing>
      </w:r>
    </w:p>
    <w:p w:rsidR="007F76DA" w:rsidRPr="008B51F8" w:rsidRDefault="007F76DA" w:rsidP="007F76DA">
      <w:pPr>
        <w:tabs>
          <w:tab w:val="right" w:pos="9720"/>
        </w:tabs>
        <w:ind w:right="-82"/>
        <w:rPr>
          <w:rFonts w:ascii="Book Antiqua" w:hAnsi="Book Antiqua" w:cs="Arial"/>
          <w:b/>
          <w:color w:val="000000"/>
        </w:rPr>
      </w:pPr>
      <w:r w:rsidRPr="008B51F8">
        <w:rPr>
          <w:rFonts w:ascii="Book Antiqua" w:hAnsi="Book Antiqua" w:cs="Arial"/>
          <w:b/>
          <w:color w:val="000000"/>
        </w:rPr>
        <w:t xml:space="preserve">Upper Tribunal </w:t>
      </w:r>
    </w:p>
    <w:p w:rsidR="007F76DA" w:rsidRPr="00F95325" w:rsidRDefault="007F76DA" w:rsidP="007F76DA">
      <w:pPr>
        <w:tabs>
          <w:tab w:val="right" w:pos="9720"/>
        </w:tabs>
        <w:ind w:right="-82"/>
        <w:rPr>
          <w:rFonts w:ascii="Book Antiqua" w:hAnsi="Book Antiqua" w:cs="Arial"/>
          <w:b/>
          <w:color w:val="000000"/>
        </w:rPr>
      </w:pPr>
      <w:r w:rsidRPr="008B51F8">
        <w:rPr>
          <w:rFonts w:ascii="Book Antiqua" w:hAnsi="Book Antiqua" w:cs="Arial"/>
          <w:b/>
          <w:color w:val="000000"/>
        </w:rPr>
        <w:t>(</w:t>
      </w:r>
      <w:r w:rsidR="00F95325">
        <w:rPr>
          <w:rFonts w:ascii="Book Antiqua" w:hAnsi="Book Antiqua" w:cs="Arial"/>
          <w:b/>
          <w:color w:val="000000"/>
        </w:rPr>
        <w:t xml:space="preserve">Immigration and Asylum </w:t>
      </w:r>
      <w:proofErr w:type="gramStart"/>
      <w:r w:rsidR="00F95325">
        <w:rPr>
          <w:rFonts w:ascii="Book Antiqua" w:hAnsi="Book Antiqua" w:cs="Arial"/>
          <w:b/>
          <w:color w:val="000000"/>
        </w:rPr>
        <w:t xml:space="preserve">Chamber)   </w:t>
      </w:r>
      <w:proofErr w:type="gramEnd"/>
      <w:r w:rsidR="00F95325">
        <w:rPr>
          <w:rFonts w:ascii="Book Antiqua" w:hAnsi="Book Antiqua" w:cs="Arial"/>
          <w:b/>
          <w:color w:val="000000"/>
        </w:rPr>
        <w:t xml:space="preserve">            </w:t>
      </w:r>
      <w:r w:rsidRPr="00F95325">
        <w:rPr>
          <w:rFonts w:ascii="Book Antiqua" w:hAnsi="Book Antiqua" w:cs="Arial"/>
          <w:b/>
          <w:color w:val="000000"/>
        </w:rPr>
        <w:t>Appeal Number: HU/09171/2016</w:t>
      </w:r>
    </w:p>
    <w:p w:rsidR="007F76DA" w:rsidRPr="00F95325" w:rsidRDefault="007F76DA" w:rsidP="007F76DA">
      <w:pPr>
        <w:jc w:val="center"/>
        <w:rPr>
          <w:rFonts w:ascii="Book Antiqua" w:hAnsi="Book Antiqua" w:cs="Arial"/>
          <w:b/>
          <w:color w:val="000000"/>
        </w:rPr>
      </w:pPr>
    </w:p>
    <w:p w:rsidR="007F76DA" w:rsidRPr="008B51F8" w:rsidRDefault="007F76DA" w:rsidP="007F76DA">
      <w:pPr>
        <w:jc w:val="center"/>
        <w:rPr>
          <w:rFonts w:ascii="Book Antiqua" w:hAnsi="Book Antiqua" w:cs="Arial"/>
          <w:b/>
          <w:color w:val="000000"/>
          <w:u w:val="single"/>
        </w:rPr>
      </w:pPr>
      <w:r w:rsidRPr="008B51F8">
        <w:rPr>
          <w:rFonts w:ascii="Book Antiqua" w:hAnsi="Book Antiqua" w:cs="Arial"/>
          <w:b/>
          <w:color w:val="000000"/>
          <w:u w:val="single"/>
        </w:rPr>
        <w:t>THE IMMIGRATION ACTS</w:t>
      </w:r>
    </w:p>
    <w:p w:rsidR="007F76DA" w:rsidRPr="008B51F8" w:rsidRDefault="007F76DA" w:rsidP="007F76DA">
      <w:pPr>
        <w:jc w:val="center"/>
        <w:rPr>
          <w:rFonts w:ascii="Book Antiqua" w:hAnsi="Book Antiqua" w:cs="Arial"/>
          <w:b/>
          <w:u w:val="single"/>
        </w:rPr>
      </w:pPr>
    </w:p>
    <w:tbl>
      <w:tblPr>
        <w:tblW w:w="0" w:type="auto"/>
        <w:tblLook w:val="01E0" w:firstRow="1" w:lastRow="1" w:firstColumn="1" w:lastColumn="1" w:noHBand="0" w:noVBand="0"/>
      </w:tblPr>
      <w:tblGrid>
        <w:gridCol w:w="4820"/>
        <w:gridCol w:w="4206"/>
      </w:tblGrid>
      <w:tr w:rsidR="007F76DA" w:rsidRPr="008B51F8" w:rsidTr="00005C01">
        <w:tc>
          <w:tcPr>
            <w:tcW w:w="4820" w:type="dxa"/>
            <w:hideMark/>
          </w:tcPr>
          <w:p w:rsidR="007F76DA" w:rsidRPr="008B51F8" w:rsidRDefault="007F76DA" w:rsidP="00F80D36">
            <w:pPr>
              <w:jc w:val="both"/>
              <w:rPr>
                <w:rFonts w:ascii="Book Antiqua" w:hAnsi="Book Antiqua" w:cs="Arial"/>
                <w:b/>
              </w:rPr>
            </w:pPr>
            <w:r w:rsidRPr="008B51F8">
              <w:rPr>
                <w:rFonts w:ascii="Book Antiqua" w:hAnsi="Book Antiqua" w:cs="Arial"/>
                <w:b/>
              </w:rPr>
              <w:t>Heard at Field House</w:t>
            </w:r>
          </w:p>
        </w:tc>
        <w:tc>
          <w:tcPr>
            <w:tcW w:w="4206" w:type="dxa"/>
            <w:hideMark/>
          </w:tcPr>
          <w:p w:rsidR="007F76DA" w:rsidRPr="008B51F8" w:rsidRDefault="00005C01" w:rsidP="00F80D36">
            <w:pPr>
              <w:jc w:val="both"/>
              <w:rPr>
                <w:rFonts w:ascii="Book Antiqua" w:hAnsi="Book Antiqua" w:cs="Arial"/>
                <w:b/>
                <w:color w:val="000000"/>
              </w:rPr>
            </w:pPr>
            <w:r>
              <w:rPr>
                <w:rFonts w:ascii="Book Antiqua" w:hAnsi="Book Antiqua" w:cs="Arial"/>
                <w:b/>
                <w:color w:val="000000"/>
              </w:rPr>
              <w:t xml:space="preserve">Decisions &amp; Reasons </w:t>
            </w:r>
            <w:r w:rsidR="007F76DA" w:rsidRPr="008B51F8">
              <w:rPr>
                <w:rFonts w:ascii="Book Antiqua" w:hAnsi="Book Antiqua" w:cs="Arial"/>
                <w:b/>
                <w:color w:val="000000"/>
              </w:rPr>
              <w:t>Promulgated</w:t>
            </w:r>
          </w:p>
        </w:tc>
      </w:tr>
      <w:tr w:rsidR="007F76DA" w:rsidRPr="008B51F8" w:rsidTr="00005C01">
        <w:tc>
          <w:tcPr>
            <w:tcW w:w="4820" w:type="dxa"/>
            <w:hideMark/>
          </w:tcPr>
          <w:p w:rsidR="007F76DA" w:rsidRPr="008B51F8" w:rsidRDefault="007F76DA" w:rsidP="00F80D36">
            <w:pPr>
              <w:jc w:val="both"/>
              <w:rPr>
                <w:rFonts w:ascii="Book Antiqua" w:hAnsi="Book Antiqua" w:cs="Arial"/>
                <w:b/>
              </w:rPr>
            </w:pPr>
            <w:r w:rsidRPr="008B51F8">
              <w:rPr>
                <w:rFonts w:ascii="Book Antiqua" w:hAnsi="Book Antiqua" w:cs="Arial"/>
                <w:b/>
              </w:rPr>
              <w:t>On 17 August 2018</w:t>
            </w:r>
          </w:p>
        </w:tc>
        <w:tc>
          <w:tcPr>
            <w:tcW w:w="4206" w:type="dxa"/>
          </w:tcPr>
          <w:p w:rsidR="007F76DA" w:rsidRPr="008B51F8" w:rsidRDefault="00005C01" w:rsidP="00F80D36">
            <w:pPr>
              <w:jc w:val="both"/>
              <w:rPr>
                <w:rFonts w:ascii="Book Antiqua" w:hAnsi="Book Antiqua" w:cs="Arial"/>
                <w:b/>
              </w:rPr>
            </w:pPr>
            <w:r>
              <w:rPr>
                <w:rFonts w:ascii="Book Antiqua" w:hAnsi="Book Antiqua" w:cs="Arial"/>
                <w:b/>
              </w:rPr>
              <w:t>On 12 September 2018</w:t>
            </w:r>
          </w:p>
        </w:tc>
      </w:tr>
      <w:tr w:rsidR="007F76DA" w:rsidRPr="008B51F8" w:rsidTr="00005C01">
        <w:tc>
          <w:tcPr>
            <w:tcW w:w="4820" w:type="dxa"/>
          </w:tcPr>
          <w:p w:rsidR="007F76DA" w:rsidRPr="008B51F8" w:rsidRDefault="007F76DA" w:rsidP="00F80D36">
            <w:pPr>
              <w:jc w:val="both"/>
              <w:rPr>
                <w:rFonts w:ascii="Book Antiqua" w:hAnsi="Book Antiqua" w:cs="Arial"/>
                <w:b/>
              </w:rPr>
            </w:pPr>
          </w:p>
        </w:tc>
        <w:tc>
          <w:tcPr>
            <w:tcW w:w="4206" w:type="dxa"/>
          </w:tcPr>
          <w:p w:rsidR="007F76DA" w:rsidRPr="008B51F8" w:rsidRDefault="007F76DA" w:rsidP="00F80D36">
            <w:pPr>
              <w:jc w:val="both"/>
              <w:rPr>
                <w:rFonts w:ascii="Book Antiqua" w:hAnsi="Book Antiqua" w:cs="Arial"/>
                <w:b/>
              </w:rPr>
            </w:pPr>
          </w:p>
        </w:tc>
      </w:tr>
    </w:tbl>
    <w:p w:rsidR="007F76DA" w:rsidRPr="008B51F8" w:rsidRDefault="007F76DA" w:rsidP="007F76DA">
      <w:pPr>
        <w:jc w:val="center"/>
        <w:rPr>
          <w:rFonts w:ascii="Book Antiqua" w:hAnsi="Book Antiqua" w:cs="Arial"/>
        </w:rPr>
      </w:pPr>
    </w:p>
    <w:p w:rsidR="007F76DA" w:rsidRDefault="007F76DA" w:rsidP="007F76DA">
      <w:pPr>
        <w:jc w:val="center"/>
        <w:rPr>
          <w:rFonts w:ascii="Book Antiqua" w:hAnsi="Book Antiqua" w:cs="Arial"/>
          <w:b/>
        </w:rPr>
      </w:pPr>
      <w:r w:rsidRPr="008B51F8">
        <w:rPr>
          <w:rFonts w:ascii="Book Antiqua" w:hAnsi="Book Antiqua" w:cs="Arial"/>
          <w:b/>
        </w:rPr>
        <w:t>Before</w:t>
      </w:r>
    </w:p>
    <w:p w:rsidR="00F95325" w:rsidRPr="008B51F8" w:rsidRDefault="00F95325" w:rsidP="007F76DA">
      <w:pPr>
        <w:jc w:val="center"/>
        <w:rPr>
          <w:rFonts w:ascii="Book Antiqua" w:hAnsi="Book Antiqua" w:cs="Arial"/>
          <w:b/>
        </w:rPr>
      </w:pPr>
    </w:p>
    <w:p w:rsidR="007F76DA" w:rsidRPr="008B51F8" w:rsidRDefault="007F76DA" w:rsidP="007F76DA">
      <w:pPr>
        <w:jc w:val="center"/>
        <w:rPr>
          <w:rFonts w:ascii="Book Antiqua" w:hAnsi="Book Antiqua" w:cs="Arial"/>
          <w:b/>
          <w:color w:val="000000"/>
        </w:rPr>
      </w:pPr>
      <w:r w:rsidRPr="008B51F8">
        <w:rPr>
          <w:rFonts w:ascii="Book Antiqua" w:hAnsi="Book Antiqua" w:cs="Arial"/>
          <w:b/>
          <w:color w:val="000000"/>
        </w:rPr>
        <w:t>DEPUTY UPPER TRIBUNAL JUDGE JORDAN</w:t>
      </w:r>
    </w:p>
    <w:p w:rsidR="007F76DA" w:rsidRPr="008B51F8" w:rsidRDefault="007F76DA" w:rsidP="007F76DA">
      <w:pPr>
        <w:jc w:val="center"/>
        <w:rPr>
          <w:rFonts w:ascii="Book Antiqua" w:hAnsi="Book Antiqua" w:cs="Arial"/>
          <w:b/>
        </w:rPr>
      </w:pPr>
    </w:p>
    <w:p w:rsidR="007F76DA" w:rsidRPr="008B51F8" w:rsidRDefault="007F76DA" w:rsidP="007F76DA">
      <w:pPr>
        <w:jc w:val="center"/>
        <w:rPr>
          <w:rFonts w:ascii="Book Antiqua" w:hAnsi="Book Antiqua" w:cs="Arial"/>
          <w:b/>
        </w:rPr>
      </w:pPr>
      <w:r w:rsidRPr="008B51F8">
        <w:rPr>
          <w:rFonts w:ascii="Book Antiqua" w:hAnsi="Book Antiqua" w:cs="Arial"/>
          <w:b/>
        </w:rPr>
        <w:t>Between</w:t>
      </w:r>
    </w:p>
    <w:p w:rsidR="007F76DA" w:rsidRPr="008B51F8" w:rsidRDefault="007F76DA" w:rsidP="007F76DA">
      <w:pPr>
        <w:jc w:val="center"/>
        <w:rPr>
          <w:rFonts w:ascii="Book Antiqua" w:hAnsi="Book Antiqua" w:cs="Arial"/>
          <w:b/>
        </w:rPr>
      </w:pPr>
    </w:p>
    <w:p w:rsidR="007F76DA" w:rsidRPr="008B51F8" w:rsidRDefault="00F95325" w:rsidP="007F76DA">
      <w:pPr>
        <w:jc w:val="center"/>
        <w:rPr>
          <w:rFonts w:ascii="Book Antiqua" w:hAnsi="Book Antiqua" w:cs="Arial"/>
          <w:b/>
        </w:rPr>
      </w:pPr>
      <w:r w:rsidRPr="00F95325">
        <w:rPr>
          <w:rFonts w:ascii="Book Antiqua" w:hAnsi="Book Antiqua" w:cs="Arial"/>
          <w:b/>
        </w:rPr>
        <w:t>SHER BAHADUR</w:t>
      </w:r>
      <w:r>
        <w:rPr>
          <w:rFonts w:ascii="Book Antiqua" w:hAnsi="Book Antiqua" w:cs="Arial"/>
          <w:b/>
        </w:rPr>
        <w:t xml:space="preserve"> </w:t>
      </w:r>
      <w:r w:rsidRPr="00F95325">
        <w:rPr>
          <w:rFonts w:ascii="Book Antiqua" w:hAnsi="Book Antiqua" w:cs="Arial"/>
          <w:b/>
        </w:rPr>
        <w:t xml:space="preserve">BUDHA </w:t>
      </w:r>
      <w:r w:rsidRPr="008B51F8">
        <w:rPr>
          <w:rFonts w:ascii="Book Antiqua" w:hAnsi="Book Antiqua" w:cs="Arial"/>
          <w:b/>
        </w:rPr>
        <w:t>THAPA</w:t>
      </w:r>
    </w:p>
    <w:p w:rsidR="007F76DA" w:rsidRPr="008B51F8" w:rsidRDefault="007F76DA" w:rsidP="007F76DA">
      <w:pPr>
        <w:jc w:val="right"/>
        <w:rPr>
          <w:rFonts w:ascii="Book Antiqua" w:hAnsi="Book Antiqua" w:cs="Arial"/>
          <w:u w:val="single"/>
        </w:rPr>
      </w:pPr>
      <w:r w:rsidRPr="008B51F8">
        <w:rPr>
          <w:rFonts w:ascii="Book Antiqua" w:hAnsi="Book Antiqua" w:cs="Arial"/>
          <w:u w:val="single"/>
        </w:rPr>
        <w:t>Applicant</w:t>
      </w:r>
    </w:p>
    <w:p w:rsidR="007F76DA" w:rsidRPr="008B51F8" w:rsidRDefault="007F76DA" w:rsidP="007F76DA">
      <w:pPr>
        <w:jc w:val="center"/>
        <w:rPr>
          <w:rFonts w:ascii="Book Antiqua" w:hAnsi="Book Antiqua" w:cs="Arial"/>
          <w:b/>
        </w:rPr>
      </w:pPr>
      <w:r w:rsidRPr="008B51F8">
        <w:rPr>
          <w:rFonts w:ascii="Book Antiqua" w:hAnsi="Book Antiqua" w:cs="Arial"/>
          <w:b/>
        </w:rPr>
        <w:t>and</w:t>
      </w:r>
    </w:p>
    <w:p w:rsidR="007F76DA" w:rsidRPr="008B51F8" w:rsidRDefault="007F76DA" w:rsidP="007F76DA">
      <w:pPr>
        <w:jc w:val="center"/>
        <w:rPr>
          <w:rFonts w:ascii="Book Antiqua" w:hAnsi="Book Antiqua" w:cs="Arial"/>
          <w:b/>
        </w:rPr>
      </w:pPr>
    </w:p>
    <w:p w:rsidR="007F76DA" w:rsidRPr="008B51F8" w:rsidRDefault="00F95325" w:rsidP="007F76DA">
      <w:pPr>
        <w:jc w:val="center"/>
        <w:rPr>
          <w:rFonts w:ascii="Book Antiqua" w:hAnsi="Book Antiqua" w:cs="Arial"/>
          <w:b/>
        </w:rPr>
      </w:pPr>
      <w:r w:rsidRPr="008B51F8">
        <w:rPr>
          <w:rFonts w:ascii="Book Antiqua" w:hAnsi="Book Antiqua" w:cs="Arial"/>
          <w:b/>
        </w:rPr>
        <w:t xml:space="preserve">THE SECRETARY OF STATE FOR THE HOME DEPARTMENT </w:t>
      </w:r>
    </w:p>
    <w:p w:rsidR="007F76DA" w:rsidRPr="008B51F8" w:rsidRDefault="007F76DA" w:rsidP="007F76DA">
      <w:pPr>
        <w:jc w:val="right"/>
        <w:rPr>
          <w:rFonts w:ascii="Book Antiqua" w:hAnsi="Book Antiqua" w:cs="Arial"/>
          <w:u w:val="single"/>
        </w:rPr>
      </w:pPr>
      <w:r w:rsidRPr="008B51F8">
        <w:rPr>
          <w:rFonts w:ascii="Book Antiqua" w:hAnsi="Book Antiqua" w:cs="Arial"/>
          <w:u w:val="single"/>
        </w:rPr>
        <w:t>Respondent</w:t>
      </w:r>
    </w:p>
    <w:p w:rsidR="007F76DA" w:rsidRPr="008B51F8" w:rsidRDefault="007F76DA" w:rsidP="007F76DA">
      <w:pPr>
        <w:rPr>
          <w:rFonts w:ascii="Book Antiqua" w:hAnsi="Book Antiqua" w:cs="Arial"/>
          <w:u w:val="single"/>
        </w:rPr>
      </w:pPr>
    </w:p>
    <w:p w:rsidR="007F76DA" w:rsidRDefault="007F76DA" w:rsidP="007F76DA">
      <w:pPr>
        <w:rPr>
          <w:rFonts w:ascii="Book Antiqua" w:hAnsi="Book Antiqua" w:cs="Arial"/>
          <w:b/>
        </w:rPr>
      </w:pPr>
      <w:r w:rsidRPr="008B51F8">
        <w:rPr>
          <w:rFonts w:ascii="Book Antiqua" w:hAnsi="Book Antiqua" w:cs="Arial"/>
          <w:b/>
          <w:u w:val="single"/>
        </w:rPr>
        <w:t>Representation</w:t>
      </w:r>
      <w:r w:rsidRPr="008B51F8">
        <w:rPr>
          <w:rFonts w:ascii="Book Antiqua" w:hAnsi="Book Antiqua" w:cs="Arial"/>
          <w:b/>
        </w:rPr>
        <w:t>:</w:t>
      </w:r>
    </w:p>
    <w:p w:rsidR="00F95325" w:rsidRPr="008B51F8" w:rsidRDefault="00F95325" w:rsidP="007F76DA">
      <w:pPr>
        <w:rPr>
          <w:rFonts w:ascii="Book Antiqua" w:hAnsi="Book Antiqua" w:cs="Arial"/>
        </w:rPr>
      </w:pPr>
    </w:p>
    <w:p w:rsidR="007F76DA" w:rsidRPr="008B51F8" w:rsidRDefault="007F76DA" w:rsidP="007F76DA">
      <w:pPr>
        <w:tabs>
          <w:tab w:val="left" w:pos="2520"/>
        </w:tabs>
        <w:ind w:left="2520" w:hanging="2520"/>
        <w:rPr>
          <w:rFonts w:ascii="Book Antiqua" w:hAnsi="Book Antiqua" w:cs="Arial"/>
        </w:rPr>
      </w:pPr>
      <w:r w:rsidRPr="008B51F8">
        <w:rPr>
          <w:rFonts w:ascii="Book Antiqua" w:hAnsi="Book Antiqua" w:cs="Arial"/>
        </w:rPr>
        <w:t>For the appellant:</w:t>
      </w:r>
      <w:r w:rsidRPr="008B51F8">
        <w:rPr>
          <w:rFonts w:ascii="Book Antiqua" w:hAnsi="Book Antiqua" w:cs="Arial"/>
        </w:rPr>
        <w:tab/>
        <w:t xml:space="preserve">Mr R. </w:t>
      </w:r>
      <w:proofErr w:type="spellStart"/>
      <w:r w:rsidRPr="008B51F8">
        <w:rPr>
          <w:rFonts w:ascii="Book Antiqua" w:hAnsi="Book Antiqua" w:cs="Arial"/>
        </w:rPr>
        <w:t>Jesurum</w:t>
      </w:r>
      <w:proofErr w:type="spellEnd"/>
      <w:r w:rsidRPr="008B51F8">
        <w:rPr>
          <w:rFonts w:ascii="Book Antiqua" w:hAnsi="Book Antiqua" w:cs="Arial"/>
        </w:rPr>
        <w:t xml:space="preserve">, Counsel, instructed by Everest Law Solicitors </w:t>
      </w:r>
    </w:p>
    <w:p w:rsidR="007F76DA" w:rsidRPr="008B51F8" w:rsidRDefault="007F76DA" w:rsidP="007F76DA">
      <w:pPr>
        <w:tabs>
          <w:tab w:val="left" w:pos="2520"/>
        </w:tabs>
        <w:ind w:left="2520" w:hanging="2520"/>
        <w:rPr>
          <w:rFonts w:ascii="Book Antiqua" w:hAnsi="Book Antiqua" w:cs="Arial"/>
        </w:rPr>
      </w:pPr>
      <w:r w:rsidRPr="008B51F8">
        <w:rPr>
          <w:rFonts w:ascii="Book Antiqua" w:hAnsi="Book Antiqua" w:cs="Arial"/>
        </w:rPr>
        <w:t>For the respondent:</w:t>
      </w:r>
      <w:r w:rsidRPr="008B51F8">
        <w:rPr>
          <w:rFonts w:ascii="Book Antiqua" w:hAnsi="Book Antiqua" w:cs="Arial"/>
        </w:rPr>
        <w:tab/>
        <w:t xml:space="preserve">Mr T. Melvin, Home Office Presenting Officer </w:t>
      </w:r>
    </w:p>
    <w:p w:rsidR="007F76DA" w:rsidRPr="008B51F8" w:rsidRDefault="007F76DA" w:rsidP="007F76DA">
      <w:pPr>
        <w:tabs>
          <w:tab w:val="left" w:pos="2520"/>
        </w:tabs>
        <w:jc w:val="center"/>
        <w:rPr>
          <w:rFonts w:ascii="Book Antiqua" w:hAnsi="Book Antiqua" w:cs="Arial"/>
        </w:rPr>
      </w:pPr>
    </w:p>
    <w:p w:rsidR="007F76DA" w:rsidRPr="00F95325" w:rsidRDefault="001453BB" w:rsidP="007F76DA">
      <w:pPr>
        <w:jc w:val="center"/>
        <w:rPr>
          <w:rFonts w:ascii="Book Antiqua" w:hAnsi="Book Antiqua"/>
          <w:b/>
          <w:u w:val="single"/>
        </w:rPr>
      </w:pPr>
      <w:r w:rsidRPr="00F95325">
        <w:rPr>
          <w:rFonts w:ascii="Book Antiqua" w:hAnsi="Book Antiqua"/>
          <w:b/>
          <w:u w:val="single"/>
        </w:rPr>
        <w:t>REASONS FOR FINDING AN ERROR OF LAW</w:t>
      </w:r>
    </w:p>
    <w:p w:rsidR="007F76DA" w:rsidRPr="008B51F8" w:rsidRDefault="007F76DA" w:rsidP="007F76DA">
      <w:pPr>
        <w:rPr>
          <w:rFonts w:ascii="Book Antiqua" w:hAnsi="Book Antiqua"/>
          <w:u w:val="single"/>
        </w:rPr>
      </w:pPr>
    </w:p>
    <w:p w:rsidR="00EC411D" w:rsidRPr="008B51F8" w:rsidRDefault="00100432" w:rsidP="008B51F8">
      <w:pPr>
        <w:pStyle w:val="ListParagraph"/>
        <w:numPr>
          <w:ilvl w:val="0"/>
          <w:numId w:val="1"/>
        </w:numPr>
        <w:jc w:val="both"/>
        <w:rPr>
          <w:rFonts w:ascii="Book Antiqua" w:hAnsi="Book Antiqua"/>
        </w:rPr>
      </w:pPr>
      <w:r w:rsidRPr="008B51F8">
        <w:rPr>
          <w:rFonts w:ascii="Book Antiqua" w:hAnsi="Book Antiqua"/>
        </w:rPr>
        <w:t xml:space="preserve">The appellant is the son of a former Nepalese Gurkha. His birth certificate stated that he was born on 2 July 1983. </w:t>
      </w:r>
      <w:r w:rsidR="008B51F8" w:rsidRPr="008B51F8">
        <w:rPr>
          <w:rFonts w:ascii="Book Antiqua" w:hAnsi="Book Antiqua"/>
        </w:rPr>
        <w:t>A</w:t>
      </w:r>
      <w:r w:rsidRPr="008B51F8">
        <w:rPr>
          <w:rFonts w:ascii="Book Antiqua" w:hAnsi="Book Antiqua"/>
        </w:rPr>
        <w:t xml:space="preserve"> document produced by a village Development Committee stated in 2009 that he was born on 2 July 1985. His army record stated that he was born on 1 June 1983.</w:t>
      </w:r>
      <w:r w:rsidR="00B571A0" w:rsidRPr="008B51F8">
        <w:rPr>
          <w:rFonts w:ascii="Book Antiqua" w:hAnsi="Book Antiqua"/>
        </w:rPr>
        <w:t xml:space="preserve"> However, a passport issued on 20 November 2005 </w:t>
      </w:r>
      <w:r w:rsidR="008B51F8" w:rsidRPr="008B51F8">
        <w:rPr>
          <w:rFonts w:ascii="Book Antiqua" w:hAnsi="Book Antiqua"/>
        </w:rPr>
        <w:t xml:space="preserve">by the Nepalese authorities </w:t>
      </w:r>
      <w:r w:rsidR="00B571A0" w:rsidRPr="008B51F8">
        <w:rPr>
          <w:rFonts w:ascii="Book Antiqua" w:hAnsi="Book Antiqua"/>
        </w:rPr>
        <w:t>gave his date of birth as 2 July 1985 which, for my purposes, I shall treat as the preferred date of birth. He is now 33 years old</w:t>
      </w:r>
      <w:r w:rsidR="00EC411D" w:rsidRPr="008B51F8">
        <w:rPr>
          <w:rFonts w:ascii="Book Antiqua" w:hAnsi="Book Antiqua"/>
        </w:rPr>
        <w:t>.</w:t>
      </w:r>
    </w:p>
    <w:p w:rsidR="00891E9B" w:rsidRPr="008B51F8" w:rsidRDefault="00891E9B" w:rsidP="008B51F8">
      <w:pPr>
        <w:pStyle w:val="ListParagraph"/>
        <w:jc w:val="both"/>
        <w:rPr>
          <w:rFonts w:ascii="Book Antiqua" w:hAnsi="Book Antiqua"/>
        </w:rPr>
      </w:pPr>
    </w:p>
    <w:p w:rsidR="00EC411D" w:rsidRPr="008B51F8" w:rsidRDefault="00EC411D" w:rsidP="008B51F8">
      <w:pPr>
        <w:pStyle w:val="ListParagraph"/>
        <w:numPr>
          <w:ilvl w:val="0"/>
          <w:numId w:val="1"/>
        </w:numPr>
        <w:jc w:val="both"/>
        <w:rPr>
          <w:rFonts w:ascii="Book Antiqua" w:hAnsi="Book Antiqua"/>
        </w:rPr>
      </w:pPr>
      <w:r w:rsidRPr="008B51F8">
        <w:rPr>
          <w:rFonts w:ascii="Book Antiqua" w:hAnsi="Book Antiqua"/>
        </w:rPr>
        <w:t xml:space="preserve">The appellant’s father was born on 13 July 1947. </w:t>
      </w:r>
      <w:r w:rsidR="00082850" w:rsidRPr="008B51F8">
        <w:rPr>
          <w:rFonts w:ascii="Book Antiqua" w:hAnsi="Book Antiqua"/>
        </w:rPr>
        <w:t xml:space="preserve">The appellant’s father served in the Brigade of Gurkhas for about 16 years and was discharged with an exemplary record. Wrongly, he had been and denied an opportunity to settle in the United Kingdom and this wrong was corrected in 2009 when the father was granted settlement. </w:t>
      </w:r>
    </w:p>
    <w:p w:rsidR="00082850" w:rsidRPr="008B51F8" w:rsidRDefault="00082850" w:rsidP="008B51F8">
      <w:pPr>
        <w:pStyle w:val="ListParagraph"/>
        <w:jc w:val="both"/>
        <w:rPr>
          <w:rFonts w:ascii="Book Antiqua" w:hAnsi="Book Antiqua"/>
        </w:rPr>
      </w:pPr>
      <w:bookmarkStart w:id="0" w:name="_GoBack"/>
      <w:bookmarkEnd w:id="0"/>
    </w:p>
    <w:p w:rsidR="00082850" w:rsidRPr="008B51F8" w:rsidRDefault="00082850" w:rsidP="008B51F8">
      <w:pPr>
        <w:pStyle w:val="ListParagraph"/>
        <w:numPr>
          <w:ilvl w:val="0"/>
          <w:numId w:val="1"/>
        </w:numPr>
        <w:jc w:val="both"/>
        <w:rPr>
          <w:rFonts w:ascii="Book Antiqua" w:hAnsi="Book Antiqua"/>
        </w:rPr>
      </w:pPr>
      <w:r w:rsidRPr="008B51F8">
        <w:rPr>
          <w:rFonts w:ascii="Book Antiqua" w:hAnsi="Book Antiqua"/>
        </w:rPr>
        <w:lastRenderedPageBreak/>
        <w:t>The appellant’s father was permitted to enter the United Kingdom on 11 September 2009 and did so on 24 January 2010, accompanied by the appellant’s mother. By that time the appellant had returned to Nepal.</w:t>
      </w:r>
    </w:p>
    <w:p w:rsidR="00082850" w:rsidRPr="008B51F8" w:rsidRDefault="00082850" w:rsidP="008B51F8">
      <w:pPr>
        <w:pStyle w:val="ListParagraph"/>
        <w:jc w:val="both"/>
        <w:rPr>
          <w:rFonts w:ascii="Book Antiqua" w:hAnsi="Book Antiqua"/>
        </w:rPr>
      </w:pPr>
    </w:p>
    <w:p w:rsidR="00082850" w:rsidRPr="008B51F8" w:rsidRDefault="00082850" w:rsidP="008B51F8">
      <w:pPr>
        <w:pStyle w:val="ListParagraph"/>
        <w:numPr>
          <w:ilvl w:val="0"/>
          <w:numId w:val="1"/>
        </w:numPr>
        <w:jc w:val="both"/>
        <w:rPr>
          <w:rFonts w:ascii="Book Antiqua" w:hAnsi="Book Antiqua"/>
        </w:rPr>
      </w:pPr>
      <w:r w:rsidRPr="008B51F8">
        <w:rPr>
          <w:rFonts w:ascii="Book Antiqua" w:hAnsi="Book Antiqua"/>
        </w:rPr>
        <w:t xml:space="preserve">In January 2008 when, according to the judge, the appellant was aged 24, the appellant went to work in the United Arab Emirates and remained there until </w:t>
      </w:r>
      <w:proofErr w:type="spellStart"/>
      <w:r w:rsidRPr="008B51F8">
        <w:rPr>
          <w:rFonts w:ascii="Book Antiqua" w:hAnsi="Book Antiqua"/>
        </w:rPr>
        <w:t>some time</w:t>
      </w:r>
      <w:proofErr w:type="spellEnd"/>
      <w:r w:rsidRPr="008B51F8">
        <w:rPr>
          <w:rFonts w:ascii="Book Antiqua" w:hAnsi="Book Antiqua"/>
        </w:rPr>
        <w:t xml:space="preserve"> before his parents left for the United Kingdom. During this </w:t>
      </w:r>
      <w:proofErr w:type="gramStart"/>
      <w:r w:rsidRPr="008B51F8">
        <w:rPr>
          <w:rFonts w:ascii="Book Antiqua" w:hAnsi="Book Antiqua"/>
        </w:rPr>
        <w:t>time</w:t>
      </w:r>
      <w:proofErr w:type="gramEnd"/>
      <w:r w:rsidRPr="008B51F8">
        <w:rPr>
          <w:rFonts w:ascii="Book Antiqua" w:hAnsi="Book Antiqua"/>
        </w:rPr>
        <w:t xml:space="preserve"> he was working in full-time employment sending money to his parents to support them who, at that time, were not working in Nepal.</w:t>
      </w:r>
    </w:p>
    <w:p w:rsidR="00082850" w:rsidRPr="008B51F8" w:rsidRDefault="00082850" w:rsidP="008B51F8">
      <w:pPr>
        <w:pStyle w:val="ListParagraph"/>
        <w:jc w:val="both"/>
        <w:rPr>
          <w:rFonts w:ascii="Book Antiqua" w:hAnsi="Book Antiqua"/>
        </w:rPr>
      </w:pPr>
    </w:p>
    <w:p w:rsidR="00EC411D" w:rsidRPr="008B51F8" w:rsidRDefault="00EC411D" w:rsidP="008B51F8">
      <w:pPr>
        <w:pStyle w:val="ListParagraph"/>
        <w:numPr>
          <w:ilvl w:val="0"/>
          <w:numId w:val="1"/>
        </w:numPr>
        <w:jc w:val="both"/>
        <w:rPr>
          <w:rFonts w:ascii="Book Antiqua" w:hAnsi="Book Antiqua"/>
        </w:rPr>
      </w:pPr>
      <w:r w:rsidRPr="008B51F8">
        <w:rPr>
          <w:rFonts w:ascii="Book Antiqua" w:hAnsi="Book Antiqua"/>
        </w:rPr>
        <w:t xml:space="preserve">The appellant applied for settlement in about January 2016. </w:t>
      </w:r>
    </w:p>
    <w:p w:rsidR="001817A3" w:rsidRPr="008B51F8" w:rsidRDefault="001817A3" w:rsidP="008B51F8">
      <w:pPr>
        <w:pStyle w:val="ListParagraph"/>
        <w:jc w:val="both"/>
        <w:rPr>
          <w:rFonts w:ascii="Book Antiqua" w:hAnsi="Book Antiqua"/>
        </w:rPr>
      </w:pPr>
    </w:p>
    <w:p w:rsidR="00100432" w:rsidRPr="008B51F8" w:rsidRDefault="00EC411D" w:rsidP="008B51F8">
      <w:pPr>
        <w:pStyle w:val="ListParagraph"/>
        <w:numPr>
          <w:ilvl w:val="0"/>
          <w:numId w:val="1"/>
        </w:numPr>
        <w:jc w:val="both"/>
        <w:rPr>
          <w:rFonts w:ascii="Book Antiqua" w:hAnsi="Book Antiqua"/>
        </w:rPr>
      </w:pPr>
      <w:r w:rsidRPr="008B51F8">
        <w:rPr>
          <w:rFonts w:ascii="Book Antiqua" w:hAnsi="Book Antiqua"/>
        </w:rPr>
        <w:t xml:space="preserve">Since arriving in the United Kingdom, the appellant’s parents have made regular visits to </w:t>
      </w:r>
      <w:r w:rsidR="00865A90">
        <w:rPr>
          <w:rFonts w:ascii="Book Antiqua" w:hAnsi="Book Antiqua"/>
        </w:rPr>
        <w:t>Nepal</w:t>
      </w:r>
      <w:r w:rsidRPr="008B51F8">
        <w:rPr>
          <w:rFonts w:ascii="Book Antiqua" w:hAnsi="Book Antiqua"/>
        </w:rPr>
        <w:t>. The father returned to Nepal in January 2011,</w:t>
      </w:r>
      <w:r w:rsidR="00BF475B" w:rsidRPr="008B51F8">
        <w:rPr>
          <w:rFonts w:ascii="Book Antiqua" w:hAnsi="Book Antiqua"/>
        </w:rPr>
        <w:t xml:space="preserve"> November 2012,</w:t>
      </w:r>
      <w:r w:rsidR="000C4EAE" w:rsidRPr="008B51F8">
        <w:rPr>
          <w:rFonts w:ascii="Book Antiqua" w:hAnsi="Book Antiqua"/>
        </w:rPr>
        <w:t xml:space="preserve"> November 2014 and October 2015</w:t>
      </w:r>
      <w:r w:rsidR="00BF475B" w:rsidRPr="008B51F8">
        <w:rPr>
          <w:rFonts w:ascii="Book Antiqua" w:hAnsi="Book Antiqua"/>
        </w:rPr>
        <w:t>. In each case he stayed for a period of months.</w:t>
      </w:r>
      <w:r w:rsidR="00082850" w:rsidRPr="008B51F8">
        <w:rPr>
          <w:rFonts w:ascii="Book Antiqua" w:hAnsi="Book Antiqua"/>
        </w:rPr>
        <w:t xml:space="preserve">  There was also some evidence of financial support provided to the son from his parents.</w:t>
      </w:r>
      <w:r w:rsidR="00BF475B" w:rsidRPr="008B51F8">
        <w:rPr>
          <w:rFonts w:ascii="Book Antiqua" w:hAnsi="Book Antiqua"/>
        </w:rPr>
        <w:t xml:space="preserve"> </w:t>
      </w:r>
    </w:p>
    <w:p w:rsidR="001817A3" w:rsidRPr="008B51F8" w:rsidRDefault="001817A3" w:rsidP="008B51F8">
      <w:pPr>
        <w:pStyle w:val="ListParagraph"/>
        <w:jc w:val="both"/>
        <w:rPr>
          <w:rFonts w:ascii="Book Antiqua" w:hAnsi="Book Antiqua"/>
        </w:rPr>
      </w:pPr>
    </w:p>
    <w:p w:rsidR="001817A3" w:rsidRPr="008B51F8" w:rsidRDefault="001817A3" w:rsidP="008B51F8">
      <w:pPr>
        <w:pStyle w:val="ListParagraph"/>
        <w:numPr>
          <w:ilvl w:val="0"/>
          <w:numId w:val="1"/>
        </w:numPr>
        <w:jc w:val="both"/>
        <w:rPr>
          <w:rFonts w:ascii="Book Antiqua" w:hAnsi="Book Antiqua"/>
        </w:rPr>
      </w:pPr>
      <w:r w:rsidRPr="008B51F8">
        <w:rPr>
          <w:rFonts w:ascii="Book Antiqua" w:hAnsi="Book Antiqua"/>
        </w:rPr>
        <w:t xml:space="preserve">In </w:t>
      </w:r>
      <w:proofErr w:type="spellStart"/>
      <w:r w:rsidR="00891E9B" w:rsidRPr="008B51F8">
        <w:rPr>
          <w:rFonts w:ascii="Book Antiqua" w:hAnsi="Book Antiqua"/>
          <w:i/>
        </w:rPr>
        <w:t>Ghising</w:t>
      </w:r>
      <w:proofErr w:type="spellEnd"/>
      <w:r w:rsidR="00891E9B" w:rsidRPr="008B51F8">
        <w:rPr>
          <w:rFonts w:ascii="Book Antiqua" w:hAnsi="Book Antiqua"/>
          <w:i/>
        </w:rPr>
        <w:t xml:space="preserve"> and others (Ghurkhas/BOCs: historic wrong; weight)</w:t>
      </w:r>
      <w:r w:rsidR="00891E9B" w:rsidRPr="008B51F8">
        <w:rPr>
          <w:rFonts w:ascii="Book Antiqua" w:hAnsi="Book Antiqua"/>
        </w:rPr>
        <w:t xml:space="preserve"> [2013] UKUT 00567 (IAC)</w:t>
      </w:r>
      <w:r w:rsidR="000C4EAE" w:rsidRPr="008B51F8">
        <w:rPr>
          <w:rFonts w:ascii="Book Antiqua" w:hAnsi="Book Antiqua" w:cs="Arial"/>
          <w:caps/>
        </w:rPr>
        <w:t xml:space="preserve"> </w:t>
      </w:r>
      <w:r w:rsidR="000C4EAE" w:rsidRPr="008B51F8">
        <w:rPr>
          <w:rFonts w:ascii="Book Antiqua" w:hAnsi="Book Antiqua" w:cs="Arial"/>
        </w:rPr>
        <w:t>Upper Tribunal Judges Lane (now Lane J) and Taylor summarised the Tribunal’s view as follows:</w:t>
      </w:r>
    </w:p>
    <w:p w:rsidR="00082850" w:rsidRPr="008B51F8" w:rsidRDefault="00082850" w:rsidP="008B51F8">
      <w:pPr>
        <w:pStyle w:val="ListParagraph"/>
        <w:jc w:val="both"/>
        <w:rPr>
          <w:rFonts w:ascii="Book Antiqua" w:hAnsi="Book Antiqua" w:cs="Arial"/>
          <w:i/>
        </w:rPr>
      </w:pPr>
    </w:p>
    <w:p w:rsidR="00891E9B" w:rsidRPr="008B51F8" w:rsidRDefault="00891E9B" w:rsidP="00B1658C">
      <w:pPr>
        <w:pStyle w:val="ListParagraph"/>
        <w:ind w:left="1440"/>
        <w:jc w:val="both"/>
        <w:rPr>
          <w:rFonts w:ascii="Book Antiqua" w:hAnsi="Book Antiqua"/>
          <w:i/>
        </w:rPr>
      </w:pPr>
      <w:r w:rsidRPr="008B51F8">
        <w:rPr>
          <w:rFonts w:ascii="Book Antiqua" w:hAnsi="Book Antiqua" w:cs="Arial"/>
          <w:i/>
        </w:rPr>
        <w:t xml:space="preserve">(2) When an Appellant has shown that there is family/private life and the decision made by the Respondent amounts to an interference with it, the burden lies with the Respondent to show that a decision to remove is proportionate (although Appellants will, in practice, bear the responsibility of adducing evidence that lies within their remit and about which the Respondent may be unaware).   </w:t>
      </w:r>
    </w:p>
    <w:p w:rsidR="00891E9B" w:rsidRPr="008B51F8" w:rsidRDefault="00891E9B" w:rsidP="00B1658C">
      <w:pPr>
        <w:spacing w:before="240"/>
        <w:ind w:left="1440" w:hanging="153"/>
        <w:jc w:val="both"/>
        <w:rPr>
          <w:rFonts w:ascii="Book Antiqua" w:hAnsi="Book Antiqua"/>
          <w:i/>
        </w:rPr>
      </w:pPr>
      <w:r w:rsidRPr="008B51F8">
        <w:rPr>
          <w:rFonts w:ascii="Book Antiqua" w:hAnsi="Book Antiqua" w:cs="Arial"/>
          <w:i/>
        </w:rPr>
        <w:t xml:space="preserve">(3) What concerned the Court in </w:t>
      </w:r>
      <w:r w:rsidRPr="008B51F8">
        <w:rPr>
          <w:rFonts w:ascii="Book Antiqua" w:hAnsi="Book Antiqua" w:cs="Arial"/>
          <w:i/>
          <w:u w:val="single"/>
        </w:rPr>
        <w:t>Gurung and others</w:t>
      </w:r>
      <w:r w:rsidRPr="008B51F8">
        <w:rPr>
          <w:rFonts w:ascii="Book Antiqua" w:hAnsi="Book Antiqua" w:cs="Arial"/>
          <w:i/>
        </w:rPr>
        <w:t xml:space="preserve"> was not the burden of proof but, rather, the issue of weight in a proportionality assessment. The Court held that, as in the case of BOCs, the historic wrong suffered by Gurkha ex-servicemen should be given substantial weight. </w:t>
      </w:r>
    </w:p>
    <w:p w:rsidR="00891E9B" w:rsidRPr="008B51F8" w:rsidRDefault="00891E9B" w:rsidP="00B1658C">
      <w:pPr>
        <w:spacing w:before="240"/>
        <w:ind w:left="1440" w:hanging="153"/>
        <w:jc w:val="both"/>
        <w:rPr>
          <w:rFonts w:ascii="Book Antiqua" w:hAnsi="Book Antiqua"/>
          <w:i/>
        </w:rPr>
      </w:pPr>
      <w:r w:rsidRPr="008B51F8">
        <w:rPr>
          <w:rFonts w:ascii="Book Antiqua" w:hAnsi="Book Antiqua" w:cs="Arial"/>
          <w:i/>
        </w:rPr>
        <w:t xml:space="preserve">(4) Accordingly, where it is found that Article 8 is engaged and, but for the historic wrong, the Appellant would have been settled in the UK long ago, this will ordinarily determine the outcome of the Article 8 proportionality assessment in an Appellant’s favour, where the matters relied on by the Secretary of State/ entry clearance officer consist solely of the public interest in maintaining a firm immigration policy. </w:t>
      </w:r>
    </w:p>
    <w:p w:rsidR="00891E9B" w:rsidRPr="008B51F8" w:rsidRDefault="00891E9B" w:rsidP="00B1658C">
      <w:pPr>
        <w:spacing w:before="240"/>
        <w:ind w:left="1440" w:hanging="153"/>
        <w:jc w:val="both"/>
        <w:rPr>
          <w:rFonts w:ascii="Book Antiqua" w:hAnsi="Book Antiqua" w:cs="Arial"/>
          <w:i/>
        </w:rPr>
      </w:pPr>
      <w:r w:rsidRPr="008B51F8">
        <w:rPr>
          <w:rFonts w:ascii="Book Antiqua" w:hAnsi="Book Antiqua" w:cs="Arial"/>
          <w:i/>
        </w:rPr>
        <w:t>(5)  It can therefore be seen that Appellants in Gurkha (and BOC) cases will not necessarily succeed, even though (</w:t>
      </w:r>
      <w:proofErr w:type="spellStart"/>
      <w:r w:rsidRPr="008B51F8">
        <w:rPr>
          <w:rFonts w:ascii="Book Antiqua" w:hAnsi="Book Antiqua" w:cs="Arial"/>
          <w:i/>
        </w:rPr>
        <w:t>i</w:t>
      </w:r>
      <w:proofErr w:type="spellEnd"/>
      <w:r w:rsidRPr="008B51F8">
        <w:rPr>
          <w:rFonts w:ascii="Book Antiqua" w:hAnsi="Book Antiqua" w:cs="Arial"/>
          <w:i/>
        </w:rPr>
        <w:t xml:space="preserve">) their family life engages Article 8(1); and (ii) the evidence shows they would have come to the United Kingdom with their father, but for the injustice that prevented the latter from settling here earlier.  If the Respondent can point to matters over and above the public interest in maintaining a firm immigration policy, which argue in favour of removal or the refusal of leave to enter, these matters must be given appropriate weight in the balance in the Respondent’s favour. Thus, a bad immigration history and/or </w:t>
      </w:r>
      <w:r w:rsidRPr="008B51F8">
        <w:rPr>
          <w:rFonts w:ascii="Book Antiqua" w:hAnsi="Book Antiqua" w:cs="Arial"/>
          <w:i/>
        </w:rPr>
        <w:lastRenderedPageBreak/>
        <w:t xml:space="preserve">criminal behaviour may still be sufficient to outweigh the powerful factors bearing on the Appellant’s side of the balance. </w:t>
      </w:r>
    </w:p>
    <w:p w:rsidR="003264BC" w:rsidRPr="008B51F8" w:rsidRDefault="003264BC" w:rsidP="008B51F8">
      <w:pPr>
        <w:spacing w:before="100" w:beforeAutospacing="1" w:after="100" w:afterAutospacing="1"/>
        <w:ind w:left="720" w:hanging="720"/>
        <w:jc w:val="both"/>
        <w:rPr>
          <w:rFonts w:ascii="Book Antiqua" w:hAnsi="Book Antiqua"/>
          <w:color w:val="000000"/>
        </w:rPr>
      </w:pPr>
      <w:r w:rsidRPr="008B51F8">
        <w:rPr>
          <w:rFonts w:ascii="Book Antiqua" w:hAnsi="Book Antiqua"/>
        </w:rPr>
        <w:t>8.</w:t>
      </w:r>
      <w:r w:rsidRPr="008B51F8">
        <w:rPr>
          <w:rFonts w:ascii="Book Antiqua" w:hAnsi="Book Antiqua"/>
        </w:rPr>
        <w:tab/>
      </w:r>
      <w:proofErr w:type="gramStart"/>
      <w:r w:rsidRPr="008B51F8">
        <w:rPr>
          <w:rFonts w:ascii="Book Antiqua" w:hAnsi="Book Antiqua"/>
        </w:rPr>
        <w:t>I</w:t>
      </w:r>
      <w:r w:rsidR="001817A3" w:rsidRPr="008B51F8">
        <w:rPr>
          <w:rFonts w:ascii="Book Antiqua" w:hAnsi="Book Antiqua"/>
        </w:rPr>
        <w:t xml:space="preserve">n  </w:t>
      </w:r>
      <w:r w:rsidR="00891E9B" w:rsidRPr="008B51F8">
        <w:rPr>
          <w:rFonts w:ascii="Book Antiqua" w:hAnsi="Book Antiqua"/>
          <w:i/>
        </w:rPr>
        <w:t>Rai</w:t>
      </w:r>
      <w:proofErr w:type="gramEnd"/>
      <w:r w:rsidR="00891E9B" w:rsidRPr="008B51F8">
        <w:rPr>
          <w:rFonts w:ascii="Book Antiqua" w:hAnsi="Book Antiqua"/>
          <w:i/>
        </w:rPr>
        <w:t xml:space="preserve"> v Entry Clearance Officer, New Delhi</w:t>
      </w:r>
      <w:r w:rsidR="00891E9B" w:rsidRPr="008B51F8">
        <w:rPr>
          <w:rFonts w:ascii="Book Antiqua" w:hAnsi="Book Antiqua"/>
        </w:rPr>
        <w:t xml:space="preserve"> [2017] EWCA </w:t>
      </w:r>
      <w:proofErr w:type="spellStart"/>
      <w:r w:rsidR="00891E9B" w:rsidRPr="008B51F8">
        <w:rPr>
          <w:rFonts w:ascii="Book Antiqua" w:hAnsi="Book Antiqua"/>
        </w:rPr>
        <w:t>Civ</w:t>
      </w:r>
      <w:proofErr w:type="spellEnd"/>
      <w:r w:rsidR="00891E9B" w:rsidRPr="008B51F8">
        <w:rPr>
          <w:rFonts w:ascii="Book Antiqua" w:hAnsi="Book Antiqua"/>
        </w:rPr>
        <w:t xml:space="preserve"> 320 (28 April 2017)</w:t>
      </w:r>
      <w:r w:rsidR="001817A3" w:rsidRPr="008B51F8">
        <w:rPr>
          <w:rFonts w:ascii="Book Antiqua" w:hAnsi="Book Antiqua"/>
        </w:rPr>
        <w:t xml:space="preserve"> (</w:t>
      </w:r>
      <w:r w:rsidR="00891E9B" w:rsidRPr="008B51F8">
        <w:rPr>
          <w:rFonts w:ascii="Book Antiqua" w:hAnsi="Book Antiqua"/>
          <w:bCs/>
          <w:color w:val="000000"/>
        </w:rPr>
        <w:t>Beatson, Lindblom and Henderson LJJ</w:t>
      </w:r>
      <w:r w:rsidR="001817A3" w:rsidRPr="008B51F8">
        <w:rPr>
          <w:rFonts w:ascii="Book Antiqua" w:hAnsi="Book Antiqua"/>
          <w:bCs/>
          <w:color w:val="000000"/>
        </w:rPr>
        <w:t>) in which Mr</w:t>
      </w:r>
      <w:r w:rsidR="00891E9B" w:rsidRPr="008B51F8">
        <w:rPr>
          <w:rFonts w:ascii="Book Antiqua" w:hAnsi="Book Antiqua"/>
          <w:bCs/>
          <w:color w:val="000000"/>
        </w:rPr>
        <w:t xml:space="preserve"> </w:t>
      </w:r>
      <w:proofErr w:type="spellStart"/>
      <w:r w:rsidR="00891E9B" w:rsidRPr="008B51F8">
        <w:rPr>
          <w:rFonts w:ascii="Book Antiqua" w:hAnsi="Book Antiqua"/>
          <w:bCs/>
          <w:color w:val="000000"/>
        </w:rPr>
        <w:t>Jesurum</w:t>
      </w:r>
      <w:proofErr w:type="spellEnd"/>
      <w:r w:rsidR="00891E9B" w:rsidRPr="008B51F8">
        <w:rPr>
          <w:rFonts w:ascii="Book Antiqua" w:hAnsi="Book Antiqua"/>
          <w:bCs/>
          <w:color w:val="000000"/>
        </w:rPr>
        <w:t xml:space="preserve"> </w:t>
      </w:r>
      <w:r w:rsidR="001817A3" w:rsidRPr="008B51F8">
        <w:rPr>
          <w:rFonts w:ascii="Book Antiqua" w:hAnsi="Book Antiqua"/>
          <w:bCs/>
          <w:color w:val="000000"/>
        </w:rPr>
        <w:t>appeared for the appellant, the Court of Appeal was concerned with a</w:t>
      </w:r>
      <w:r w:rsidR="00891E9B" w:rsidRPr="008B51F8">
        <w:rPr>
          <w:rFonts w:ascii="Book Antiqua" w:hAnsi="Book Antiqua"/>
          <w:color w:val="000000"/>
        </w:rPr>
        <w:t xml:space="preserve"> father, </w:t>
      </w:r>
      <w:proofErr w:type="spellStart"/>
      <w:r w:rsidR="00891E9B" w:rsidRPr="008B51F8">
        <w:rPr>
          <w:rFonts w:ascii="Book Antiqua" w:hAnsi="Book Antiqua"/>
          <w:color w:val="000000"/>
        </w:rPr>
        <w:t>Birkha</w:t>
      </w:r>
      <w:proofErr w:type="spellEnd"/>
      <w:r w:rsidR="00891E9B" w:rsidRPr="008B51F8">
        <w:rPr>
          <w:rFonts w:ascii="Book Antiqua" w:hAnsi="Book Antiqua"/>
          <w:color w:val="000000"/>
        </w:rPr>
        <w:t xml:space="preserve"> Bahadur Rai, </w:t>
      </w:r>
      <w:r w:rsidR="001817A3" w:rsidRPr="008B51F8">
        <w:rPr>
          <w:rFonts w:ascii="Book Antiqua" w:hAnsi="Book Antiqua"/>
          <w:color w:val="000000"/>
        </w:rPr>
        <w:t>who w</w:t>
      </w:r>
      <w:r w:rsidR="00891E9B" w:rsidRPr="008B51F8">
        <w:rPr>
          <w:rFonts w:ascii="Book Antiqua" w:hAnsi="Book Antiqua"/>
          <w:color w:val="000000"/>
        </w:rPr>
        <w:t>as born in Nepal on 1 January 19</w:t>
      </w:r>
      <w:r w:rsidR="001817A3" w:rsidRPr="008B51F8">
        <w:rPr>
          <w:rFonts w:ascii="Book Antiqua" w:hAnsi="Book Antiqua"/>
          <w:color w:val="000000"/>
        </w:rPr>
        <w:t xml:space="preserve">41, enlisted in 7 Gurkha Rifles </w:t>
      </w:r>
      <w:r w:rsidR="00891E9B" w:rsidRPr="008B51F8">
        <w:rPr>
          <w:rFonts w:ascii="Book Antiqua" w:hAnsi="Book Antiqua"/>
          <w:color w:val="000000"/>
        </w:rPr>
        <w:t>as a boy in 1956</w:t>
      </w:r>
      <w:r w:rsidR="001817A3" w:rsidRPr="008B51F8">
        <w:rPr>
          <w:rFonts w:ascii="Book Antiqua" w:hAnsi="Book Antiqua"/>
          <w:color w:val="000000"/>
        </w:rPr>
        <w:t xml:space="preserve"> and served for 15 years and was</w:t>
      </w:r>
      <w:r w:rsidR="00891E9B" w:rsidRPr="008B51F8">
        <w:rPr>
          <w:rFonts w:ascii="Book Antiqua" w:hAnsi="Book Antiqua"/>
          <w:color w:val="000000"/>
        </w:rPr>
        <w:t xml:space="preserve"> honourably discharged in August 1971.</w:t>
      </w:r>
      <w:bookmarkStart w:id="1" w:name="para8"/>
      <w:r w:rsidR="00891E9B" w:rsidRPr="008B51F8">
        <w:rPr>
          <w:rFonts w:ascii="Book Antiqua" w:hAnsi="Book Antiqua"/>
          <w:color w:val="000000"/>
        </w:rPr>
        <w:t xml:space="preserve"> </w:t>
      </w:r>
      <w:r w:rsidR="001817A3" w:rsidRPr="008B51F8">
        <w:rPr>
          <w:rFonts w:ascii="Book Antiqua" w:hAnsi="Book Antiqua"/>
          <w:color w:val="000000"/>
        </w:rPr>
        <w:t>Rai’s</w:t>
      </w:r>
      <w:r w:rsidR="00891E9B" w:rsidRPr="008B51F8">
        <w:rPr>
          <w:rFonts w:ascii="Book Antiqua" w:hAnsi="Book Antiqua"/>
          <w:color w:val="000000"/>
        </w:rPr>
        <w:t xml:space="preserve"> father was granted indefinite leave to enter on 13 May 2010, and came to the United Kingdom on 26 June 2010. His mother</w:t>
      </w:r>
      <w:r w:rsidR="001817A3" w:rsidRPr="008B51F8">
        <w:rPr>
          <w:rFonts w:ascii="Book Antiqua" w:hAnsi="Book Antiqua"/>
          <w:color w:val="000000"/>
        </w:rPr>
        <w:t xml:space="preserve"> joined her husband.</w:t>
      </w:r>
      <w:r w:rsidR="00891E9B" w:rsidRPr="008B51F8">
        <w:rPr>
          <w:rFonts w:ascii="Book Antiqua" w:hAnsi="Book Antiqua"/>
          <w:color w:val="000000"/>
        </w:rPr>
        <w:t xml:space="preserve"> On 2 October 2012 the appellant, then 26 years old, applied for entry clearance to settle in the United Kingdom as his father's dependant</w:t>
      </w:r>
      <w:bookmarkEnd w:id="1"/>
      <w:r w:rsidRPr="008B51F8">
        <w:rPr>
          <w:rFonts w:ascii="Book Antiqua" w:hAnsi="Book Antiqua"/>
          <w:color w:val="000000"/>
        </w:rPr>
        <w:t>.</w:t>
      </w:r>
    </w:p>
    <w:p w:rsidR="00B0434C" w:rsidRPr="008B51F8" w:rsidRDefault="003264BC" w:rsidP="008B51F8">
      <w:pPr>
        <w:spacing w:before="100" w:beforeAutospacing="1" w:after="100" w:afterAutospacing="1"/>
        <w:ind w:left="720" w:hanging="720"/>
        <w:jc w:val="both"/>
        <w:rPr>
          <w:rFonts w:ascii="Book Antiqua" w:hAnsi="Book Antiqua"/>
        </w:rPr>
      </w:pPr>
      <w:r w:rsidRPr="008B51F8">
        <w:rPr>
          <w:rFonts w:ascii="Book Antiqua" w:hAnsi="Book Antiqua"/>
          <w:color w:val="000000"/>
        </w:rPr>
        <w:t>9.</w:t>
      </w:r>
      <w:r w:rsidRPr="008B51F8">
        <w:rPr>
          <w:rFonts w:ascii="Book Antiqua" w:hAnsi="Book Antiqua"/>
          <w:color w:val="000000"/>
        </w:rPr>
        <w:tab/>
      </w:r>
      <w:r w:rsidR="008B51F8">
        <w:rPr>
          <w:rFonts w:ascii="Book Antiqua" w:hAnsi="Book Antiqua"/>
          <w:color w:val="000000"/>
        </w:rPr>
        <w:t xml:space="preserve">The Court of Appeal in </w:t>
      </w:r>
      <w:r w:rsidR="008B51F8" w:rsidRPr="008B51F8">
        <w:rPr>
          <w:rFonts w:ascii="Book Antiqua" w:hAnsi="Book Antiqua"/>
          <w:i/>
          <w:color w:val="000000"/>
        </w:rPr>
        <w:t>Rai</w:t>
      </w:r>
      <w:r w:rsidR="008B51F8">
        <w:rPr>
          <w:rFonts w:ascii="Book Antiqua" w:hAnsi="Book Antiqua"/>
          <w:color w:val="000000"/>
        </w:rPr>
        <w:t xml:space="preserve"> cited the authority of </w:t>
      </w:r>
      <w:proofErr w:type="spellStart"/>
      <w:r w:rsidR="00891E9B" w:rsidRPr="008B51F8">
        <w:rPr>
          <w:rFonts w:ascii="Book Antiqua" w:hAnsi="Book Antiqua" w:cs="Arial"/>
          <w:i/>
          <w:color w:val="000000"/>
        </w:rPr>
        <w:t>Ghising</w:t>
      </w:r>
      <w:proofErr w:type="spellEnd"/>
      <w:r w:rsidR="00891E9B" w:rsidRPr="008B51F8">
        <w:rPr>
          <w:rFonts w:ascii="Book Antiqua" w:hAnsi="Book Antiqua" w:cs="Arial"/>
          <w:i/>
          <w:color w:val="000000"/>
        </w:rPr>
        <w:t xml:space="preserve"> (family life - adults - Gurkha policy)</w:t>
      </w:r>
      <w:r w:rsidR="00891E9B" w:rsidRPr="008B51F8">
        <w:rPr>
          <w:rFonts w:ascii="Book Antiqua" w:hAnsi="Book Antiqua" w:cs="Arial"/>
          <w:color w:val="000000"/>
        </w:rPr>
        <w:t xml:space="preserve"> [2012] UKUT 00160 (IAC)</w:t>
      </w:r>
      <w:r w:rsidR="00891E9B" w:rsidRPr="008B51F8">
        <w:rPr>
          <w:rFonts w:ascii="Book Antiqua" w:hAnsi="Book Antiqua" w:cs="Arial"/>
        </w:rPr>
        <w:t xml:space="preserve"> </w:t>
      </w:r>
      <w:r w:rsidRPr="008B51F8">
        <w:rPr>
          <w:rFonts w:ascii="Book Antiqua" w:hAnsi="Book Antiqua" w:cs="Arial"/>
        </w:rPr>
        <w:t>in which I sat with Lang</w:t>
      </w:r>
      <w:r w:rsidR="008B51F8">
        <w:rPr>
          <w:rFonts w:ascii="Book Antiqua" w:hAnsi="Book Antiqua" w:cs="Arial"/>
        </w:rPr>
        <w:t xml:space="preserve"> </w:t>
      </w:r>
      <w:r w:rsidRPr="008B51F8">
        <w:rPr>
          <w:rFonts w:ascii="Book Antiqua" w:hAnsi="Book Antiqua" w:cs="Arial"/>
        </w:rPr>
        <w:t>J</w:t>
      </w:r>
      <w:r w:rsidR="008B51F8">
        <w:rPr>
          <w:rFonts w:ascii="Book Antiqua" w:hAnsi="Book Antiqua" w:cs="Arial"/>
        </w:rPr>
        <w:t>.  T</w:t>
      </w:r>
      <w:r w:rsidRPr="008B51F8">
        <w:rPr>
          <w:rFonts w:ascii="Book Antiqua" w:hAnsi="Book Antiqua" w:cs="Arial"/>
        </w:rPr>
        <w:t xml:space="preserve">he Upper Tribunal in paragraphs 52 to </w:t>
      </w:r>
      <w:r w:rsidR="00B0434C" w:rsidRPr="008B51F8">
        <w:rPr>
          <w:rFonts w:ascii="Book Antiqua" w:hAnsi="Book Antiqua" w:cs="Arial"/>
        </w:rPr>
        <w:t xml:space="preserve">61 </w:t>
      </w:r>
      <w:r w:rsidRPr="008B51F8">
        <w:rPr>
          <w:rFonts w:ascii="Book Antiqua" w:hAnsi="Book Antiqua" w:cs="Arial"/>
        </w:rPr>
        <w:t xml:space="preserve">gave detailed reasons for finding that the concept of family life went beyond the authority most frequently cited of </w:t>
      </w:r>
      <w:proofErr w:type="spellStart"/>
      <w:r w:rsidRPr="008B51F8">
        <w:rPr>
          <w:rFonts w:ascii="Book Antiqua" w:hAnsi="Book Antiqua"/>
          <w:i/>
        </w:rPr>
        <w:t>Kugathas</w:t>
      </w:r>
      <w:proofErr w:type="spellEnd"/>
      <w:r w:rsidRPr="008B51F8">
        <w:rPr>
          <w:rFonts w:ascii="Book Antiqua" w:hAnsi="Book Antiqua"/>
          <w:i/>
        </w:rPr>
        <w:t xml:space="preserve"> v Secretary of State for the Home Department </w:t>
      </w:r>
      <w:r w:rsidRPr="008B51F8">
        <w:rPr>
          <w:rFonts w:ascii="Book Antiqua" w:hAnsi="Book Antiqua"/>
        </w:rPr>
        <w:t xml:space="preserve">[2003] EWCA </w:t>
      </w:r>
      <w:proofErr w:type="spellStart"/>
      <w:r w:rsidRPr="008B51F8">
        <w:rPr>
          <w:rFonts w:ascii="Book Antiqua" w:hAnsi="Book Antiqua"/>
        </w:rPr>
        <w:t>Civ</w:t>
      </w:r>
      <w:proofErr w:type="spellEnd"/>
      <w:r w:rsidRPr="008B51F8">
        <w:rPr>
          <w:rFonts w:ascii="Book Antiqua" w:hAnsi="Book Antiqua"/>
        </w:rPr>
        <w:t xml:space="preserve"> 31</w:t>
      </w:r>
      <w:r w:rsidRPr="008B51F8">
        <w:rPr>
          <w:rFonts w:ascii="Book Antiqua" w:hAnsi="Book Antiqua" w:cs="Arial"/>
        </w:rPr>
        <w:t xml:space="preserve"> </w:t>
      </w:r>
      <w:r w:rsidR="00B0434C" w:rsidRPr="008B51F8">
        <w:rPr>
          <w:rFonts w:ascii="Book Antiqua" w:hAnsi="Book Antiqua" w:cs="Arial"/>
        </w:rPr>
        <w:t>and the often-cited passage</w:t>
      </w:r>
      <w:r w:rsidR="008B51F8">
        <w:rPr>
          <w:rFonts w:ascii="Book Antiqua" w:hAnsi="Book Antiqua" w:cs="Arial"/>
        </w:rPr>
        <w:t>:</w:t>
      </w:r>
      <w:r w:rsidR="00B0434C" w:rsidRPr="008B51F8">
        <w:rPr>
          <w:rFonts w:ascii="Book Antiqua" w:hAnsi="Book Antiqua" w:cs="Arial"/>
        </w:rPr>
        <w:t xml:space="preserve"> ‘</w:t>
      </w:r>
      <w:r w:rsidR="00B0434C" w:rsidRPr="008B51F8">
        <w:rPr>
          <w:rFonts w:ascii="Book Antiqua" w:hAnsi="Book Antiqua"/>
          <w:i/>
        </w:rPr>
        <w:t>Relationships between adults, a mother and her 33 year old son in the present case, would not necessarily acquire the protection of Article 8 of the Convention without evidence of further elements of dependency, involving more than the normal emotional ties</w:t>
      </w:r>
      <w:r w:rsidR="00B0434C" w:rsidRPr="008B51F8">
        <w:rPr>
          <w:rFonts w:ascii="Book Antiqua" w:hAnsi="Book Antiqua"/>
        </w:rPr>
        <w:t>.</w:t>
      </w:r>
      <w:r w:rsidR="008B51F8">
        <w:rPr>
          <w:rFonts w:ascii="Book Antiqua" w:hAnsi="Book Antiqua"/>
        </w:rPr>
        <w:t>’</w:t>
      </w:r>
      <w:r w:rsidR="00B0434C" w:rsidRPr="008B51F8">
        <w:rPr>
          <w:rFonts w:ascii="Book Antiqua" w:hAnsi="Book Antiqua"/>
        </w:rPr>
        <w:t xml:space="preserve"> The Tribunal concluded in paragraph 62:</w:t>
      </w:r>
    </w:p>
    <w:p w:rsidR="00B0434C" w:rsidRPr="008B51F8" w:rsidRDefault="00891E9B" w:rsidP="00B1658C">
      <w:pPr>
        <w:spacing w:before="100" w:beforeAutospacing="1" w:after="100" w:afterAutospacing="1"/>
        <w:ind w:left="1440"/>
        <w:jc w:val="both"/>
        <w:rPr>
          <w:rFonts w:ascii="Book Antiqua" w:hAnsi="Book Antiqua"/>
        </w:rPr>
      </w:pPr>
      <w:r w:rsidRPr="008B51F8">
        <w:rPr>
          <w:rFonts w:ascii="Book Antiqua" w:hAnsi="Book Antiqua"/>
        </w:rPr>
        <w:t xml:space="preserve">The different outcomes in cases with superficially similar features emphasises to us that the issue under Article 8(1) is highly fact-sensitive.  In our judgment, rather than applying a blanket rule </w:t>
      </w:r>
      <w:proofErr w:type="gramStart"/>
      <w:r w:rsidRPr="008B51F8">
        <w:rPr>
          <w:rFonts w:ascii="Book Antiqua" w:hAnsi="Book Antiqua"/>
        </w:rPr>
        <w:t>with regard to</w:t>
      </w:r>
      <w:proofErr w:type="gramEnd"/>
      <w:r w:rsidRPr="008B51F8">
        <w:rPr>
          <w:rFonts w:ascii="Book Antiqua" w:hAnsi="Book Antiqua"/>
        </w:rPr>
        <w:t xml:space="preserve"> adult children, each case should be analysed on its own facts, to decide whether or not family life exists, within the meaning of Article 8(1). </w:t>
      </w:r>
    </w:p>
    <w:p w:rsidR="00891E9B" w:rsidRPr="008B51F8" w:rsidRDefault="00B0434C" w:rsidP="008B51F8">
      <w:pPr>
        <w:spacing w:before="100" w:beforeAutospacing="1" w:after="100" w:afterAutospacing="1"/>
        <w:jc w:val="both"/>
        <w:rPr>
          <w:rFonts w:ascii="Book Antiqua" w:hAnsi="Book Antiqua"/>
        </w:rPr>
      </w:pPr>
      <w:r w:rsidRPr="008B51F8">
        <w:rPr>
          <w:rFonts w:ascii="Book Antiqua" w:hAnsi="Book Antiqua"/>
        </w:rPr>
        <w:t>10.</w:t>
      </w:r>
      <w:r w:rsidRPr="008B51F8">
        <w:rPr>
          <w:rFonts w:ascii="Book Antiqua" w:hAnsi="Book Antiqua"/>
        </w:rPr>
        <w:tab/>
      </w:r>
      <w:r w:rsidRPr="008B51F8">
        <w:rPr>
          <w:rFonts w:ascii="Book Antiqua" w:hAnsi="Book Antiqua"/>
          <w:color w:val="000000"/>
        </w:rPr>
        <w:t xml:space="preserve">In </w:t>
      </w:r>
      <w:r w:rsidR="008B51F8" w:rsidRPr="008B51F8">
        <w:rPr>
          <w:rFonts w:ascii="Book Antiqua" w:hAnsi="Book Antiqua"/>
          <w:i/>
          <w:color w:val="000000"/>
        </w:rPr>
        <w:t>Rai</w:t>
      </w:r>
      <w:r w:rsidRPr="008B51F8">
        <w:rPr>
          <w:rFonts w:ascii="Book Antiqua" w:hAnsi="Book Antiqua"/>
          <w:color w:val="000000"/>
        </w:rPr>
        <w:t>, the Court of Appeal concluded in paragraph 41 and 42</w:t>
      </w:r>
    </w:p>
    <w:p w:rsidR="00B0434C" w:rsidRPr="008B51F8" w:rsidRDefault="00891E9B" w:rsidP="00B1658C">
      <w:pPr>
        <w:spacing w:before="100" w:beforeAutospacing="1" w:after="100" w:afterAutospacing="1"/>
        <w:ind w:left="1440"/>
        <w:jc w:val="both"/>
        <w:rPr>
          <w:rFonts w:ascii="Book Antiqua" w:hAnsi="Book Antiqua"/>
          <w:color w:val="000000"/>
        </w:rPr>
      </w:pPr>
      <w:bookmarkStart w:id="2" w:name="para41"/>
      <w:r w:rsidRPr="008B51F8">
        <w:rPr>
          <w:rFonts w:ascii="Book Antiqua" w:hAnsi="Book Antiqua"/>
          <w:color w:val="000000"/>
        </w:rPr>
        <w:t>The burden of the evidence of the appellant's father and mother in their witness statements, and the appellant's in his, was this: that, in consequence of the "historic injustice", it was only in 2010 that his father had been able to apply for leave to enter the United Kingdom; that his parents would have applied upon the father's discharge from the army had that been possible; that they could not afford to apply at the same time as each other or with their dependent children – the appellant and their daughter Chandra; that the stark choice they had had to make was either to remain with the appellant and Chandra in Nepal or to take up their long withheld entitlement to settle in the United Kingdom; that they would all have applied together if they could have afforded to do so; that the appellant had never left the family home in Nepal, begun an independent family life of his own, or found work outside the village; and that he had remained, as his father put it, "an integral part of the family unit" even after his parents had settled in the United Kingdom.</w:t>
      </w:r>
      <w:bookmarkStart w:id="3" w:name="para42"/>
      <w:bookmarkEnd w:id="2"/>
    </w:p>
    <w:p w:rsidR="003643F7" w:rsidRPr="008B51F8" w:rsidRDefault="00891E9B" w:rsidP="00B1658C">
      <w:pPr>
        <w:spacing w:before="100" w:beforeAutospacing="1" w:after="100" w:afterAutospacing="1"/>
        <w:ind w:left="1440"/>
        <w:jc w:val="both"/>
        <w:rPr>
          <w:rFonts w:ascii="Book Antiqua" w:hAnsi="Book Antiqua"/>
          <w:color w:val="000000"/>
        </w:rPr>
      </w:pPr>
      <w:r w:rsidRPr="008B51F8">
        <w:rPr>
          <w:rFonts w:ascii="Book Antiqua" w:hAnsi="Book Antiqua"/>
          <w:color w:val="000000"/>
        </w:rPr>
        <w:lastRenderedPageBreak/>
        <w:t>Those circumstances of the appellant and his family, all of them uncontentious, and including – perhaps crucially – the fact that he and his parents would have applied at the same time for leave to enter the United Kingdom and would have come to the United Kingdom together as a family unit had they been able to afford to do so, do not appear to have been grappled with by the Upper Tribunal judge under article 8(1). In my view they should have been. They went to the heart of the matter: the question of whether, even though the appellant's parents had chosen to leave Nepal to settle in the United Kingdom when they did, his family life with them subsisted then, and was still subsisting at the time of the Upper Tribunal's decision. This was the critical question under article 8(1). Even on the most benevolent reading of his determination, I do not think one can say that the Upper Tribunal judge properly addressed it.</w:t>
      </w:r>
      <w:bookmarkEnd w:id="3"/>
    </w:p>
    <w:p w:rsidR="00442C40" w:rsidRDefault="00B0434C" w:rsidP="00C6736F">
      <w:pPr>
        <w:spacing w:before="100" w:beforeAutospacing="1" w:after="100" w:afterAutospacing="1"/>
        <w:ind w:left="720" w:hanging="720"/>
        <w:jc w:val="both"/>
        <w:rPr>
          <w:rFonts w:ascii="Book Antiqua" w:hAnsi="Book Antiqua"/>
          <w:color w:val="000000"/>
        </w:rPr>
      </w:pPr>
      <w:r w:rsidRPr="008B51F8">
        <w:rPr>
          <w:rFonts w:ascii="Book Antiqua" w:hAnsi="Book Antiqua"/>
          <w:color w:val="000000"/>
        </w:rPr>
        <w:t>11.</w:t>
      </w:r>
      <w:r w:rsidRPr="008B51F8">
        <w:rPr>
          <w:rFonts w:ascii="Book Antiqua" w:hAnsi="Book Antiqua"/>
          <w:color w:val="000000"/>
        </w:rPr>
        <w:tab/>
      </w:r>
      <w:r w:rsidR="008B51F8">
        <w:rPr>
          <w:rFonts w:ascii="Book Antiqua" w:hAnsi="Book Antiqua"/>
          <w:color w:val="000000"/>
        </w:rPr>
        <w:t xml:space="preserve">Some of the facts in </w:t>
      </w:r>
      <w:r w:rsidR="008B51F8" w:rsidRPr="00B1658C">
        <w:rPr>
          <w:rFonts w:ascii="Book Antiqua" w:hAnsi="Book Antiqua"/>
          <w:i/>
          <w:color w:val="000000"/>
        </w:rPr>
        <w:t>Rai</w:t>
      </w:r>
      <w:r w:rsidR="008B51F8">
        <w:rPr>
          <w:rFonts w:ascii="Book Antiqua" w:hAnsi="Book Antiqua"/>
          <w:color w:val="000000"/>
        </w:rPr>
        <w:t xml:space="preserve"> are strikingly similar. Howeve</w:t>
      </w:r>
      <w:r w:rsidR="00B1658C">
        <w:rPr>
          <w:rFonts w:ascii="Book Antiqua" w:hAnsi="Book Antiqua"/>
          <w:color w:val="000000"/>
        </w:rPr>
        <w:t xml:space="preserve">r, </w:t>
      </w:r>
      <w:r w:rsidR="008B51F8">
        <w:rPr>
          <w:rFonts w:ascii="Book Antiqua" w:hAnsi="Book Antiqua"/>
          <w:color w:val="000000"/>
        </w:rPr>
        <w:t xml:space="preserve">some are very different. </w:t>
      </w:r>
      <w:r w:rsidR="00B1658C">
        <w:rPr>
          <w:rFonts w:ascii="Book Antiqua" w:hAnsi="Book Antiqua"/>
          <w:color w:val="000000"/>
        </w:rPr>
        <w:t>The F</w:t>
      </w:r>
      <w:r w:rsidR="00442C40">
        <w:rPr>
          <w:rFonts w:ascii="Book Antiqua" w:hAnsi="Book Antiqua"/>
          <w:color w:val="000000"/>
        </w:rPr>
        <w:t xml:space="preserve">irst-tier Tribunal judge concluded in paragraph 17 of the determination that there was no family life between the appellant and his parents. In doing so, the judge referred to the fact that he moved to another country and became </w:t>
      </w:r>
      <w:proofErr w:type="spellStart"/>
      <w:r w:rsidR="00442C40">
        <w:rPr>
          <w:rFonts w:ascii="Book Antiqua" w:hAnsi="Book Antiqua"/>
          <w:color w:val="000000"/>
        </w:rPr>
        <w:t>self supportive</w:t>
      </w:r>
      <w:proofErr w:type="spellEnd"/>
      <w:r w:rsidR="00442C40">
        <w:rPr>
          <w:rFonts w:ascii="Book Antiqua" w:hAnsi="Book Antiqua"/>
          <w:color w:val="000000"/>
        </w:rPr>
        <w:t xml:space="preserve"> which meant that family life was broken at that point. </w:t>
      </w:r>
      <w:r w:rsidR="002E4461">
        <w:rPr>
          <w:rFonts w:ascii="Book Antiqua" w:hAnsi="Book Antiqua"/>
          <w:color w:val="000000"/>
        </w:rPr>
        <w:t>The implication of this is that once an individual leaves home and lives an independent life, there can be no resumption of family life by any subsequent activities.  The change is irreversible</w:t>
      </w:r>
      <w:r w:rsidR="00A222D5">
        <w:rPr>
          <w:rFonts w:ascii="Book Antiqua" w:hAnsi="Book Antiqua"/>
          <w:color w:val="000000"/>
        </w:rPr>
        <w:t xml:space="preserve">.  Family life was broken at that point and, inferentially, could never be resumed. He conceded that the appellant had returned to Nepal but that family life was broken </w:t>
      </w:r>
      <w:proofErr w:type="gramStart"/>
      <w:r w:rsidR="00A222D5">
        <w:rPr>
          <w:rFonts w:ascii="Book Antiqua" w:hAnsi="Book Antiqua"/>
          <w:color w:val="000000"/>
        </w:rPr>
        <w:t>by reason of</w:t>
      </w:r>
      <w:proofErr w:type="gramEnd"/>
      <w:r w:rsidR="00A222D5">
        <w:rPr>
          <w:rFonts w:ascii="Book Antiqua" w:hAnsi="Book Antiqua"/>
          <w:color w:val="000000"/>
        </w:rPr>
        <w:t xml:space="preserve"> the time spent by the appellant in the UAE.  </w:t>
      </w:r>
      <w:r w:rsidR="002E4461">
        <w:rPr>
          <w:rFonts w:ascii="Book Antiqua" w:hAnsi="Book Antiqua"/>
          <w:color w:val="000000"/>
        </w:rPr>
        <w:t>Thus,</w:t>
      </w:r>
      <w:r w:rsidR="00A222D5">
        <w:rPr>
          <w:rFonts w:ascii="Book Antiqua" w:hAnsi="Book Antiqua"/>
          <w:color w:val="000000"/>
        </w:rPr>
        <w:t xml:space="preserve"> </w:t>
      </w:r>
      <w:r w:rsidR="002E4461">
        <w:rPr>
          <w:rFonts w:ascii="Book Antiqua" w:hAnsi="Book Antiqua"/>
          <w:color w:val="000000"/>
        </w:rPr>
        <w:t xml:space="preserve">a protected family life can never be resumed </w:t>
      </w:r>
      <w:r w:rsidR="00A222D5">
        <w:rPr>
          <w:rFonts w:ascii="Book Antiqua" w:hAnsi="Book Antiqua"/>
          <w:color w:val="000000"/>
        </w:rPr>
        <w:t xml:space="preserve">once a period of independence is established.  On this basis he concluded that there was no family life between the appellant and his parents.  Although he also </w:t>
      </w:r>
      <w:r w:rsidR="00442C40">
        <w:rPr>
          <w:rFonts w:ascii="Book Antiqua" w:hAnsi="Book Antiqua"/>
          <w:color w:val="000000"/>
        </w:rPr>
        <w:t>did not accept that the appellant was financially dependent on the sponsor</w:t>
      </w:r>
      <w:r w:rsidR="00A222D5">
        <w:rPr>
          <w:rFonts w:ascii="Book Antiqua" w:hAnsi="Book Antiqua"/>
          <w:color w:val="000000"/>
        </w:rPr>
        <w:t>, it is at least arguable that this was a finding that was predicated on his finding that no family life existed.</w:t>
      </w:r>
    </w:p>
    <w:p w:rsidR="00B0434C" w:rsidRDefault="00B0434C" w:rsidP="00B1658C">
      <w:pPr>
        <w:spacing w:before="100" w:beforeAutospacing="1" w:after="100" w:afterAutospacing="1"/>
        <w:ind w:left="720" w:hanging="720"/>
        <w:jc w:val="both"/>
        <w:rPr>
          <w:rFonts w:ascii="Book Antiqua" w:hAnsi="Book Antiqua"/>
          <w:color w:val="000000"/>
        </w:rPr>
      </w:pPr>
      <w:r w:rsidRPr="008B51F8">
        <w:rPr>
          <w:rFonts w:ascii="Book Antiqua" w:hAnsi="Book Antiqua"/>
          <w:color w:val="000000"/>
        </w:rPr>
        <w:t>12.</w:t>
      </w:r>
      <w:r w:rsidRPr="008B51F8">
        <w:rPr>
          <w:rFonts w:ascii="Book Antiqua" w:hAnsi="Book Antiqua"/>
          <w:color w:val="000000"/>
        </w:rPr>
        <w:tab/>
      </w:r>
      <w:r w:rsidR="00C6736F">
        <w:rPr>
          <w:rFonts w:ascii="Book Antiqua" w:hAnsi="Book Antiqua"/>
          <w:color w:val="000000"/>
        </w:rPr>
        <w:t>The First-tier Tribunal J</w:t>
      </w:r>
      <w:r w:rsidR="00442C40">
        <w:rPr>
          <w:rFonts w:ascii="Book Antiqua" w:hAnsi="Book Antiqua"/>
          <w:color w:val="000000"/>
        </w:rPr>
        <w:t>udge’s determination was made on 18 September 2017</w:t>
      </w:r>
      <w:r w:rsidRPr="008B51F8">
        <w:rPr>
          <w:rFonts w:ascii="Book Antiqua" w:hAnsi="Book Antiqua"/>
          <w:color w:val="000000"/>
        </w:rPr>
        <w:t>.</w:t>
      </w:r>
      <w:r w:rsidR="00C6736F">
        <w:rPr>
          <w:rFonts w:ascii="Book Antiqua" w:hAnsi="Book Antiqua"/>
          <w:color w:val="000000"/>
        </w:rPr>
        <w:t xml:space="preserve">  It makes no reference to the decision of the Court of Appeal in </w:t>
      </w:r>
      <w:r w:rsidR="00C6736F" w:rsidRPr="00C6736F">
        <w:rPr>
          <w:rFonts w:ascii="Book Antiqua" w:hAnsi="Book Antiqua"/>
          <w:i/>
          <w:color w:val="000000"/>
        </w:rPr>
        <w:t>Rai</w:t>
      </w:r>
      <w:r w:rsidR="00C6736F">
        <w:rPr>
          <w:rFonts w:ascii="Book Antiqua" w:hAnsi="Book Antiqua"/>
          <w:color w:val="000000"/>
        </w:rPr>
        <w:t xml:space="preserve"> made on 28 April 2017.  </w:t>
      </w:r>
    </w:p>
    <w:p w:rsidR="00ED6637" w:rsidRPr="00ED6637" w:rsidRDefault="00B1658C" w:rsidP="00A222D5">
      <w:pPr>
        <w:spacing w:before="100" w:beforeAutospacing="1" w:after="100" w:afterAutospacing="1"/>
        <w:ind w:left="720" w:hanging="720"/>
        <w:jc w:val="both"/>
        <w:rPr>
          <w:rFonts w:ascii="Book Antiqua" w:hAnsi="Book Antiqua"/>
          <w:color w:val="000000"/>
        </w:rPr>
      </w:pPr>
      <w:r>
        <w:rPr>
          <w:rFonts w:ascii="Book Antiqua" w:hAnsi="Book Antiqua"/>
          <w:color w:val="000000"/>
        </w:rPr>
        <w:t>13.</w:t>
      </w:r>
      <w:r>
        <w:rPr>
          <w:rFonts w:ascii="Book Antiqua" w:hAnsi="Book Antiqua"/>
          <w:color w:val="000000"/>
        </w:rPr>
        <w:tab/>
      </w:r>
      <w:r w:rsidR="00694CE7">
        <w:rPr>
          <w:rFonts w:ascii="Book Antiqua" w:hAnsi="Book Antiqua"/>
          <w:color w:val="000000"/>
        </w:rPr>
        <w:t xml:space="preserve"> I have concluded that this is too simplistic a finding in the context of a Gurkha case.</w:t>
      </w:r>
      <w:r w:rsidR="00A222D5">
        <w:rPr>
          <w:rFonts w:ascii="Book Antiqua" w:hAnsi="Book Antiqua"/>
          <w:color w:val="000000"/>
        </w:rPr>
        <w:t xml:space="preserve">  The break in continuity </w:t>
      </w:r>
      <w:r w:rsidR="008651E8">
        <w:rPr>
          <w:rFonts w:ascii="Book Antiqua" w:hAnsi="Book Antiqua"/>
          <w:color w:val="000000"/>
        </w:rPr>
        <w:t xml:space="preserve">when the appellant went to work in the UAE is, of course, a relevant factor if only because it is part of the narrative.  However, I am unable to follow the judge’s conclusion that it was determinative.  That crucial part of the determination is not supported by adequate reasoning.  </w:t>
      </w:r>
      <w:proofErr w:type="gramStart"/>
      <w:r w:rsidR="008651E8">
        <w:rPr>
          <w:rFonts w:ascii="Book Antiqua" w:hAnsi="Book Antiqua"/>
          <w:color w:val="000000"/>
        </w:rPr>
        <w:t>In particular, the</w:t>
      </w:r>
      <w:proofErr w:type="gramEnd"/>
      <w:r w:rsidR="008651E8">
        <w:rPr>
          <w:rFonts w:ascii="Book Antiqua" w:hAnsi="Book Antiqua"/>
          <w:color w:val="000000"/>
        </w:rPr>
        <w:t xml:space="preserve"> fact that he found that the appellant had returned to Nepal and the family home prior to the parents’ departure was not treated as having any weight or, indeed, relevance.   I see no justification expressed in the determination that entitled the judge to place weight on one element of the history (time in the UAE) and, indeed to treat is as determinative and then to place no weight on the fact that he returned and resumed a lifestyle that was, presumably, </w:t>
      </w:r>
      <w:proofErr w:type="gramStart"/>
      <w:r w:rsidR="008651E8">
        <w:rPr>
          <w:rFonts w:ascii="Book Antiqua" w:hAnsi="Book Antiqua"/>
          <w:color w:val="000000"/>
        </w:rPr>
        <w:t>similar to</w:t>
      </w:r>
      <w:proofErr w:type="gramEnd"/>
      <w:r w:rsidR="008651E8">
        <w:rPr>
          <w:rFonts w:ascii="Book Antiqua" w:hAnsi="Book Antiqua"/>
          <w:color w:val="000000"/>
        </w:rPr>
        <w:t xml:space="preserve"> the one he had adopted prior to his departure.</w:t>
      </w:r>
      <w:r w:rsidR="00706ACF">
        <w:rPr>
          <w:rFonts w:ascii="Book Antiqua" w:hAnsi="Book Antiqua"/>
          <w:color w:val="000000"/>
        </w:rPr>
        <w:t xml:space="preserve">  It raises an issue which is apparently unfamiliar to the Tribunal that once there has been </w:t>
      </w:r>
      <w:r w:rsidR="00706ACF">
        <w:rPr>
          <w:rFonts w:ascii="Book Antiqua" w:hAnsi="Book Antiqua"/>
          <w:color w:val="000000"/>
        </w:rPr>
        <w:lastRenderedPageBreak/>
        <w:t xml:space="preserve">a break in the continuity of a dependency, there can be no subsequent resumption of it.  Without this issue being addressed in the determination, I </w:t>
      </w:r>
      <w:r w:rsidR="00706ACF" w:rsidRPr="00ED6637">
        <w:rPr>
          <w:rFonts w:ascii="Book Antiqua" w:hAnsi="Book Antiqua"/>
          <w:color w:val="000000"/>
        </w:rPr>
        <w:t>find that judge’s conclusion amounts to an error of law.</w:t>
      </w:r>
      <w:r w:rsidR="008651E8" w:rsidRPr="00ED6637">
        <w:rPr>
          <w:rFonts w:ascii="Book Antiqua" w:hAnsi="Book Antiqua"/>
          <w:color w:val="000000"/>
        </w:rPr>
        <w:t xml:space="preserve"> </w:t>
      </w:r>
    </w:p>
    <w:p w:rsidR="00ED6637" w:rsidRDefault="00ED6637" w:rsidP="00A222D5">
      <w:pPr>
        <w:spacing w:before="100" w:beforeAutospacing="1" w:after="100" w:afterAutospacing="1"/>
        <w:ind w:left="720" w:hanging="720"/>
        <w:jc w:val="both"/>
        <w:rPr>
          <w:rFonts w:ascii="Book Antiqua" w:hAnsi="Book Antiqua"/>
          <w:color w:val="000000"/>
        </w:rPr>
      </w:pPr>
      <w:r w:rsidRPr="00ED6637">
        <w:rPr>
          <w:rFonts w:ascii="Book Antiqua" w:hAnsi="Book Antiqua"/>
          <w:color w:val="000000"/>
        </w:rPr>
        <w:t>14.</w:t>
      </w:r>
      <w:r w:rsidRPr="00ED6637">
        <w:rPr>
          <w:rFonts w:ascii="Book Antiqua" w:hAnsi="Book Antiqua"/>
          <w:color w:val="000000"/>
        </w:rPr>
        <w:tab/>
      </w:r>
      <w:r>
        <w:rPr>
          <w:rFonts w:ascii="Book Antiqua" w:hAnsi="Book Antiqua"/>
          <w:color w:val="000000"/>
        </w:rPr>
        <w:t xml:space="preserve">In rejecting that Article 8 was engaged at all, </w:t>
      </w:r>
      <w:r w:rsidR="00986943">
        <w:rPr>
          <w:rFonts w:ascii="Book Antiqua" w:hAnsi="Book Antiqua"/>
          <w:color w:val="000000"/>
        </w:rPr>
        <w:t xml:space="preserve">it was inevitable that the </w:t>
      </w:r>
      <w:r w:rsidR="000323B5">
        <w:rPr>
          <w:rFonts w:ascii="Book Antiqua" w:hAnsi="Book Antiqua"/>
          <w:color w:val="000000"/>
        </w:rPr>
        <w:t xml:space="preserve">judge did not consider the protean concept of family life as suggested in </w:t>
      </w:r>
      <w:proofErr w:type="spellStart"/>
      <w:r w:rsidR="000323B5">
        <w:rPr>
          <w:rFonts w:ascii="Book Antiqua" w:hAnsi="Book Antiqua" w:cs="Arial"/>
          <w:i/>
          <w:color w:val="000000"/>
        </w:rPr>
        <w:t>Ghising</w:t>
      </w:r>
      <w:proofErr w:type="spellEnd"/>
      <w:r w:rsidR="000323B5">
        <w:rPr>
          <w:rFonts w:ascii="Book Antiqua" w:hAnsi="Book Antiqua" w:cs="Arial"/>
          <w:i/>
          <w:color w:val="000000"/>
        </w:rPr>
        <w:t xml:space="preserve"> (family life - adults - Gurkha policy)</w:t>
      </w:r>
      <w:r w:rsidR="000323B5">
        <w:rPr>
          <w:rFonts w:ascii="Book Antiqua" w:hAnsi="Book Antiqua" w:cs="Arial"/>
          <w:color w:val="000000"/>
        </w:rPr>
        <w:t xml:space="preserve"> [2012] UKUT 00160 (IAC).  T</w:t>
      </w:r>
      <w:r>
        <w:rPr>
          <w:rFonts w:ascii="Book Antiqua" w:hAnsi="Book Antiqua"/>
          <w:color w:val="000000"/>
        </w:rPr>
        <w:t>he judge did not then go on to consider whether</w:t>
      </w:r>
      <w:r w:rsidRPr="00ED6637">
        <w:rPr>
          <w:rFonts w:ascii="Book Antiqua" w:hAnsi="Book Antiqua" w:cs="Arial"/>
        </w:rPr>
        <w:t xml:space="preserve">, but for the historic wrong, the </w:t>
      </w:r>
      <w:r>
        <w:rPr>
          <w:rFonts w:ascii="Book Antiqua" w:hAnsi="Book Antiqua" w:cs="Arial"/>
        </w:rPr>
        <w:t>a</w:t>
      </w:r>
      <w:r w:rsidRPr="00ED6637">
        <w:rPr>
          <w:rFonts w:ascii="Book Antiqua" w:hAnsi="Book Antiqua" w:cs="Arial"/>
        </w:rPr>
        <w:t>ppellant would have been settled in the UK long ago</w:t>
      </w:r>
      <w:r>
        <w:rPr>
          <w:rFonts w:ascii="Book Antiqua" w:hAnsi="Book Antiqua" w:cs="Arial"/>
        </w:rPr>
        <w:t>.  This would</w:t>
      </w:r>
      <w:r w:rsidRPr="00ED6637">
        <w:rPr>
          <w:rFonts w:ascii="Book Antiqua" w:hAnsi="Book Antiqua" w:cs="Arial"/>
        </w:rPr>
        <w:t xml:space="preserve"> ordinarily determine the outcome of the Article 8 proportionality assessment in an </w:t>
      </w:r>
      <w:r>
        <w:rPr>
          <w:rFonts w:ascii="Book Antiqua" w:hAnsi="Book Antiqua" w:cs="Arial"/>
        </w:rPr>
        <w:t>a</w:t>
      </w:r>
      <w:r w:rsidRPr="00ED6637">
        <w:rPr>
          <w:rFonts w:ascii="Book Antiqua" w:hAnsi="Book Antiqua" w:cs="Arial"/>
        </w:rPr>
        <w:t xml:space="preserve">ppellant’s favour, where the matters relied on by the </w:t>
      </w:r>
      <w:r>
        <w:rPr>
          <w:rFonts w:ascii="Book Antiqua" w:hAnsi="Book Antiqua" w:cs="Arial"/>
        </w:rPr>
        <w:t>respondent</w:t>
      </w:r>
      <w:r w:rsidRPr="00ED6637">
        <w:rPr>
          <w:rFonts w:ascii="Book Antiqua" w:hAnsi="Book Antiqua" w:cs="Arial"/>
        </w:rPr>
        <w:t xml:space="preserve"> consist solely of the public interest in maintaining a firm immigration policy</w:t>
      </w:r>
      <w:r>
        <w:rPr>
          <w:rFonts w:ascii="Book Antiqua" w:hAnsi="Book Antiqua" w:cs="Arial"/>
        </w:rPr>
        <w:t xml:space="preserve">, </w:t>
      </w:r>
      <w:r w:rsidR="00986943">
        <w:rPr>
          <w:rFonts w:ascii="Book Antiqua" w:hAnsi="Book Antiqua" w:cs="Arial"/>
        </w:rPr>
        <w:t>per</w:t>
      </w:r>
      <w:r>
        <w:rPr>
          <w:rFonts w:ascii="Book Antiqua" w:hAnsi="Book Antiqua" w:cs="Arial"/>
        </w:rPr>
        <w:t xml:space="preserve"> </w:t>
      </w:r>
      <w:proofErr w:type="spellStart"/>
      <w:r w:rsidRPr="008B51F8">
        <w:rPr>
          <w:rFonts w:ascii="Book Antiqua" w:hAnsi="Book Antiqua"/>
          <w:i/>
        </w:rPr>
        <w:t>Ghising</w:t>
      </w:r>
      <w:proofErr w:type="spellEnd"/>
      <w:r w:rsidRPr="008B51F8">
        <w:rPr>
          <w:rFonts w:ascii="Book Antiqua" w:hAnsi="Book Antiqua"/>
          <w:i/>
        </w:rPr>
        <w:t xml:space="preserve"> and others (Ghurkhas/BOCs: historic wrong; weight)</w:t>
      </w:r>
      <w:r w:rsidRPr="00ED6637">
        <w:rPr>
          <w:rFonts w:ascii="Book Antiqua" w:hAnsi="Book Antiqua" w:cs="Arial"/>
        </w:rPr>
        <w:t xml:space="preserve">. </w:t>
      </w:r>
      <w:r w:rsidR="00986943">
        <w:rPr>
          <w:rFonts w:ascii="Book Antiqua" w:hAnsi="Book Antiqua" w:cs="Arial"/>
        </w:rPr>
        <w:t>Nor did the judge explore whether</w:t>
      </w:r>
      <w:r w:rsidRPr="00ED6637">
        <w:rPr>
          <w:rFonts w:ascii="Book Antiqua" w:hAnsi="Book Antiqua"/>
          <w:color w:val="000000"/>
        </w:rPr>
        <w:t xml:space="preserve"> </w:t>
      </w:r>
      <w:r w:rsidR="00986943">
        <w:rPr>
          <w:rFonts w:ascii="Book Antiqua" w:hAnsi="Book Antiqua"/>
          <w:color w:val="000000"/>
        </w:rPr>
        <w:t>the appellant</w:t>
      </w:r>
      <w:r w:rsidRPr="00ED6637">
        <w:rPr>
          <w:rFonts w:ascii="Book Antiqua" w:hAnsi="Book Antiqua"/>
          <w:color w:val="000000"/>
        </w:rPr>
        <w:t xml:space="preserve"> and his parents </w:t>
      </w:r>
      <w:r w:rsidR="00986943">
        <w:rPr>
          <w:rFonts w:ascii="Book Antiqua" w:hAnsi="Book Antiqua"/>
          <w:color w:val="000000"/>
        </w:rPr>
        <w:t xml:space="preserve">might </w:t>
      </w:r>
      <w:r w:rsidRPr="00ED6637">
        <w:rPr>
          <w:rFonts w:ascii="Book Antiqua" w:hAnsi="Book Antiqua"/>
          <w:color w:val="000000"/>
        </w:rPr>
        <w:t xml:space="preserve">have applied at the same time for leave to enter the United Kingdom and would </w:t>
      </w:r>
      <w:r w:rsidR="00986943">
        <w:rPr>
          <w:rFonts w:ascii="Book Antiqua" w:hAnsi="Book Antiqua"/>
          <w:color w:val="000000"/>
        </w:rPr>
        <w:t xml:space="preserve">then </w:t>
      </w:r>
      <w:r w:rsidRPr="00ED6637">
        <w:rPr>
          <w:rFonts w:ascii="Book Antiqua" w:hAnsi="Book Antiqua"/>
          <w:color w:val="000000"/>
        </w:rPr>
        <w:t>have come to the United Kingdom together as a family unit</w:t>
      </w:r>
      <w:r w:rsidR="00986943">
        <w:rPr>
          <w:rFonts w:ascii="Book Antiqua" w:hAnsi="Book Antiqua"/>
          <w:color w:val="000000"/>
        </w:rPr>
        <w:t xml:space="preserve">, per </w:t>
      </w:r>
      <w:r w:rsidR="00986943">
        <w:rPr>
          <w:rFonts w:ascii="Book Antiqua" w:hAnsi="Book Antiqua"/>
          <w:i/>
        </w:rPr>
        <w:t>Rai v Entry Clearance Officer, New Delhi</w:t>
      </w:r>
      <w:r w:rsidR="00986943">
        <w:rPr>
          <w:rFonts w:ascii="Book Antiqua" w:hAnsi="Book Antiqua"/>
        </w:rPr>
        <w:t xml:space="preserve"> [2017] EWCA </w:t>
      </w:r>
      <w:proofErr w:type="spellStart"/>
      <w:r w:rsidR="00986943">
        <w:rPr>
          <w:rFonts w:ascii="Book Antiqua" w:hAnsi="Book Antiqua"/>
        </w:rPr>
        <w:t>Civ</w:t>
      </w:r>
      <w:proofErr w:type="spellEnd"/>
      <w:r w:rsidR="00986943">
        <w:rPr>
          <w:rFonts w:ascii="Book Antiqua" w:hAnsi="Book Antiqua"/>
        </w:rPr>
        <w:t xml:space="preserve"> 320</w:t>
      </w:r>
      <w:r w:rsidR="00986943">
        <w:rPr>
          <w:rFonts w:ascii="Book Antiqua" w:hAnsi="Book Antiqua"/>
          <w:color w:val="000000"/>
        </w:rPr>
        <w:t>.  For the reasons I have given the judge stopped short of exploring these issues.</w:t>
      </w:r>
    </w:p>
    <w:p w:rsidR="000323B5" w:rsidRPr="00ED6637" w:rsidRDefault="000323B5" w:rsidP="00A222D5">
      <w:pPr>
        <w:spacing w:before="100" w:beforeAutospacing="1" w:after="100" w:afterAutospacing="1"/>
        <w:ind w:left="720" w:hanging="720"/>
        <w:jc w:val="both"/>
        <w:rPr>
          <w:rFonts w:ascii="Book Antiqua" w:hAnsi="Book Antiqua"/>
          <w:color w:val="000000"/>
        </w:rPr>
      </w:pPr>
      <w:r>
        <w:rPr>
          <w:rFonts w:ascii="Book Antiqua" w:hAnsi="Book Antiqua"/>
          <w:color w:val="000000"/>
        </w:rPr>
        <w:t>15.</w:t>
      </w:r>
      <w:r>
        <w:rPr>
          <w:rFonts w:ascii="Book Antiqua" w:hAnsi="Book Antiqua"/>
          <w:color w:val="000000"/>
        </w:rPr>
        <w:tab/>
        <w:t xml:space="preserve">I set aside the determination of the First-tier Tribunal and direct that the appeal be re-determined afresh in the First-tier Tribunal. </w:t>
      </w:r>
    </w:p>
    <w:p w:rsidR="008651E8" w:rsidRDefault="000323B5" w:rsidP="000323B5">
      <w:pPr>
        <w:pStyle w:val="NoSpacing"/>
        <w:jc w:val="right"/>
      </w:pPr>
      <w:r>
        <w:t>ANDREW JORDAN</w:t>
      </w:r>
    </w:p>
    <w:p w:rsidR="000323B5" w:rsidRDefault="000323B5" w:rsidP="000323B5">
      <w:pPr>
        <w:pStyle w:val="NoSpacing"/>
        <w:jc w:val="right"/>
      </w:pPr>
      <w:r>
        <w:t>DEPUTY JUDGE OF THE UPPER TRIBUNAL</w:t>
      </w:r>
    </w:p>
    <w:p w:rsidR="000323B5" w:rsidRPr="00ED6637" w:rsidRDefault="000323B5" w:rsidP="000323B5">
      <w:pPr>
        <w:pStyle w:val="NoSpacing"/>
        <w:jc w:val="right"/>
      </w:pPr>
      <w:r>
        <w:t>4 September 2018</w:t>
      </w:r>
    </w:p>
    <w:p w:rsidR="008651E8" w:rsidRPr="00ED6637" w:rsidRDefault="008651E8" w:rsidP="000323B5">
      <w:pPr>
        <w:pStyle w:val="NoSpacing"/>
        <w:jc w:val="right"/>
      </w:pPr>
    </w:p>
    <w:p w:rsidR="00B1658C" w:rsidRPr="008B51F8" w:rsidRDefault="00B1658C" w:rsidP="00706ACF">
      <w:pPr>
        <w:spacing w:before="100" w:beforeAutospacing="1" w:after="100" w:afterAutospacing="1"/>
        <w:jc w:val="both"/>
        <w:rPr>
          <w:rFonts w:ascii="Book Antiqua" w:hAnsi="Book Antiqua"/>
          <w:color w:val="000000"/>
        </w:rPr>
      </w:pPr>
    </w:p>
    <w:sectPr w:rsidR="00B1658C" w:rsidRPr="008B51F8" w:rsidSect="00F95325">
      <w:headerReference w:type="default" r:id="rId8"/>
      <w:footerReference w:type="default" r:id="rId9"/>
      <w:footerReference w:type="first" r:id="rId10"/>
      <w:pgSz w:w="11906" w:h="16838"/>
      <w:pgMar w:top="426"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73A5" w:rsidRDefault="002873A5" w:rsidP="003D0FB3">
      <w:r>
        <w:separator/>
      </w:r>
    </w:p>
  </w:endnote>
  <w:endnote w:type="continuationSeparator" w:id="0">
    <w:p w:rsidR="002873A5" w:rsidRDefault="002873A5" w:rsidP="003D0F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4841969"/>
      <w:docPartObj>
        <w:docPartGallery w:val="Page Numbers (Bottom of Page)"/>
        <w:docPartUnique/>
      </w:docPartObj>
    </w:sdtPr>
    <w:sdtEndPr>
      <w:rPr>
        <w:rFonts w:ascii="Book Antiqua" w:hAnsi="Book Antiqua"/>
        <w:noProof/>
      </w:rPr>
    </w:sdtEndPr>
    <w:sdtContent>
      <w:p w:rsidR="003D0FB3" w:rsidRPr="00AA2BA0" w:rsidRDefault="003D0FB3">
        <w:pPr>
          <w:pStyle w:val="Footer"/>
          <w:jc w:val="center"/>
          <w:rPr>
            <w:rFonts w:ascii="Book Antiqua" w:hAnsi="Book Antiqua"/>
          </w:rPr>
        </w:pPr>
        <w:r w:rsidRPr="00AA2BA0">
          <w:rPr>
            <w:rFonts w:ascii="Book Antiqua" w:hAnsi="Book Antiqua"/>
          </w:rPr>
          <w:fldChar w:fldCharType="begin"/>
        </w:r>
        <w:r w:rsidRPr="00AA2BA0">
          <w:rPr>
            <w:rFonts w:ascii="Book Antiqua" w:hAnsi="Book Antiqua"/>
          </w:rPr>
          <w:instrText xml:space="preserve"> PAGE   \* MERGEFORMAT </w:instrText>
        </w:r>
        <w:r w:rsidRPr="00AA2BA0">
          <w:rPr>
            <w:rFonts w:ascii="Book Antiqua" w:hAnsi="Book Antiqua"/>
          </w:rPr>
          <w:fldChar w:fldCharType="separate"/>
        </w:r>
        <w:r w:rsidR="0061114D">
          <w:rPr>
            <w:rFonts w:ascii="Book Antiqua" w:hAnsi="Book Antiqua"/>
            <w:noProof/>
          </w:rPr>
          <w:t>5</w:t>
        </w:r>
        <w:r w:rsidRPr="00AA2BA0">
          <w:rPr>
            <w:rFonts w:ascii="Book Antiqua" w:hAnsi="Book Antiqua"/>
            <w:noProof/>
          </w:rPr>
          <w:fldChar w:fldCharType="end"/>
        </w:r>
      </w:p>
    </w:sdtContent>
  </w:sdt>
  <w:p w:rsidR="003D0FB3" w:rsidRDefault="003D0F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0FB3" w:rsidRPr="00D65CD4" w:rsidRDefault="003D0FB3" w:rsidP="003D0FB3">
    <w:pPr>
      <w:jc w:val="center"/>
      <w:rPr>
        <w:rFonts w:ascii="Book Antiqua" w:hAnsi="Book Antiqua" w:cs="Arial"/>
        <w:b/>
      </w:rPr>
    </w:pPr>
    <w:bookmarkStart w:id="4" w:name="_Hlk511652932"/>
    <w:r w:rsidRPr="00D65CD4">
      <w:rPr>
        <w:rFonts w:ascii="Book Antiqua" w:hAnsi="Book Antiqua" w:cs="Arial"/>
        <w:b/>
        <w:spacing w:val="-6"/>
      </w:rPr>
      <w:t>©</w:t>
    </w:r>
    <w:r w:rsidRPr="00D65CD4">
      <w:rPr>
        <w:rFonts w:ascii="Book Antiqua" w:hAnsi="Book Antiqua" w:cs="Arial"/>
        <w:b/>
      </w:rPr>
      <w:t xml:space="preserve"> CROWN COPYRIGHT 2018 </w:t>
    </w:r>
  </w:p>
  <w:bookmarkEnd w:id="4"/>
  <w:p w:rsidR="003D0FB3" w:rsidRDefault="003D0F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73A5" w:rsidRDefault="002873A5" w:rsidP="003D0FB3">
      <w:r>
        <w:separator/>
      </w:r>
    </w:p>
  </w:footnote>
  <w:footnote w:type="continuationSeparator" w:id="0">
    <w:p w:rsidR="002873A5" w:rsidRDefault="002873A5" w:rsidP="003D0F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5C01" w:rsidRDefault="00F95325" w:rsidP="00005C01">
    <w:pPr>
      <w:pStyle w:val="Header"/>
      <w:jc w:val="right"/>
      <w:rPr>
        <w:rFonts w:ascii="Book Antiqua" w:hAnsi="Book Antiqua"/>
        <w:sz w:val="16"/>
        <w:szCs w:val="16"/>
      </w:rPr>
    </w:pPr>
    <w:r>
      <w:rPr>
        <w:rFonts w:ascii="Book Antiqua" w:hAnsi="Book Antiqua"/>
        <w:sz w:val="16"/>
        <w:szCs w:val="16"/>
      </w:rPr>
      <w:t xml:space="preserve">Appeal Number: </w:t>
    </w:r>
    <w:r w:rsidR="00005C01" w:rsidRPr="00F95325">
      <w:rPr>
        <w:rFonts w:ascii="Book Antiqua" w:hAnsi="Book Antiqua"/>
        <w:sz w:val="16"/>
        <w:szCs w:val="16"/>
      </w:rPr>
      <w:t>HU/09171/2016</w:t>
    </w:r>
  </w:p>
  <w:p w:rsidR="00F95325" w:rsidRPr="00F95325" w:rsidRDefault="00F95325" w:rsidP="00005C01">
    <w:pPr>
      <w:pStyle w:val="Header"/>
      <w:jc w:val="right"/>
      <w:rPr>
        <w:rFonts w:ascii="Book Antiqua" w:hAnsi="Book Antiqua"/>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4701B5"/>
    <w:multiLevelType w:val="hybridMultilevel"/>
    <w:tmpl w:val="4C4C4F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BA85E7D"/>
    <w:multiLevelType w:val="hybridMultilevel"/>
    <w:tmpl w:val="2B9AFA64"/>
    <w:lvl w:ilvl="0" w:tplc="0809000F">
      <w:start w:val="52"/>
      <w:numFmt w:val="decimal"/>
      <w:lvlText w:val="%1."/>
      <w:lvlJc w:val="left"/>
      <w:pPr>
        <w:ind w:left="720" w:hanging="360"/>
      </w:pPr>
      <w:rPr>
        <w:rFonts w:hint="default"/>
        <w:b w:val="0"/>
        <w:u w:val="none"/>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1016B88"/>
    <w:multiLevelType w:val="multilevel"/>
    <w:tmpl w:val="E76E0F5E"/>
    <w:lvl w:ilvl="0">
      <w:start w:val="1"/>
      <w:numFmt w:val="decimal"/>
      <w:lvlText w:val="%1."/>
      <w:lvlJc w:val="left"/>
      <w:pPr>
        <w:tabs>
          <w:tab w:val="num" w:pos="1080"/>
        </w:tabs>
        <w:ind w:left="1080" w:hanging="720"/>
      </w:pPr>
      <w:rPr>
        <w:b w:val="0"/>
        <w:i w:val="0"/>
      </w:rPr>
    </w:lvl>
    <w:lvl w:ilvl="1">
      <w:start w:val="1"/>
      <w:numFmt w:val="lowerLetter"/>
      <w:lvlText w:val="%2)"/>
      <w:lvlJc w:val="left"/>
      <w:pPr>
        <w:tabs>
          <w:tab w:val="num" w:pos="1440"/>
        </w:tabs>
        <w:ind w:left="1440" w:hanging="720"/>
      </w:pPr>
      <w:rPr>
        <w:b w:val="0"/>
      </w:rPr>
    </w:lvl>
    <w:lvl w:ilvl="2">
      <w:start w:val="1"/>
      <w:numFmt w:val="lowerRoman"/>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5F156CDD"/>
    <w:multiLevelType w:val="multilevel"/>
    <w:tmpl w:val="5F1C2DF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4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4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EE5802D9-90B8-4DC8-8FA4-E97C14E720D4}"/>
    <w:docVar w:name="dgnword-eventsink" w:val="430629248"/>
  </w:docVars>
  <w:rsids>
    <w:rsidRoot w:val="007F76DA"/>
    <w:rsid w:val="00005C01"/>
    <w:rsid w:val="000323B5"/>
    <w:rsid w:val="00082850"/>
    <w:rsid w:val="000C4EAE"/>
    <w:rsid w:val="00100432"/>
    <w:rsid w:val="001453BB"/>
    <w:rsid w:val="00156324"/>
    <w:rsid w:val="001817A3"/>
    <w:rsid w:val="002873A5"/>
    <w:rsid w:val="002E4461"/>
    <w:rsid w:val="003264BC"/>
    <w:rsid w:val="003643F7"/>
    <w:rsid w:val="003D0FB3"/>
    <w:rsid w:val="00442C40"/>
    <w:rsid w:val="0061114D"/>
    <w:rsid w:val="00694CE7"/>
    <w:rsid w:val="00706ACF"/>
    <w:rsid w:val="007F76DA"/>
    <w:rsid w:val="008651E8"/>
    <w:rsid w:val="00865A90"/>
    <w:rsid w:val="00891E9B"/>
    <w:rsid w:val="008A194E"/>
    <w:rsid w:val="008B51F8"/>
    <w:rsid w:val="00904932"/>
    <w:rsid w:val="00986943"/>
    <w:rsid w:val="00A222D5"/>
    <w:rsid w:val="00A87A0C"/>
    <w:rsid w:val="00AA2BA0"/>
    <w:rsid w:val="00B0434C"/>
    <w:rsid w:val="00B1658C"/>
    <w:rsid w:val="00B571A0"/>
    <w:rsid w:val="00BB4865"/>
    <w:rsid w:val="00BF475B"/>
    <w:rsid w:val="00C6736F"/>
    <w:rsid w:val="00CD6818"/>
    <w:rsid w:val="00E674A3"/>
    <w:rsid w:val="00EC411D"/>
    <w:rsid w:val="00ED6637"/>
    <w:rsid w:val="00F953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113B9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F76DA"/>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76DA"/>
    <w:pPr>
      <w:ind w:left="720"/>
      <w:contextualSpacing/>
    </w:pPr>
  </w:style>
  <w:style w:type="paragraph" w:styleId="NoSpacing">
    <w:name w:val="No Spacing"/>
    <w:uiPriority w:val="1"/>
    <w:qFormat/>
    <w:rsid w:val="000323B5"/>
    <w:pPr>
      <w:spacing w:after="0"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865A9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5A90"/>
    <w:rPr>
      <w:rFonts w:ascii="Segoe UI" w:eastAsia="Times New Roman" w:hAnsi="Segoe UI" w:cs="Segoe UI"/>
      <w:sz w:val="18"/>
      <w:szCs w:val="18"/>
      <w:lang w:eastAsia="en-GB"/>
    </w:rPr>
  </w:style>
  <w:style w:type="paragraph" w:styleId="Header">
    <w:name w:val="header"/>
    <w:basedOn w:val="Normal"/>
    <w:link w:val="HeaderChar"/>
    <w:uiPriority w:val="99"/>
    <w:unhideWhenUsed/>
    <w:rsid w:val="003D0FB3"/>
    <w:pPr>
      <w:tabs>
        <w:tab w:val="center" w:pos="4513"/>
        <w:tab w:val="right" w:pos="9026"/>
      </w:tabs>
    </w:pPr>
  </w:style>
  <w:style w:type="character" w:customStyle="1" w:styleId="HeaderChar">
    <w:name w:val="Header Char"/>
    <w:basedOn w:val="DefaultParagraphFont"/>
    <w:link w:val="Header"/>
    <w:uiPriority w:val="99"/>
    <w:rsid w:val="003D0FB3"/>
    <w:rPr>
      <w:rFonts w:ascii="Times New Roman" w:eastAsia="Times New Roman" w:hAnsi="Times New Roman" w:cs="Times New Roman"/>
      <w:sz w:val="24"/>
      <w:szCs w:val="24"/>
      <w:lang w:eastAsia="en-GB"/>
    </w:rPr>
  </w:style>
  <w:style w:type="paragraph" w:styleId="Footer">
    <w:name w:val="footer"/>
    <w:basedOn w:val="Normal"/>
    <w:link w:val="FooterChar"/>
    <w:uiPriority w:val="99"/>
    <w:unhideWhenUsed/>
    <w:rsid w:val="003D0FB3"/>
    <w:pPr>
      <w:tabs>
        <w:tab w:val="center" w:pos="4513"/>
        <w:tab w:val="right" w:pos="9026"/>
      </w:tabs>
    </w:pPr>
  </w:style>
  <w:style w:type="character" w:customStyle="1" w:styleId="FooterChar">
    <w:name w:val="Footer Char"/>
    <w:basedOn w:val="DefaultParagraphFont"/>
    <w:link w:val="Footer"/>
    <w:uiPriority w:val="99"/>
    <w:rsid w:val="003D0FB3"/>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898131">
      <w:bodyDiv w:val="1"/>
      <w:marLeft w:val="0"/>
      <w:marRight w:val="0"/>
      <w:marTop w:val="0"/>
      <w:marBottom w:val="0"/>
      <w:divBdr>
        <w:top w:val="none" w:sz="0" w:space="0" w:color="auto"/>
        <w:left w:val="none" w:sz="0" w:space="0" w:color="auto"/>
        <w:bottom w:val="none" w:sz="0" w:space="0" w:color="auto"/>
        <w:right w:val="none" w:sz="0" w:space="0" w:color="auto"/>
      </w:divBdr>
    </w:div>
    <w:div w:id="614217991">
      <w:bodyDiv w:val="1"/>
      <w:marLeft w:val="0"/>
      <w:marRight w:val="0"/>
      <w:marTop w:val="0"/>
      <w:marBottom w:val="0"/>
      <w:divBdr>
        <w:top w:val="none" w:sz="0" w:space="0" w:color="auto"/>
        <w:left w:val="none" w:sz="0" w:space="0" w:color="auto"/>
        <w:bottom w:val="none" w:sz="0" w:space="0" w:color="auto"/>
        <w:right w:val="none" w:sz="0" w:space="0" w:color="auto"/>
      </w:divBdr>
    </w:div>
    <w:div w:id="953483458">
      <w:bodyDiv w:val="1"/>
      <w:marLeft w:val="0"/>
      <w:marRight w:val="0"/>
      <w:marTop w:val="0"/>
      <w:marBottom w:val="0"/>
      <w:divBdr>
        <w:top w:val="none" w:sz="0" w:space="0" w:color="auto"/>
        <w:left w:val="none" w:sz="0" w:space="0" w:color="auto"/>
        <w:bottom w:val="none" w:sz="0" w:space="0" w:color="auto"/>
        <w:right w:val="none" w:sz="0" w:space="0" w:color="auto"/>
      </w:divBdr>
    </w:div>
    <w:div w:id="978263912">
      <w:bodyDiv w:val="1"/>
      <w:marLeft w:val="0"/>
      <w:marRight w:val="0"/>
      <w:marTop w:val="0"/>
      <w:marBottom w:val="0"/>
      <w:divBdr>
        <w:top w:val="none" w:sz="0" w:space="0" w:color="auto"/>
        <w:left w:val="none" w:sz="0" w:space="0" w:color="auto"/>
        <w:bottom w:val="none" w:sz="0" w:space="0" w:color="auto"/>
        <w:right w:val="none" w:sz="0" w:space="0" w:color="auto"/>
      </w:divBdr>
    </w:div>
    <w:div w:id="1017543921">
      <w:bodyDiv w:val="1"/>
      <w:marLeft w:val="0"/>
      <w:marRight w:val="0"/>
      <w:marTop w:val="0"/>
      <w:marBottom w:val="0"/>
      <w:divBdr>
        <w:top w:val="none" w:sz="0" w:space="0" w:color="auto"/>
        <w:left w:val="none" w:sz="0" w:space="0" w:color="auto"/>
        <w:bottom w:val="none" w:sz="0" w:space="0" w:color="auto"/>
        <w:right w:val="none" w:sz="0" w:space="0" w:color="auto"/>
      </w:divBdr>
    </w:div>
    <w:div w:id="1119228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1799</Words>
  <Characters>10255</Characters>
  <Application>Microsoft Office Word</Application>
  <DocSecurity>0</DocSecurity>
  <Lines>85</Lines>
  <Paragraphs>24</Paragraphs>
  <ScaleCrop>false</ScaleCrop>
  <Company/>
  <LinksUpToDate>false</LinksUpToDate>
  <CharactersWithSpaces>12030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2018-10-01T13:03:00Z</dcterms:created>
  <dcterms:modified xsi:type="dcterms:W3CDTF">2018-10-01T13:03:00Z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