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AE6DDE" w:rsidRDefault="00A53185" w:rsidP="000832EE">
      <w:pPr>
        <w:pStyle w:val="Subtitle"/>
        <w:spacing w:after="0"/>
        <w:jc w:val="center"/>
        <w:rPr>
          <w:rFonts w:ascii="Book Antiqua" w:hAnsi="Book Antiqua" w:cs="Arial"/>
          <w:color w:val="000000"/>
          <w:sz w:val="16"/>
          <w:szCs w:val="16"/>
        </w:rPr>
      </w:pPr>
      <w:r>
        <w:rPr>
          <w:noProof/>
        </w:rPr>
        <w:drawing>
          <wp:inline distT="0" distB="0" distL="0" distR="0" wp14:anchorId="092DEA82" wp14:editId="43B2AF34">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2630D9" w:rsidRDefault="003257CA" w:rsidP="000832EE">
      <w:pPr>
        <w:tabs>
          <w:tab w:val="right" w:pos="9720"/>
        </w:tabs>
        <w:ind w:right="-79"/>
        <w:rPr>
          <w:rFonts w:cs="Arial"/>
          <w:b/>
          <w:color w:val="000000"/>
        </w:rPr>
      </w:pPr>
      <w:r w:rsidRPr="002630D9">
        <w:rPr>
          <w:rFonts w:cs="Arial"/>
          <w:b/>
          <w:color w:val="000000"/>
        </w:rPr>
        <w:t xml:space="preserve">Upper Tribunal </w:t>
      </w:r>
    </w:p>
    <w:p w:rsidR="003257CA" w:rsidRDefault="003257CA" w:rsidP="000832EE">
      <w:pPr>
        <w:tabs>
          <w:tab w:val="right" w:pos="9720"/>
        </w:tabs>
        <w:ind w:right="-79"/>
        <w:rPr>
          <w:rFonts w:cs="Arial"/>
          <w:b/>
          <w:color w:val="000000"/>
        </w:rPr>
      </w:pPr>
      <w:r w:rsidRPr="002630D9">
        <w:rPr>
          <w:rFonts w:cs="Arial"/>
          <w:b/>
          <w:color w:val="000000"/>
        </w:rPr>
        <w:t>(</w:t>
      </w:r>
      <w:r w:rsidR="000832EE">
        <w:rPr>
          <w:rFonts w:cs="Arial"/>
          <w:b/>
          <w:color w:val="000000"/>
        </w:rPr>
        <w:t xml:space="preserve">Immigration and Asylum </w:t>
      </w:r>
      <w:proofErr w:type="gramStart"/>
      <w:r w:rsidR="000832EE">
        <w:rPr>
          <w:rFonts w:cs="Arial"/>
          <w:b/>
          <w:color w:val="000000"/>
        </w:rPr>
        <w:t xml:space="preserve">Chamber)   </w:t>
      </w:r>
      <w:proofErr w:type="gramEnd"/>
      <w:r w:rsidR="000832EE">
        <w:rPr>
          <w:rFonts w:cs="Arial"/>
          <w:b/>
          <w:color w:val="000000"/>
        </w:rPr>
        <w:t xml:space="preserve">                        </w:t>
      </w:r>
      <w:r>
        <w:rPr>
          <w:rFonts w:cs="Arial"/>
          <w:b/>
          <w:color w:val="000000"/>
        </w:rPr>
        <w:t xml:space="preserve">Appeal Number: </w:t>
      </w:r>
      <w:r w:rsidR="007B3613">
        <w:rPr>
          <w:rFonts w:cs="Arial"/>
          <w:b/>
          <w:color w:val="000000"/>
        </w:rPr>
        <w:t>HU/0</w:t>
      </w:r>
      <w:r w:rsidR="009B01E2">
        <w:rPr>
          <w:rFonts w:cs="Arial"/>
          <w:b/>
          <w:color w:val="000000"/>
        </w:rPr>
        <w:t>9251</w:t>
      </w:r>
      <w:r w:rsidR="007B3613">
        <w:rPr>
          <w:rFonts w:cs="Arial"/>
          <w:b/>
          <w:color w:val="000000"/>
        </w:rPr>
        <w:t>/201</w:t>
      </w:r>
      <w:r w:rsidR="009B01E2">
        <w:rPr>
          <w:rFonts w:cs="Arial"/>
          <w:b/>
          <w:color w:val="000000"/>
        </w:rPr>
        <w:t>7</w:t>
      </w:r>
    </w:p>
    <w:p w:rsidR="003257CA" w:rsidRPr="00FB66A9" w:rsidRDefault="00CB6CFF" w:rsidP="002630D9">
      <w:pPr>
        <w:tabs>
          <w:tab w:val="right" w:pos="9720"/>
        </w:tabs>
        <w:spacing w:line="360" w:lineRule="auto"/>
        <w:ind w:right="-82"/>
        <w:rPr>
          <w:rFonts w:cs="Arial"/>
          <w:b/>
          <w:i/>
          <w:color w:val="000000"/>
        </w:rPr>
      </w:pPr>
      <w:r>
        <w:rPr>
          <w:rFonts w:cs="Arial"/>
          <w:b/>
          <w:color w:val="000000"/>
        </w:rPr>
        <w:t xml:space="preserve">                                                                                                                                                                                                                                                                         </w:t>
      </w:r>
    </w:p>
    <w:p w:rsidR="003257CA" w:rsidRDefault="003257CA" w:rsidP="002630D9">
      <w:pPr>
        <w:spacing w:line="360" w:lineRule="auto"/>
        <w:jc w:val="center"/>
        <w:rPr>
          <w:rFonts w:cs="Arial"/>
          <w:b/>
          <w:color w:val="000000"/>
          <w:u w:val="single"/>
        </w:rPr>
      </w:pPr>
      <w:r w:rsidRPr="00217865">
        <w:rPr>
          <w:rFonts w:cs="Arial"/>
          <w:b/>
          <w:color w:val="000000"/>
          <w:u w:val="single"/>
        </w:rPr>
        <w:t>THE IMMIGRATION ACTS</w:t>
      </w:r>
    </w:p>
    <w:p w:rsidR="00E17673" w:rsidRPr="00217865" w:rsidRDefault="00E17673" w:rsidP="000832EE">
      <w:pPr>
        <w:jc w:val="center"/>
        <w:rPr>
          <w:rFonts w:cs="Arial"/>
          <w:b/>
          <w:color w:val="000000"/>
          <w:u w:val="single"/>
        </w:rPr>
      </w:pPr>
    </w:p>
    <w:tbl>
      <w:tblPr>
        <w:tblW w:w="0" w:type="auto"/>
        <w:tblLook w:val="01E0" w:firstRow="1" w:lastRow="1" w:firstColumn="1" w:lastColumn="1" w:noHBand="0" w:noVBand="0"/>
      </w:tblPr>
      <w:tblGrid>
        <w:gridCol w:w="5245"/>
        <w:gridCol w:w="4393"/>
      </w:tblGrid>
      <w:tr w:rsidR="003257CA" w:rsidRPr="002630D9" w:rsidTr="000832EE">
        <w:tc>
          <w:tcPr>
            <w:tcW w:w="5245" w:type="dxa"/>
          </w:tcPr>
          <w:p w:rsidR="003257CA" w:rsidRPr="002630D9" w:rsidRDefault="003257CA" w:rsidP="000832EE">
            <w:pPr>
              <w:jc w:val="both"/>
              <w:rPr>
                <w:rFonts w:cs="Arial"/>
                <w:b/>
              </w:rPr>
            </w:pPr>
            <w:r w:rsidRPr="002630D9">
              <w:rPr>
                <w:rFonts w:cs="Arial"/>
                <w:b/>
              </w:rPr>
              <w:t xml:space="preserve">Heard at </w:t>
            </w:r>
            <w:r w:rsidR="00E91270">
              <w:rPr>
                <w:rFonts w:cs="Arial"/>
                <w:b/>
              </w:rPr>
              <w:t xml:space="preserve">the Royal Courts of Justice </w:t>
            </w:r>
          </w:p>
        </w:tc>
        <w:tc>
          <w:tcPr>
            <w:tcW w:w="4393" w:type="dxa"/>
          </w:tcPr>
          <w:p w:rsidR="003257CA" w:rsidRPr="002630D9" w:rsidRDefault="003257CA" w:rsidP="000832EE">
            <w:pPr>
              <w:jc w:val="both"/>
              <w:rPr>
                <w:rFonts w:cs="Arial"/>
                <w:b/>
                <w:color w:val="000000"/>
              </w:rPr>
            </w:pPr>
            <w:r w:rsidRPr="002630D9">
              <w:rPr>
                <w:rFonts w:cs="Arial"/>
                <w:b/>
                <w:color w:val="000000"/>
              </w:rPr>
              <w:t>Decision &amp; Reasons Promulgated</w:t>
            </w:r>
          </w:p>
        </w:tc>
      </w:tr>
      <w:tr w:rsidR="003257CA" w:rsidRPr="002630D9" w:rsidTr="000832EE">
        <w:tc>
          <w:tcPr>
            <w:tcW w:w="5245" w:type="dxa"/>
          </w:tcPr>
          <w:p w:rsidR="003257CA" w:rsidRPr="002630D9" w:rsidRDefault="003257CA" w:rsidP="000832EE">
            <w:pPr>
              <w:jc w:val="both"/>
              <w:rPr>
                <w:rFonts w:cs="Arial"/>
                <w:b/>
              </w:rPr>
            </w:pPr>
            <w:r w:rsidRPr="002630D9">
              <w:rPr>
                <w:rFonts w:cs="Arial"/>
                <w:b/>
              </w:rPr>
              <w:t xml:space="preserve">On </w:t>
            </w:r>
            <w:r w:rsidR="00E91270">
              <w:rPr>
                <w:rFonts w:cs="Arial"/>
                <w:b/>
              </w:rPr>
              <w:t>6 August</w:t>
            </w:r>
            <w:r>
              <w:rPr>
                <w:rFonts w:cs="Arial"/>
                <w:b/>
              </w:rPr>
              <w:t xml:space="preserve"> 2018</w:t>
            </w:r>
          </w:p>
        </w:tc>
        <w:tc>
          <w:tcPr>
            <w:tcW w:w="4393" w:type="dxa"/>
          </w:tcPr>
          <w:p w:rsidR="003257CA" w:rsidRPr="002630D9" w:rsidRDefault="00E25A53" w:rsidP="000832EE">
            <w:pPr>
              <w:jc w:val="both"/>
              <w:rPr>
                <w:rFonts w:cs="Arial"/>
                <w:b/>
              </w:rPr>
            </w:pPr>
            <w:r>
              <w:rPr>
                <w:rFonts w:cs="Arial"/>
                <w:b/>
              </w:rPr>
              <w:t>On 13 August 2018</w:t>
            </w:r>
          </w:p>
        </w:tc>
      </w:tr>
      <w:tr w:rsidR="003257CA" w:rsidRPr="002630D9" w:rsidTr="000832EE">
        <w:tc>
          <w:tcPr>
            <w:tcW w:w="5245" w:type="dxa"/>
          </w:tcPr>
          <w:p w:rsidR="003257CA" w:rsidRPr="002630D9" w:rsidRDefault="003257CA" w:rsidP="000832EE">
            <w:pPr>
              <w:jc w:val="both"/>
              <w:rPr>
                <w:rFonts w:cs="Arial"/>
                <w:b/>
              </w:rPr>
            </w:pPr>
          </w:p>
        </w:tc>
        <w:tc>
          <w:tcPr>
            <w:tcW w:w="4393" w:type="dxa"/>
          </w:tcPr>
          <w:p w:rsidR="003257CA" w:rsidRPr="002630D9" w:rsidRDefault="003257CA" w:rsidP="000832EE">
            <w:pPr>
              <w:jc w:val="both"/>
              <w:rPr>
                <w:rFonts w:cs="Arial"/>
                <w:b/>
              </w:rPr>
            </w:pPr>
          </w:p>
        </w:tc>
      </w:tr>
    </w:tbl>
    <w:p w:rsidR="000832EE" w:rsidRDefault="000832EE" w:rsidP="002630D9">
      <w:pPr>
        <w:spacing w:line="360" w:lineRule="auto"/>
        <w:jc w:val="center"/>
        <w:rPr>
          <w:rFonts w:cs="Arial"/>
          <w:b/>
        </w:rPr>
      </w:pPr>
    </w:p>
    <w:p w:rsidR="003257CA" w:rsidRDefault="003257CA" w:rsidP="002630D9">
      <w:pPr>
        <w:spacing w:line="360" w:lineRule="auto"/>
        <w:jc w:val="center"/>
        <w:rPr>
          <w:rFonts w:cs="Arial"/>
          <w:b/>
        </w:rPr>
      </w:pPr>
      <w:r w:rsidRPr="002630D9">
        <w:rPr>
          <w:rFonts w:cs="Arial"/>
          <w:b/>
        </w:rPr>
        <w:t>Before</w:t>
      </w:r>
    </w:p>
    <w:p w:rsidR="000832EE" w:rsidRPr="002630D9" w:rsidRDefault="000832EE" w:rsidP="000832EE">
      <w:pPr>
        <w:jc w:val="center"/>
        <w:rPr>
          <w:rFonts w:cs="Arial"/>
          <w:b/>
        </w:rPr>
      </w:pPr>
    </w:p>
    <w:p w:rsidR="003257CA" w:rsidRPr="002630D9" w:rsidRDefault="003257CA" w:rsidP="000832EE">
      <w:pPr>
        <w:jc w:val="center"/>
        <w:rPr>
          <w:rFonts w:cs="Arial"/>
          <w:b/>
          <w:color w:val="000000"/>
        </w:rPr>
      </w:pPr>
      <w:r w:rsidRPr="002630D9">
        <w:rPr>
          <w:rFonts w:cs="Arial"/>
          <w:b/>
          <w:color w:val="000000"/>
        </w:rPr>
        <w:t>UPPER TRIBUNAL JUDGE FINCH</w:t>
      </w:r>
    </w:p>
    <w:p w:rsidR="00E17673" w:rsidRDefault="00E17673" w:rsidP="000832EE">
      <w:pPr>
        <w:jc w:val="center"/>
        <w:rPr>
          <w:rFonts w:cs="Arial"/>
          <w:b/>
        </w:rPr>
      </w:pPr>
    </w:p>
    <w:p w:rsidR="003257CA" w:rsidRDefault="003257CA" w:rsidP="000832EE">
      <w:pPr>
        <w:jc w:val="center"/>
        <w:rPr>
          <w:rFonts w:cs="Arial"/>
          <w:b/>
        </w:rPr>
      </w:pPr>
      <w:r w:rsidRPr="002630D9">
        <w:rPr>
          <w:rFonts w:cs="Arial"/>
          <w:b/>
        </w:rPr>
        <w:t>Between</w:t>
      </w:r>
    </w:p>
    <w:p w:rsidR="000832EE" w:rsidRDefault="000832EE" w:rsidP="000832EE">
      <w:pPr>
        <w:jc w:val="center"/>
        <w:rPr>
          <w:rFonts w:cs="Arial"/>
          <w:b/>
        </w:rPr>
      </w:pPr>
    </w:p>
    <w:p w:rsidR="00DD4868" w:rsidRDefault="00DD4868" w:rsidP="000832EE">
      <w:pPr>
        <w:jc w:val="center"/>
        <w:rPr>
          <w:rFonts w:cs="Arial"/>
          <w:b/>
        </w:rPr>
      </w:pPr>
      <w:r>
        <w:rPr>
          <w:rFonts w:cs="Arial"/>
          <w:b/>
        </w:rPr>
        <w:t xml:space="preserve">THE SECRETARY OF STATE FOR THE HOME DEPARTMENT </w:t>
      </w:r>
    </w:p>
    <w:p w:rsidR="00DD4868" w:rsidRPr="000832EE" w:rsidRDefault="00DD4868" w:rsidP="000832EE">
      <w:pPr>
        <w:jc w:val="center"/>
        <w:rPr>
          <w:rFonts w:cs="Arial"/>
          <w:u w:val="single"/>
        </w:rPr>
      </w:pPr>
      <w:r>
        <w:rPr>
          <w:rFonts w:cs="Arial"/>
          <w:b/>
        </w:rPr>
        <w:t xml:space="preserve">                                                                                                                                      </w:t>
      </w:r>
      <w:r w:rsidRPr="000832EE">
        <w:rPr>
          <w:rFonts w:cs="Arial"/>
          <w:u w:val="single"/>
        </w:rPr>
        <w:t xml:space="preserve">Appellant </w:t>
      </w:r>
    </w:p>
    <w:p w:rsidR="000832EE" w:rsidRDefault="000832EE" w:rsidP="002630D9">
      <w:pPr>
        <w:spacing w:line="360" w:lineRule="auto"/>
        <w:jc w:val="center"/>
        <w:rPr>
          <w:rFonts w:cs="Arial"/>
          <w:b/>
        </w:rPr>
      </w:pPr>
    </w:p>
    <w:p w:rsidR="00DD4868" w:rsidRDefault="000832EE" w:rsidP="002630D9">
      <w:pPr>
        <w:spacing w:line="360" w:lineRule="auto"/>
        <w:jc w:val="center"/>
        <w:rPr>
          <w:rFonts w:cs="Arial"/>
          <w:b/>
        </w:rPr>
      </w:pPr>
      <w:r>
        <w:rPr>
          <w:rFonts w:cs="Arial"/>
          <w:b/>
        </w:rPr>
        <w:t>a</w:t>
      </w:r>
      <w:r w:rsidR="00DD4868">
        <w:rPr>
          <w:rFonts w:cs="Arial"/>
          <w:b/>
        </w:rPr>
        <w:t>nd</w:t>
      </w:r>
    </w:p>
    <w:p w:rsidR="000832EE" w:rsidRDefault="000832EE" w:rsidP="000832EE">
      <w:pPr>
        <w:jc w:val="center"/>
        <w:rPr>
          <w:rFonts w:cs="Arial"/>
          <w:b/>
        </w:rPr>
      </w:pPr>
    </w:p>
    <w:p w:rsidR="007B3613" w:rsidRDefault="009B01E2" w:rsidP="002630D9">
      <w:pPr>
        <w:spacing w:line="360" w:lineRule="auto"/>
        <w:jc w:val="center"/>
        <w:rPr>
          <w:rFonts w:cs="Arial"/>
          <w:b/>
        </w:rPr>
      </w:pPr>
      <w:r>
        <w:rPr>
          <w:rFonts w:cs="Arial"/>
          <w:b/>
        </w:rPr>
        <w:t>DANOVAN BUCHANAN</w:t>
      </w:r>
    </w:p>
    <w:p w:rsidR="00DD4868" w:rsidRPr="000832EE" w:rsidRDefault="00DD4868" w:rsidP="002630D9">
      <w:pPr>
        <w:spacing w:line="360" w:lineRule="auto"/>
        <w:jc w:val="center"/>
        <w:rPr>
          <w:rFonts w:cs="Arial"/>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0832EE">
        <w:rPr>
          <w:rFonts w:cs="Arial"/>
        </w:rPr>
        <w:t xml:space="preserve">  </w:t>
      </w:r>
      <w:r w:rsidRPr="000832EE">
        <w:rPr>
          <w:rFonts w:cs="Arial"/>
          <w:u w:val="single"/>
        </w:rPr>
        <w:t xml:space="preserve">Respondent </w:t>
      </w:r>
    </w:p>
    <w:p w:rsidR="003257CA" w:rsidRPr="002630D9" w:rsidRDefault="003257C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rsidR="005D603D" w:rsidRDefault="003257CA" w:rsidP="005D603D">
      <w:pPr>
        <w:tabs>
          <w:tab w:val="left" w:pos="2520"/>
        </w:tabs>
        <w:spacing w:line="360" w:lineRule="auto"/>
        <w:rPr>
          <w:rFonts w:cs="Arial"/>
        </w:rPr>
      </w:pPr>
      <w:r w:rsidRPr="002630D9">
        <w:rPr>
          <w:rFonts w:cs="Arial"/>
        </w:rPr>
        <w:t>For the Appellant:</w:t>
      </w:r>
      <w:r w:rsidRPr="002630D9">
        <w:rPr>
          <w:rFonts w:cs="Arial"/>
        </w:rPr>
        <w:tab/>
      </w:r>
      <w:r>
        <w:rPr>
          <w:rFonts w:cs="Arial"/>
        </w:rPr>
        <w:tab/>
      </w:r>
      <w:r>
        <w:rPr>
          <w:rFonts w:cs="Arial"/>
        </w:rPr>
        <w:tab/>
      </w:r>
      <w:r w:rsidR="002C565F">
        <w:rPr>
          <w:rFonts w:cs="Arial"/>
        </w:rPr>
        <w:t>Mr. T. Melvin</w:t>
      </w:r>
      <w:r w:rsidR="00175141">
        <w:rPr>
          <w:rFonts w:cs="Arial"/>
        </w:rPr>
        <w:t>,</w:t>
      </w:r>
      <w:r w:rsidR="005D603D">
        <w:rPr>
          <w:rFonts w:cs="Arial"/>
        </w:rPr>
        <w:t xml:space="preserve"> Home Office Presenting Officer</w:t>
      </w:r>
    </w:p>
    <w:p w:rsidR="005D603D" w:rsidRPr="002630D9" w:rsidRDefault="003257CA" w:rsidP="005D603D">
      <w:pPr>
        <w:tabs>
          <w:tab w:val="left" w:pos="2520"/>
        </w:tabs>
        <w:spacing w:line="360" w:lineRule="auto"/>
        <w:rPr>
          <w:rFonts w:cs="Arial"/>
        </w:rPr>
      </w:pPr>
      <w:r w:rsidRPr="002630D9">
        <w:rPr>
          <w:rFonts w:cs="Arial"/>
        </w:rPr>
        <w:t>For the Respondent</w:t>
      </w:r>
      <w:r w:rsidR="005D603D">
        <w:rPr>
          <w:rFonts w:cs="Arial"/>
        </w:rPr>
        <w:t>s</w:t>
      </w:r>
      <w:r w:rsidRPr="002630D9">
        <w:rPr>
          <w:rFonts w:cs="Arial"/>
        </w:rPr>
        <w:t>:</w:t>
      </w:r>
      <w:r w:rsidRPr="002630D9">
        <w:rPr>
          <w:rFonts w:cs="Arial"/>
        </w:rPr>
        <w:tab/>
      </w:r>
      <w:r>
        <w:rPr>
          <w:rFonts w:cs="Arial"/>
        </w:rPr>
        <w:t xml:space="preserve">              </w:t>
      </w:r>
      <w:r w:rsidR="002C565F">
        <w:rPr>
          <w:rFonts w:cs="Arial"/>
        </w:rPr>
        <w:t xml:space="preserve">The Respondent did not appear and was not </w:t>
      </w:r>
      <w:r w:rsidR="009B01E2">
        <w:rPr>
          <w:rFonts w:cs="Arial"/>
        </w:rPr>
        <w:t xml:space="preserve">legally represented </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Pr="00303BAF" w:rsidRDefault="003257CA" w:rsidP="002630D9">
      <w:pPr>
        <w:spacing w:line="360" w:lineRule="auto"/>
        <w:jc w:val="both"/>
        <w:rPr>
          <w:rFonts w:cs="Arial"/>
          <w:b/>
        </w:rPr>
      </w:pPr>
      <w:r>
        <w:rPr>
          <w:rFonts w:cs="Arial"/>
          <w:b/>
        </w:rPr>
        <w:t xml:space="preserve">                                                                                                                                                                                                                                                                                                                                                                                                                                                            </w:t>
      </w:r>
    </w:p>
    <w:p w:rsidR="003257CA" w:rsidRDefault="003257CA" w:rsidP="002630D9">
      <w:pPr>
        <w:spacing w:line="360" w:lineRule="auto"/>
        <w:jc w:val="both"/>
        <w:rPr>
          <w:rFonts w:cs="Arial"/>
          <w:b/>
        </w:rPr>
      </w:pPr>
      <w:r w:rsidRPr="009D341B">
        <w:rPr>
          <w:rFonts w:cs="Arial"/>
          <w:b/>
        </w:rPr>
        <w:t xml:space="preserve">BACKGROUND TO THE APPEAL </w:t>
      </w:r>
    </w:p>
    <w:p w:rsidR="006356BD" w:rsidRDefault="006356BD" w:rsidP="002630D9">
      <w:pPr>
        <w:spacing w:line="360" w:lineRule="auto"/>
        <w:jc w:val="both"/>
        <w:rPr>
          <w:rFonts w:cs="Arial"/>
          <w:b/>
        </w:rPr>
      </w:pPr>
    </w:p>
    <w:p w:rsidR="003257CA"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6B2C82">
        <w:rPr>
          <w:rFonts w:cs="Arial"/>
        </w:rPr>
        <w:t>Respondent</w:t>
      </w:r>
      <w:r w:rsidR="008130CE">
        <w:rPr>
          <w:rFonts w:cs="Arial"/>
        </w:rPr>
        <w:t xml:space="preserve"> </w:t>
      </w:r>
      <w:r w:rsidR="007B3613">
        <w:rPr>
          <w:rFonts w:cs="Arial"/>
        </w:rPr>
        <w:t xml:space="preserve">is a national of </w:t>
      </w:r>
      <w:r w:rsidR="009B01E2">
        <w:rPr>
          <w:rFonts w:cs="Arial"/>
        </w:rPr>
        <w:t>Jamaica</w:t>
      </w:r>
      <w:r w:rsidR="007B3613">
        <w:rPr>
          <w:rFonts w:cs="Arial"/>
        </w:rPr>
        <w:t xml:space="preserve">. </w:t>
      </w:r>
      <w:r w:rsidR="009B01E2">
        <w:rPr>
          <w:rFonts w:cs="Arial"/>
        </w:rPr>
        <w:t xml:space="preserve">He first arrived in the United Kingdom, as a visitor, on 2 July 2002 and was granted indefinite leave to remain as a spouse on 9 October 2003. On 12 August 2016 he was convicted of importing over 22 kilos of a Class B drug, namely cannabis, into the United Kingdom from Jamaica and was given a sentence of 27 months imprisonment. </w:t>
      </w:r>
    </w:p>
    <w:p w:rsidR="003257CA" w:rsidRDefault="003257CA" w:rsidP="002630D9">
      <w:pPr>
        <w:spacing w:line="360" w:lineRule="auto"/>
        <w:ind w:left="567" w:hanging="567"/>
        <w:jc w:val="both"/>
        <w:rPr>
          <w:rFonts w:cs="Arial"/>
        </w:rPr>
      </w:pPr>
    </w:p>
    <w:p w:rsidR="003257CA" w:rsidRDefault="003257CA" w:rsidP="002630D9">
      <w:pPr>
        <w:spacing w:line="360" w:lineRule="auto"/>
        <w:ind w:left="567" w:hanging="567"/>
        <w:jc w:val="both"/>
        <w:rPr>
          <w:rFonts w:cs="Arial"/>
        </w:rPr>
      </w:pPr>
      <w:r>
        <w:rPr>
          <w:rFonts w:cs="Arial"/>
        </w:rPr>
        <w:lastRenderedPageBreak/>
        <w:t>2.</w:t>
      </w:r>
      <w:r>
        <w:rPr>
          <w:rFonts w:cs="Arial"/>
        </w:rPr>
        <w:tab/>
      </w:r>
      <w:r w:rsidR="009B01E2">
        <w:rPr>
          <w:rFonts w:cs="Arial"/>
        </w:rPr>
        <w:t xml:space="preserve">The </w:t>
      </w:r>
      <w:r w:rsidR="00042B9C">
        <w:rPr>
          <w:rFonts w:cs="Arial"/>
        </w:rPr>
        <w:t>Appellant</w:t>
      </w:r>
      <w:r w:rsidR="009B01E2">
        <w:rPr>
          <w:rFonts w:cs="Arial"/>
        </w:rPr>
        <w:t xml:space="preserve"> made a decision to deport him and the </w:t>
      </w:r>
      <w:r w:rsidR="00042B9C">
        <w:rPr>
          <w:rFonts w:cs="Arial"/>
        </w:rPr>
        <w:t xml:space="preserve">Respondent </w:t>
      </w:r>
      <w:r w:rsidR="009B01E2">
        <w:rPr>
          <w:rFonts w:cs="Arial"/>
        </w:rPr>
        <w:t xml:space="preserve">made a human rights claim, which was refused on 8 August 2017. </w:t>
      </w:r>
      <w:r w:rsidR="008130CE">
        <w:rPr>
          <w:rFonts w:cs="Arial"/>
        </w:rPr>
        <w:t xml:space="preserve"> </w:t>
      </w:r>
      <w:r w:rsidR="009B01E2">
        <w:rPr>
          <w:rFonts w:cs="Arial"/>
        </w:rPr>
        <w:t xml:space="preserve">His subsequent appeal was allowed by First-tier Tribunal Judge </w:t>
      </w:r>
      <w:proofErr w:type="spellStart"/>
      <w:r w:rsidR="009B01E2">
        <w:rPr>
          <w:rFonts w:cs="Arial"/>
        </w:rPr>
        <w:t>Adio</w:t>
      </w:r>
      <w:proofErr w:type="spellEnd"/>
      <w:r w:rsidR="009B01E2">
        <w:rPr>
          <w:rFonts w:cs="Arial"/>
        </w:rPr>
        <w:t xml:space="preserve"> in a decision promulgated on 15 February 2018. However, the Appellant appealed against this decision and Upper </w:t>
      </w:r>
      <w:r w:rsidR="008130CE">
        <w:rPr>
          <w:rFonts w:cs="Arial"/>
        </w:rPr>
        <w:t xml:space="preserve">Tribunal Judge </w:t>
      </w:r>
      <w:r w:rsidR="00042B9C">
        <w:rPr>
          <w:rFonts w:cs="Arial"/>
        </w:rPr>
        <w:t>Hanson</w:t>
      </w:r>
      <w:r w:rsidR="008130CE">
        <w:rPr>
          <w:rFonts w:cs="Arial"/>
        </w:rPr>
        <w:t xml:space="preserve"> granted h</w:t>
      </w:r>
      <w:r w:rsidR="00E63C44">
        <w:rPr>
          <w:rFonts w:cs="Arial"/>
        </w:rPr>
        <w:t>im</w:t>
      </w:r>
      <w:r w:rsidR="008130CE">
        <w:rPr>
          <w:rFonts w:cs="Arial"/>
        </w:rPr>
        <w:t xml:space="preserve"> permission to appeal on </w:t>
      </w:r>
      <w:r w:rsidR="00042B9C">
        <w:rPr>
          <w:rFonts w:cs="Arial"/>
        </w:rPr>
        <w:t>21 June</w:t>
      </w:r>
      <w:r w:rsidR="00E63C44">
        <w:rPr>
          <w:rFonts w:cs="Arial"/>
        </w:rPr>
        <w:t xml:space="preserve">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042B9C" w:rsidP="002630D9">
      <w:pPr>
        <w:spacing w:line="360" w:lineRule="auto"/>
        <w:ind w:left="567" w:hanging="567"/>
        <w:jc w:val="both"/>
        <w:rPr>
          <w:rFonts w:cs="Arial"/>
        </w:rPr>
      </w:pPr>
      <w:r>
        <w:rPr>
          <w:rFonts w:cs="Arial"/>
        </w:rPr>
        <w:t>3</w:t>
      </w:r>
      <w:r w:rsidR="003257CA">
        <w:rPr>
          <w:rFonts w:cs="Arial"/>
        </w:rPr>
        <w:t>.</w:t>
      </w:r>
      <w:r w:rsidR="003257CA">
        <w:rPr>
          <w:rFonts w:cs="Arial"/>
        </w:rPr>
        <w:tab/>
      </w:r>
      <w:r w:rsidR="002C565F">
        <w:rPr>
          <w:rFonts w:cs="Arial"/>
        </w:rPr>
        <w:t>The Respondent was not legally represented and did not attend the hearing. I heard this appeal last and my clerk had by that time called his name outside the court on a number of occasions without success. My file indicated that he had been properly served with notice of this hearing. Therefore, I found that it was in the interest of justice to continue with the appeal by the Secretary of State for the Home Department in his absence. Th</w:t>
      </w:r>
      <w:r w:rsidR="00DD4868">
        <w:rPr>
          <w:rFonts w:cs="Arial"/>
        </w:rPr>
        <w:t>e Home Office Presenting Office</w:t>
      </w:r>
      <w:r w:rsidR="002C565F">
        <w:rPr>
          <w:rFonts w:cs="Arial"/>
        </w:rPr>
        <w:t>r made short submissions in support of both sets of grounds of appea</w:t>
      </w:r>
      <w:r w:rsidR="00383BDD">
        <w:rPr>
          <w:rFonts w:cs="Arial"/>
        </w:rPr>
        <w:t>l</w:t>
      </w:r>
      <w:r w:rsidR="003257CA">
        <w:rPr>
          <w:rFonts w:cs="Arial"/>
        </w:rPr>
        <w:t xml:space="preserve"> and I have referred to the content of these submissions, where relevant, in my decision below.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5D603D" w:rsidRDefault="00042B9C" w:rsidP="002D56FD">
      <w:pPr>
        <w:spacing w:line="360" w:lineRule="auto"/>
        <w:ind w:left="567" w:hanging="567"/>
        <w:jc w:val="both"/>
        <w:rPr>
          <w:rFonts w:cs="Arial"/>
        </w:rPr>
      </w:pPr>
      <w:r>
        <w:rPr>
          <w:rFonts w:cs="Arial"/>
        </w:rPr>
        <w:t>4</w:t>
      </w:r>
      <w:r w:rsidR="006B2C82">
        <w:rPr>
          <w:rFonts w:cs="Arial"/>
        </w:rPr>
        <w:t>.</w:t>
      </w:r>
      <w:r w:rsidR="006B2C82">
        <w:rPr>
          <w:rFonts w:cs="Arial"/>
        </w:rPr>
        <w:tab/>
        <w:t xml:space="preserve">The Respondent was </w:t>
      </w:r>
      <w:r w:rsidR="0089553D">
        <w:rPr>
          <w:rFonts w:cs="Arial"/>
        </w:rPr>
        <w:t xml:space="preserve">sentenced to </w:t>
      </w:r>
      <w:r>
        <w:rPr>
          <w:rFonts w:cs="Arial"/>
        </w:rPr>
        <w:t>27</w:t>
      </w:r>
      <w:r w:rsidR="0089553D">
        <w:rPr>
          <w:rFonts w:cs="Arial"/>
        </w:rPr>
        <w:t xml:space="preserve"> months imprisonment and, therefore, he was subject to automatic deportation under section 32 of the UK Borders Act 2007.</w:t>
      </w:r>
      <w:r w:rsidR="006B2C82">
        <w:rPr>
          <w:rFonts w:cs="Arial"/>
        </w:rPr>
        <w:t xml:space="preserve"> </w:t>
      </w:r>
    </w:p>
    <w:p w:rsidR="005D603D" w:rsidRDefault="005D603D" w:rsidP="002D56FD">
      <w:pPr>
        <w:spacing w:line="360" w:lineRule="auto"/>
        <w:ind w:left="567" w:hanging="567"/>
        <w:jc w:val="both"/>
        <w:rPr>
          <w:rFonts w:cs="Arial"/>
        </w:rPr>
      </w:pPr>
    </w:p>
    <w:p w:rsidR="002D56FD" w:rsidRDefault="00042B9C" w:rsidP="002D56FD">
      <w:pPr>
        <w:spacing w:line="360" w:lineRule="auto"/>
        <w:ind w:left="567" w:hanging="567"/>
        <w:jc w:val="both"/>
        <w:rPr>
          <w:rFonts w:cs="Arial"/>
        </w:rPr>
      </w:pPr>
      <w:r>
        <w:rPr>
          <w:rFonts w:cs="Arial"/>
        </w:rPr>
        <w:t>5</w:t>
      </w:r>
      <w:r w:rsidR="005D603D">
        <w:rPr>
          <w:rFonts w:cs="Arial"/>
        </w:rPr>
        <w:t>.</w:t>
      </w:r>
      <w:r w:rsidR="005D603D">
        <w:rPr>
          <w:rFonts w:cs="Arial"/>
        </w:rPr>
        <w:tab/>
      </w:r>
      <w:r w:rsidR="0089553D">
        <w:rPr>
          <w:rFonts w:cs="Arial"/>
        </w:rPr>
        <w:t>Paragraph 398 of the Immigration Rules states that:</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t>“Where a person claims that their deportation would be contrary to the UK’s obligations under Article 8 of the Human Rights Convention, and</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t>(b) the deportation of the person from the UK is conducive to the public good and in the public interest because they have been convicted of an offence for which they have been sentenced to a period of imprisonment of less than 4 years but at least 18 months”.</w:t>
      </w:r>
    </w:p>
    <w:p w:rsidR="0089553D" w:rsidRDefault="0089553D" w:rsidP="002D56FD">
      <w:pPr>
        <w:spacing w:line="360" w:lineRule="auto"/>
        <w:ind w:left="567" w:hanging="567"/>
        <w:jc w:val="both"/>
        <w:rPr>
          <w:rFonts w:cs="Arial"/>
        </w:rPr>
      </w:pPr>
    </w:p>
    <w:p w:rsidR="0089553D" w:rsidRDefault="00042B9C" w:rsidP="002D56FD">
      <w:pPr>
        <w:spacing w:line="360" w:lineRule="auto"/>
        <w:ind w:left="567" w:hanging="567"/>
        <w:jc w:val="both"/>
        <w:rPr>
          <w:rFonts w:cs="Arial"/>
        </w:rPr>
      </w:pPr>
      <w:r>
        <w:rPr>
          <w:rFonts w:cs="Arial"/>
        </w:rPr>
        <w:t>6</w:t>
      </w:r>
      <w:r w:rsidR="0089553D">
        <w:rPr>
          <w:rFonts w:cs="Arial"/>
        </w:rPr>
        <w:t>.</w:t>
      </w:r>
      <w:r w:rsidR="0089553D">
        <w:rPr>
          <w:rFonts w:cs="Arial"/>
        </w:rPr>
        <w:tab/>
        <w:t>Paragraph 399 of the Immigration Rules states that:</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t>“This paragraph applies where paragraph 398(b)…applies if-</w:t>
      </w:r>
    </w:p>
    <w:p w:rsidR="0089553D" w:rsidRDefault="0089553D" w:rsidP="002D56FD">
      <w:pPr>
        <w:spacing w:line="360" w:lineRule="auto"/>
        <w:ind w:left="567" w:hanging="567"/>
        <w:jc w:val="both"/>
        <w:rPr>
          <w:rFonts w:cs="Arial"/>
        </w:rPr>
      </w:pPr>
      <w:r>
        <w:rPr>
          <w:rFonts w:cs="Arial"/>
        </w:rPr>
        <w:lastRenderedPageBreak/>
        <w:tab/>
        <w:t>(a) the person has a genuine and subsisting parental relationship with a child under the age of 18 who is in the UK, and</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t>(</w:t>
      </w:r>
      <w:proofErr w:type="spellStart"/>
      <w:r>
        <w:rPr>
          <w:rFonts w:cs="Arial"/>
        </w:rPr>
        <w:t>i</w:t>
      </w:r>
      <w:proofErr w:type="spellEnd"/>
      <w:r>
        <w:rPr>
          <w:rFonts w:cs="Arial"/>
        </w:rPr>
        <w:t xml:space="preserve">) </w:t>
      </w:r>
      <w:r>
        <w:rPr>
          <w:rFonts w:cs="Arial"/>
        </w:rPr>
        <w:tab/>
        <w:t>the child is a British citizen; or</w:t>
      </w:r>
    </w:p>
    <w:p w:rsidR="0089553D" w:rsidRDefault="0089553D" w:rsidP="002D56FD">
      <w:pPr>
        <w:spacing w:line="360" w:lineRule="auto"/>
        <w:ind w:left="567" w:hanging="567"/>
        <w:jc w:val="both"/>
        <w:rPr>
          <w:rFonts w:cs="Arial"/>
        </w:rPr>
      </w:pPr>
      <w:r>
        <w:rPr>
          <w:rFonts w:cs="Arial"/>
        </w:rPr>
        <w:tab/>
        <w:t>(ii)</w:t>
      </w:r>
      <w:r>
        <w:rPr>
          <w:rFonts w:cs="Arial"/>
        </w:rPr>
        <w:tab/>
        <w:t xml:space="preserve">the child has lived in the UK continuously for at least 7 years immediately preceding the </w:t>
      </w:r>
      <w:r w:rsidR="002C565F">
        <w:rPr>
          <w:rFonts w:cs="Arial"/>
        </w:rPr>
        <w:tab/>
      </w:r>
      <w:r>
        <w:rPr>
          <w:rFonts w:cs="Arial"/>
        </w:rPr>
        <w:t>date of the immigration decision; and in either case</w:t>
      </w:r>
    </w:p>
    <w:p w:rsidR="0089553D" w:rsidRDefault="0089553D" w:rsidP="002D56FD">
      <w:pPr>
        <w:spacing w:line="360" w:lineRule="auto"/>
        <w:ind w:left="567" w:hanging="567"/>
        <w:jc w:val="both"/>
        <w:rPr>
          <w:rFonts w:cs="Arial"/>
        </w:rPr>
      </w:pPr>
    </w:p>
    <w:p w:rsidR="0089553D" w:rsidRDefault="0089553D" w:rsidP="002D56FD">
      <w:pPr>
        <w:spacing w:line="360" w:lineRule="auto"/>
        <w:ind w:left="567" w:hanging="567"/>
        <w:jc w:val="both"/>
        <w:rPr>
          <w:rFonts w:cs="Arial"/>
        </w:rPr>
      </w:pPr>
      <w:r>
        <w:rPr>
          <w:rFonts w:cs="Arial"/>
        </w:rPr>
        <w:tab/>
      </w:r>
      <w:r>
        <w:rPr>
          <w:rFonts w:cs="Arial"/>
        </w:rPr>
        <w:tab/>
        <w:t>(a)</w:t>
      </w:r>
      <w:r>
        <w:rPr>
          <w:rFonts w:cs="Arial"/>
        </w:rPr>
        <w:tab/>
        <w:t xml:space="preserve">it would be unduly harsh for the child to remain in the UK without the person who </w:t>
      </w:r>
      <w:r w:rsidR="00DE5000">
        <w:rPr>
          <w:rFonts w:cs="Arial"/>
        </w:rPr>
        <w:tab/>
      </w:r>
      <w:r w:rsidR="00DE5000">
        <w:rPr>
          <w:rFonts w:cs="Arial"/>
        </w:rPr>
        <w:tab/>
      </w:r>
      <w:r>
        <w:rPr>
          <w:rFonts w:cs="Arial"/>
        </w:rPr>
        <w:t>is to be deported</w:t>
      </w:r>
      <w:r w:rsidR="00DE5000">
        <w:rPr>
          <w:rFonts w:cs="Arial"/>
        </w:rPr>
        <w:t>; or</w:t>
      </w:r>
    </w:p>
    <w:p w:rsidR="00DE5000" w:rsidRDefault="00DE5000" w:rsidP="002D56FD">
      <w:pPr>
        <w:spacing w:line="360" w:lineRule="auto"/>
        <w:ind w:left="567" w:hanging="567"/>
        <w:jc w:val="both"/>
        <w:rPr>
          <w:rFonts w:cs="Arial"/>
        </w:rPr>
      </w:pPr>
      <w:r>
        <w:rPr>
          <w:rFonts w:cs="Arial"/>
        </w:rPr>
        <w:tab/>
      </w:r>
      <w:r>
        <w:rPr>
          <w:rFonts w:cs="Arial"/>
        </w:rPr>
        <w:tab/>
        <w:t>(b)</w:t>
      </w:r>
      <w:r>
        <w:rPr>
          <w:rFonts w:cs="Arial"/>
        </w:rPr>
        <w:tab/>
        <w:t xml:space="preserve">it would be unduly harsh for the child to remain in the UK without the person who </w:t>
      </w:r>
      <w:r>
        <w:rPr>
          <w:rFonts w:cs="Arial"/>
        </w:rPr>
        <w:tab/>
      </w:r>
      <w:r>
        <w:rPr>
          <w:rFonts w:cs="Arial"/>
        </w:rPr>
        <w:tab/>
        <w:t>is to be deported…”</w:t>
      </w:r>
    </w:p>
    <w:p w:rsidR="00DE5000" w:rsidRDefault="00DE5000" w:rsidP="002D56FD">
      <w:pPr>
        <w:spacing w:line="360" w:lineRule="auto"/>
        <w:ind w:left="567" w:hanging="567"/>
        <w:jc w:val="both"/>
        <w:rPr>
          <w:rFonts w:cs="Arial"/>
        </w:rPr>
      </w:pPr>
    </w:p>
    <w:p w:rsidR="00DE5000" w:rsidRDefault="00042B9C" w:rsidP="002D56FD">
      <w:pPr>
        <w:spacing w:line="360" w:lineRule="auto"/>
        <w:ind w:left="567" w:hanging="567"/>
        <w:jc w:val="both"/>
        <w:rPr>
          <w:rFonts w:cs="Arial"/>
        </w:rPr>
      </w:pPr>
      <w:r>
        <w:rPr>
          <w:rFonts w:cs="Arial"/>
        </w:rPr>
        <w:t>7</w:t>
      </w:r>
      <w:r w:rsidR="00DE5000">
        <w:rPr>
          <w:rFonts w:cs="Arial"/>
        </w:rPr>
        <w:t>.</w:t>
      </w:r>
      <w:r w:rsidR="00DE5000">
        <w:rPr>
          <w:rFonts w:cs="Arial"/>
        </w:rPr>
        <w:tab/>
        <w:t>Section 117C of the Nationality, Immigration and Asylum Act 2002 states that:</w:t>
      </w:r>
    </w:p>
    <w:p w:rsidR="00DE5000" w:rsidRDefault="00DE5000" w:rsidP="002D56FD">
      <w:pPr>
        <w:spacing w:line="360" w:lineRule="auto"/>
        <w:ind w:left="567" w:hanging="567"/>
        <w:jc w:val="both"/>
        <w:rPr>
          <w:rFonts w:cs="Arial"/>
        </w:rPr>
      </w:pPr>
    </w:p>
    <w:p w:rsidR="00DE5000" w:rsidRDefault="00DE5000" w:rsidP="002D56FD">
      <w:pPr>
        <w:spacing w:line="360" w:lineRule="auto"/>
        <w:ind w:left="567" w:hanging="567"/>
        <w:jc w:val="both"/>
        <w:rPr>
          <w:rFonts w:cs="Arial"/>
        </w:rPr>
      </w:pPr>
      <w:r>
        <w:rPr>
          <w:rFonts w:cs="Arial"/>
        </w:rPr>
        <w:tab/>
        <w:t>(1)</w:t>
      </w:r>
      <w:r>
        <w:rPr>
          <w:rFonts w:cs="Arial"/>
        </w:rPr>
        <w:tab/>
        <w:t>The deportation of foreign criminals is in the public interest.</w:t>
      </w:r>
    </w:p>
    <w:p w:rsidR="00DE5000" w:rsidRDefault="00DE5000" w:rsidP="002D56FD">
      <w:pPr>
        <w:spacing w:line="360" w:lineRule="auto"/>
        <w:ind w:left="567" w:hanging="567"/>
        <w:jc w:val="both"/>
        <w:rPr>
          <w:rFonts w:cs="Arial"/>
        </w:rPr>
      </w:pPr>
      <w:r>
        <w:rPr>
          <w:rFonts w:cs="Arial"/>
        </w:rPr>
        <w:tab/>
        <w:t>(2)</w:t>
      </w:r>
      <w:r>
        <w:rPr>
          <w:rFonts w:cs="Arial"/>
        </w:rPr>
        <w:tab/>
        <w:t xml:space="preserve">The more serious the offence committed by a foreign criminal, the greater is the public </w:t>
      </w:r>
      <w:r>
        <w:rPr>
          <w:rFonts w:cs="Arial"/>
        </w:rPr>
        <w:tab/>
        <w:t>interest in deportation of the criminal.</w:t>
      </w:r>
    </w:p>
    <w:p w:rsidR="00DE5000" w:rsidRDefault="00DE5000" w:rsidP="002D56FD">
      <w:pPr>
        <w:spacing w:line="360" w:lineRule="auto"/>
        <w:ind w:left="567" w:hanging="567"/>
        <w:jc w:val="both"/>
        <w:rPr>
          <w:rFonts w:cs="Arial"/>
        </w:rPr>
      </w:pPr>
      <w:r>
        <w:rPr>
          <w:rFonts w:cs="Arial"/>
        </w:rPr>
        <w:tab/>
        <w:t>(3)</w:t>
      </w:r>
      <w:r>
        <w:rPr>
          <w:rFonts w:cs="Arial"/>
        </w:rPr>
        <w:tab/>
        <w:t xml:space="preserve">In the case of a foreign criminal (“C”) who has not been sentenced to a period of </w:t>
      </w:r>
      <w:r>
        <w:rPr>
          <w:rFonts w:cs="Arial"/>
        </w:rPr>
        <w:tab/>
        <w:t xml:space="preserve">imprisonment of four years or more, the public interest requires C’s deportation unless </w:t>
      </w:r>
      <w:r>
        <w:rPr>
          <w:rFonts w:cs="Arial"/>
        </w:rPr>
        <w:tab/>
        <w:t>Exception 1 or Exception 2 applies.</w:t>
      </w:r>
    </w:p>
    <w:p w:rsidR="00DE5000" w:rsidRDefault="00DE5000" w:rsidP="002D56FD">
      <w:pPr>
        <w:spacing w:line="360" w:lineRule="auto"/>
        <w:ind w:left="567" w:hanging="567"/>
        <w:jc w:val="both"/>
        <w:rPr>
          <w:rFonts w:cs="Arial"/>
        </w:rPr>
      </w:pPr>
      <w:r>
        <w:rPr>
          <w:rFonts w:cs="Arial"/>
        </w:rPr>
        <w:tab/>
        <w:t>…</w:t>
      </w:r>
    </w:p>
    <w:p w:rsidR="00DE5000" w:rsidRDefault="00DE5000" w:rsidP="002D56FD">
      <w:pPr>
        <w:spacing w:line="360" w:lineRule="auto"/>
        <w:ind w:left="567" w:hanging="567"/>
        <w:jc w:val="both"/>
        <w:rPr>
          <w:rFonts w:cs="Arial"/>
        </w:rPr>
      </w:pPr>
      <w:r>
        <w:rPr>
          <w:rFonts w:cs="Arial"/>
        </w:rPr>
        <w:tab/>
        <w:t>(5)</w:t>
      </w:r>
      <w:r>
        <w:rPr>
          <w:rFonts w:cs="Arial"/>
        </w:rPr>
        <w:tab/>
        <w:t xml:space="preserve">Exception 2 applies where C has a genuine and subsisting relationship with a qualifying partner, or a genuine and subsisting parental relationship with a qualifying child, and the effect of C’s deportation </w:t>
      </w:r>
      <w:r w:rsidR="00B23D2D">
        <w:rPr>
          <w:rFonts w:cs="Arial"/>
        </w:rPr>
        <w:t xml:space="preserve">on the partner or the child would be unduly harsh”.                                   </w:t>
      </w:r>
    </w:p>
    <w:p w:rsidR="00B23D2D" w:rsidRDefault="00B23D2D" w:rsidP="002D56FD">
      <w:pPr>
        <w:spacing w:line="360" w:lineRule="auto"/>
        <w:ind w:left="567" w:hanging="567"/>
        <w:jc w:val="both"/>
        <w:rPr>
          <w:rFonts w:cs="Arial"/>
        </w:rPr>
      </w:pPr>
    </w:p>
    <w:p w:rsidR="00B23D2D" w:rsidRDefault="00042B9C" w:rsidP="002D56FD">
      <w:pPr>
        <w:spacing w:line="360" w:lineRule="auto"/>
        <w:ind w:left="567" w:hanging="567"/>
        <w:jc w:val="both"/>
        <w:rPr>
          <w:rFonts w:cs="Arial"/>
        </w:rPr>
      </w:pPr>
      <w:r>
        <w:rPr>
          <w:rFonts w:cs="Arial"/>
        </w:rPr>
        <w:t>8</w:t>
      </w:r>
      <w:r w:rsidR="00B23D2D">
        <w:rPr>
          <w:rFonts w:cs="Arial"/>
        </w:rPr>
        <w:t>.</w:t>
      </w:r>
      <w:r w:rsidR="00B23D2D">
        <w:rPr>
          <w:rFonts w:cs="Arial"/>
        </w:rPr>
        <w:tab/>
        <w:t xml:space="preserve">First-tier Tribunal Judge </w:t>
      </w:r>
      <w:proofErr w:type="spellStart"/>
      <w:r>
        <w:rPr>
          <w:rFonts w:cs="Arial"/>
        </w:rPr>
        <w:t>Adio</w:t>
      </w:r>
      <w:proofErr w:type="spellEnd"/>
      <w:r w:rsidR="00B23D2D">
        <w:rPr>
          <w:rFonts w:cs="Arial"/>
        </w:rPr>
        <w:t xml:space="preserve"> found in paragraph</w:t>
      </w:r>
      <w:r>
        <w:rPr>
          <w:rFonts w:cs="Arial"/>
        </w:rPr>
        <w:t xml:space="preserve"> 51</w:t>
      </w:r>
      <w:r w:rsidR="00B23D2D">
        <w:rPr>
          <w:rFonts w:cs="Arial"/>
        </w:rPr>
        <w:t xml:space="preserve"> of h</w:t>
      </w:r>
      <w:r>
        <w:rPr>
          <w:rFonts w:cs="Arial"/>
        </w:rPr>
        <w:t>is</w:t>
      </w:r>
      <w:r w:rsidR="00B23D2D">
        <w:rPr>
          <w:rFonts w:cs="Arial"/>
        </w:rPr>
        <w:t xml:space="preserve"> decision that it would be unduly harsh for </w:t>
      </w:r>
      <w:r w:rsidR="002C565F">
        <w:rPr>
          <w:rFonts w:cs="Arial"/>
        </w:rPr>
        <w:t>the Respondent’s</w:t>
      </w:r>
      <w:r w:rsidR="00B23D2D">
        <w:rPr>
          <w:rFonts w:cs="Arial"/>
        </w:rPr>
        <w:t xml:space="preserve"> </w:t>
      </w:r>
      <w:r>
        <w:rPr>
          <w:rFonts w:cs="Arial"/>
        </w:rPr>
        <w:t xml:space="preserve">twin sons to </w:t>
      </w:r>
      <w:r w:rsidR="00B23D2D">
        <w:rPr>
          <w:rFonts w:cs="Arial"/>
        </w:rPr>
        <w:t>remain in the United Kingdom without</w:t>
      </w:r>
      <w:r>
        <w:rPr>
          <w:rFonts w:cs="Arial"/>
        </w:rPr>
        <w:t xml:space="preserve"> him.  He went on to explain that this was “not so much because of the absence of the Appellant by itself but more because of the support he gives to their mother and the consequent losses to them and the family as a whole…which would follow the Appellant’s deportation”.</w:t>
      </w:r>
      <w:r w:rsidR="00B23D2D">
        <w:rPr>
          <w:rFonts w:cs="Arial"/>
        </w:rPr>
        <w:t xml:space="preserve"> </w:t>
      </w:r>
      <w:r>
        <w:rPr>
          <w:rFonts w:cs="Arial"/>
        </w:rPr>
        <w:t xml:space="preserve">This was based on his finding in paragraph 49 that the Appellant “plays an active and positive role in his boys lives and his support enables their mother to hold down a number of jobs with the advantages that higher earnings bring and which will be lost without his help”. </w:t>
      </w:r>
    </w:p>
    <w:p w:rsidR="00042B9C" w:rsidRDefault="00042B9C" w:rsidP="002D56FD">
      <w:pPr>
        <w:spacing w:line="360" w:lineRule="auto"/>
        <w:ind w:left="567" w:hanging="567"/>
        <w:jc w:val="both"/>
        <w:rPr>
          <w:rFonts w:cs="Arial"/>
        </w:rPr>
      </w:pPr>
    </w:p>
    <w:p w:rsidR="00042B9C" w:rsidRDefault="00042B9C" w:rsidP="002D56FD">
      <w:pPr>
        <w:spacing w:line="360" w:lineRule="auto"/>
        <w:ind w:left="567" w:hanging="567"/>
        <w:jc w:val="both"/>
        <w:rPr>
          <w:rFonts w:cs="Arial"/>
        </w:rPr>
      </w:pPr>
      <w:r>
        <w:rPr>
          <w:rFonts w:cs="Arial"/>
        </w:rPr>
        <w:lastRenderedPageBreak/>
        <w:t>9.</w:t>
      </w:r>
      <w:r>
        <w:rPr>
          <w:rFonts w:cs="Arial"/>
        </w:rPr>
        <w:tab/>
        <w:t>When considering whether deportation would be unduly harsh, the First-tier Tribunal Judge correctly took into account the Appellant’s offence and the public interes</w:t>
      </w:r>
      <w:r w:rsidR="006356BD">
        <w:rPr>
          <w:rFonts w:cs="Arial"/>
        </w:rPr>
        <w:t xml:space="preserve">t in his deportation as a serious criminal. He </w:t>
      </w:r>
      <w:r w:rsidR="002C565F">
        <w:rPr>
          <w:rFonts w:cs="Arial"/>
        </w:rPr>
        <w:t xml:space="preserve">did </w:t>
      </w:r>
      <w:r w:rsidR="006356BD">
        <w:rPr>
          <w:rFonts w:cs="Arial"/>
        </w:rPr>
        <w:t xml:space="preserve">note that what is unduly harsh depends on the seriousness of the offence and that there were no aggravating features connected with his offence and that his risk of re-offending was low. When passing sentence, Ms Recorder </w:t>
      </w:r>
      <w:proofErr w:type="spellStart"/>
      <w:r w:rsidR="006356BD">
        <w:rPr>
          <w:rFonts w:cs="Arial"/>
        </w:rPr>
        <w:t>Sjolin</w:t>
      </w:r>
      <w:proofErr w:type="spellEnd"/>
      <w:r w:rsidR="006356BD">
        <w:rPr>
          <w:rFonts w:cs="Arial"/>
        </w:rPr>
        <w:t xml:space="preserve"> had accepted that the Appellant was not involved in the planning of the drug importation and that he was not going to derive a direct profit from the sale of the drugs.  Therefore, he had performed relatively limited functions under direction.</w:t>
      </w:r>
    </w:p>
    <w:p w:rsidR="00B23D2D" w:rsidRDefault="00B23D2D" w:rsidP="002D56FD">
      <w:pPr>
        <w:spacing w:line="360" w:lineRule="auto"/>
        <w:ind w:left="567" w:hanging="567"/>
        <w:jc w:val="both"/>
        <w:rPr>
          <w:rFonts w:cs="Arial"/>
        </w:rPr>
      </w:pPr>
    </w:p>
    <w:p w:rsidR="00727FFD" w:rsidRDefault="00B23D2D" w:rsidP="00727FFD">
      <w:pPr>
        <w:spacing w:line="360" w:lineRule="auto"/>
        <w:ind w:left="567" w:hanging="567"/>
        <w:jc w:val="both"/>
        <w:rPr>
          <w:rFonts w:cs="Arial"/>
        </w:rPr>
      </w:pPr>
      <w:r>
        <w:rPr>
          <w:rFonts w:cs="Arial"/>
        </w:rPr>
        <w:t>10.</w:t>
      </w:r>
      <w:r>
        <w:rPr>
          <w:rFonts w:cs="Arial"/>
        </w:rPr>
        <w:tab/>
      </w:r>
      <w:r w:rsidR="001C4EB3">
        <w:rPr>
          <w:rFonts w:cs="Arial"/>
        </w:rPr>
        <w:t xml:space="preserve"> </w:t>
      </w:r>
      <w:r w:rsidR="006356BD">
        <w:rPr>
          <w:rFonts w:cs="Arial"/>
        </w:rPr>
        <w:t xml:space="preserve">I have also taken into account that </w:t>
      </w:r>
      <w:r w:rsidR="00727FFD">
        <w:rPr>
          <w:rFonts w:cs="Arial"/>
        </w:rPr>
        <w:t xml:space="preserve">paragraph 26 of </w:t>
      </w:r>
      <w:r w:rsidR="00727FFD">
        <w:rPr>
          <w:rFonts w:cs="Arial"/>
          <w:i/>
        </w:rPr>
        <w:t xml:space="preserve">MM (Uganda) v Secretary of State for the Home Department </w:t>
      </w:r>
      <w:r w:rsidR="00727FFD">
        <w:rPr>
          <w:rFonts w:cs="Arial"/>
        </w:rPr>
        <w:t xml:space="preserve">[2016] EWCA </w:t>
      </w:r>
      <w:proofErr w:type="spellStart"/>
      <w:r w:rsidR="00727FFD">
        <w:rPr>
          <w:rFonts w:cs="Arial"/>
        </w:rPr>
        <w:t>Civ</w:t>
      </w:r>
      <w:proofErr w:type="spellEnd"/>
      <w:r w:rsidR="00727FFD">
        <w:rPr>
          <w:rFonts w:cs="Arial"/>
        </w:rPr>
        <w:t xml:space="preserve"> 450 states that:</w:t>
      </w:r>
    </w:p>
    <w:p w:rsidR="00727FFD" w:rsidRDefault="00727FFD" w:rsidP="00727FFD">
      <w:pPr>
        <w:spacing w:line="360" w:lineRule="auto"/>
        <w:ind w:left="567" w:hanging="567"/>
        <w:jc w:val="both"/>
        <w:rPr>
          <w:rFonts w:cs="Arial"/>
        </w:rPr>
      </w:pPr>
    </w:p>
    <w:p w:rsidR="00727FFD" w:rsidRDefault="00727FFD" w:rsidP="00727FFD">
      <w:pPr>
        <w:spacing w:line="360" w:lineRule="auto"/>
        <w:ind w:left="567" w:hanging="567"/>
        <w:jc w:val="both"/>
        <w:rPr>
          <w:rFonts w:cs="Arial"/>
        </w:rPr>
      </w:pPr>
      <w:r>
        <w:rPr>
          <w:rFonts w:cs="Arial"/>
        </w:rPr>
        <w:tab/>
        <w:t>“The expression “unduly harsh” in section 117</w:t>
      </w:r>
      <w:proofErr w:type="gramStart"/>
      <w:r>
        <w:rPr>
          <w:rFonts w:cs="Arial"/>
        </w:rPr>
        <w:t>C(</w:t>
      </w:r>
      <w:proofErr w:type="gramEnd"/>
      <w:r>
        <w:rPr>
          <w:rFonts w:cs="Arial"/>
        </w:rPr>
        <w:t>5) and Rules 399(a) and (b) requires regard to be had to all the circumstances including the criminal’s immigration and criminal history”.</w:t>
      </w:r>
    </w:p>
    <w:p w:rsidR="00727FFD" w:rsidRDefault="00727FFD" w:rsidP="00727FFD">
      <w:pPr>
        <w:spacing w:line="360" w:lineRule="auto"/>
        <w:ind w:left="567" w:hanging="567"/>
        <w:jc w:val="both"/>
        <w:rPr>
          <w:rFonts w:cs="Arial"/>
        </w:rPr>
      </w:pPr>
    </w:p>
    <w:p w:rsidR="00727FFD" w:rsidRDefault="00727FFD" w:rsidP="006356BD">
      <w:pPr>
        <w:spacing w:line="360" w:lineRule="auto"/>
        <w:ind w:left="567" w:hanging="567"/>
        <w:jc w:val="both"/>
        <w:rPr>
          <w:rFonts w:cs="Arial"/>
        </w:rPr>
      </w:pPr>
      <w:r>
        <w:rPr>
          <w:rFonts w:cs="Arial"/>
        </w:rPr>
        <w:t>1</w:t>
      </w:r>
      <w:r w:rsidR="006356BD">
        <w:rPr>
          <w:rFonts w:cs="Arial"/>
        </w:rPr>
        <w:t>1</w:t>
      </w:r>
      <w:r>
        <w:rPr>
          <w:rFonts w:cs="Arial"/>
        </w:rPr>
        <w:t>.</w:t>
      </w:r>
      <w:r>
        <w:rPr>
          <w:rFonts w:cs="Arial"/>
        </w:rPr>
        <w:tab/>
      </w:r>
      <w:r w:rsidR="006356BD">
        <w:rPr>
          <w:rFonts w:cs="Arial"/>
        </w:rPr>
        <w:t xml:space="preserve">In paragraph 49 of his decision the First-tier Tribunal Judge gave weight to the lengthy lawful period of leave that the Appellant had enjoyed here; from his arrival in 2002 until his leave was </w:t>
      </w:r>
      <w:r w:rsidR="004964CB">
        <w:rPr>
          <w:rFonts w:cs="Arial"/>
        </w:rPr>
        <w:t>invalidated</w:t>
      </w:r>
      <w:r w:rsidR="006356BD">
        <w:rPr>
          <w:rFonts w:cs="Arial"/>
        </w:rPr>
        <w:t xml:space="preserve"> by the making of a deportation order</w:t>
      </w:r>
      <w:r w:rsidR="004964CB">
        <w:rPr>
          <w:rFonts w:cs="Arial"/>
        </w:rPr>
        <w:t xml:space="preserve"> on 2 February 2017.</w:t>
      </w:r>
      <w:r w:rsidR="006356BD">
        <w:rPr>
          <w:rFonts w:cs="Arial"/>
        </w:rPr>
        <w:t xml:space="preserve"> </w:t>
      </w:r>
    </w:p>
    <w:p w:rsidR="004964CB" w:rsidRDefault="004964CB" w:rsidP="006356BD">
      <w:pPr>
        <w:spacing w:line="360" w:lineRule="auto"/>
        <w:ind w:left="567" w:hanging="567"/>
        <w:jc w:val="both"/>
        <w:rPr>
          <w:rFonts w:cs="Arial"/>
        </w:rPr>
      </w:pPr>
    </w:p>
    <w:p w:rsidR="004964CB" w:rsidRDefault="004964CB" w:rsidP="006356BD">
      <w:pPr>
        <w:spacing w:line="360" w:lineRule="auto"/>
        <w:ind w:left="567" w:hanging="567"/>
        <w:jc w:val="both"/>
        <w:rPr>
          <w:rFonts w:cs="Arial"/>
        </w:rPr>
      </w:pPr>
      <w:r>
        <w:rPr>
          <w:rFonts w:cs="Arial"/>
        </w:rPr>
        <w:t>12.</w:t>
      </w:r>
      <w:r w:rsidR="001A7C07">
        <w:rPr>
          <w:rFonts w:cs="Arial"/>
        </w:rPr>
        <w:tab/>
        <w:t xml:space="preserve">The First-tier Tribunal Judge also gave due weight to the length and seriousness of the Appellant’s criminal offence. </w:t>
      </w:r>
      <w:r w:rsidR="00AB3807">
        <w:rPr>
          <w:rFonts w:cs="Arial"/>
        </w:rPr>
        <w:t xml:space="preserve">Although he did not remind himself of the particular harm to the public which arises from the importation of a large quantity of prohibited drugs. </w:t>
      </w:r>
    </w:p>
    <w:p w:rsidR="004964CB" w:rsidRDefault="004964CB" w:rsidP="006356BD">
      <w:pPr>
        <w:spacing w:line="360" w:lineRule="auto"/>
        <w:ind w:left="567" w:hanging="567"/>
        <w:jc w:val="both"/>
        <w:rPr>
          <w:rFonts w:cs="Arial"/>
        </w:rPr>
      </w:pPr>
    </w:p>
    <w:p w:rsidR="00B45945" w:rsidRDefault="004964CB" w:rsidP="002D56FD">
      <w:pPr>
        <w:spacing w:line="360" w:lineRule="auto"/>
        <w:ind w:left="567" w:hanging="567"/>
        <w:jc w:val="both"/>
        <w:rPr>
          <w:rFonts w:cs="Arial"/>
        </w:rPr>
      </w:pPr>
      <w:r>
        <w:rPr>
          <w:rFonts w:cs="Arial"/>
        </w:rPr>
        <w:t>13.</w:t>
      </w:r>
      <w:r>
        <w:rPr>
          <w:rFonts w:cs="Arial"/>
        </w:rPr>
        <w:tab/>
        <w:t xml:space="preserve">However, when reaching a decision that the Appellant’s deportation would be unduly harsh the First-tier Tribunal Judge failed to </w:t>
      </w:r>
      <w:r w:rsidR="00AB3807">
        <w:rPr>
          <w:rFonts w:cs="Arial"/>
        </w:rPr>
        <w:t xml:space="preserve">apply </w:t>
      </w:r>
      <w:r w:rsidR="00B45945">
        <w:rPr>
          <w:rFonts w:cs="Arial"/>
        </w:rPr>
        <w:t>th</w:t>
      </w:r>
      <w:r>
        <w:rPr>
          <w:rFonts w:cs="Arial"/>
        </w:rPr>
        <w:t>e</w:t>
      </w:r>
      <w:r w:rsidR="00B45945">
        <w:rPr>
          <w:rFonts w:cs="Arial"/>
        </w:rPr>
        <w:t xml:space="preserve"> test which was formulated in </w:t>
      </w:r>
      <w:r w:rsidR="00B45945">
        <w:rPr>
          <w:rFonts w:cs="Arial"/>
          <w:i/>
        </w:rPr>
        <w:t>MAB</w:t>
      </w:r>
      <w:r w:rsidR="001A7C07">
        <w:rPr>
          <w:rFonts w:cs="Arial"/>
          <w:i/>
        </w:rPr>
        <w:t xml:space="preserve"> (para 399, “unduly harsh”) USA </w:t>
      </w:r>
      <w:r w:rsidR="001A7C07">
        <w:rPr>
          <w:rFonts w:cs="Arial"/>
        </w:rPr>
        <w:t>{2015] UKUT 00435 (IAC)</w:t>
      </w:r>
      <w:r w:rsidR="00B45945">
        <w:rPr>
          <w:rFonts w:cs="Arial"/>
          <w:i/>
        </w:rPr>
        <w:t xml:space="preserve"> </w:t>
      </w:r>
      <w:r w:rsidR="00B45945">
        <w:rPr>
          <w:rFonts w:cs="Arial"/>
        </w:rPr>
        <w:t>and followed in</w:t>
      </w:r>
      <w:r w:rsidR="001A7C07">
        <w:rPr>
          <w:rFonts w:cs="Arial"/>
        </w:rPr>
        <w:t xml:space="preserve"> paragraph 26 of </w:t>
      </w:r>
      <w:r w:rsidR="00B45945">
        <w:rPr>
          <w:rFonts w:cs="Arial"/>
          <w:i/>
        </w:rPr>
        <w:t>KMO</w:t>
      </w:r>
      <w:r w:rsidR="001A7C07">
        <w:rPr>
          <w:rFonts w:cs="Arial"/>
          <w:i/>
        </w:rPr>
        <w:t xml:space="preserve"> (section 117 – unduly harsh) Nigeria </w:t>
      </w:r>
      <w:r w:rsidR="001A7C07">
        <w:rPr>
          <w:rFonts w:cs="Arial"/>
        </w:rPr>
        <w:t>[2015] UKUT 00543 (IAC)</w:t>
      </w:r>
      <w:r w:rsidR="001A7C07">
        <w:rPr>
          <w:rFonts w:cs="Arial"/>
          <w:i/>
        </w:rPr>
        <w:t>,</w:t>
      </w:r>
      <w:r w:rsidR="001A7C07">
        <w:rPr>
          <w:rFonts w:cs="Arial"/>
        </w:rPr>
        <w:t xml:space="preserve"> which stated that:</w:t>
      </w:r>
    </w:p>
    <w:p w:rsidR="001A7C07" w:rsidRDefault="001A7C07" w:rsidP="002D56FD">
      <w:pPr>
        <w:spacing w:line="360" w:lineRule="auto"/>
        <w:ind w:left="567" w:hanging="567"/>
        <w:jc w:val="both"/>
        <w:rPr>
          <w:rFonts w:cs="Arial"/>
        </w:rPr>
      </w:pPr>
    </w:p>
    <w:p w:rsidR="001A7C07" w:rsidRDefault="001A7C07" w:rsidP="001A7C07">
      <w:pPr>
        <w:spacing w:after="160" w:line="360" w:lineRule="auto"/>
        <w:ind w:left="720"/>
        <w:contextualSpacing/>
        <w:jc w:val="both"/>
        <w:rPr>
          <w:rFonts w:eastAsia="Calibri" w:cs="Arial"/>
          <w:lang w:eastAsia="en-US"/>
        </w:rPr>
      </w:pPr>
      <w:r w:rsidRPr="001A7C07">
        <w:rPr>
          <w:rFonts w:cs="Arial"/>
        </w:rPr>
        <w:t>“</w:t>
      </w:r>
      <w:r w:rsidRPr="001A7C07">
        <w:rPr>
          <w:rFonts w:eastAsia="Calibri" w:cs="Arial"/>
          <w:lang w:eastAsia="en-US"/>
        </w:rPr>
        <w:t xml:space="preserve">Although, for these reasons, I respectfully depart from the approach advocated by the Tribunal in </w:t>
      </w:r>
      <w:r w:rsidRPr="001A7C07">
        <w:rPr>
          <w:rFonts w:eastAsia="Calibri" w:cs="Arial"/>
          <w:i/>
          <w:lang w:eastAsia="en-US"/>
        </w:rPr>
        <w:t>MAB</w:t>
      </w:r>
      <w:r w:rsidRPr="001A7C07">
        <w:rPr>
          <w:rFonts w:eastAsia="Calibri" w:cs="Arial"/>
          <w:lang w:eastAsia="en-US"/>
        </w:rPr>
        <w:t xml:space="preserve"> I do adopt the other guidance offered by that decision:</w:t>
      </w:r>
    </w:p>
    <w:p w:rsidR="001A7C07" w:rsidRDefault="001A7C07" w:rsidP="001A7C07">
      <w:pPr>
        <w:spacing w:after="160" w:line="360" w:lineRule="auto"/>
        <w:ind w:left="720"/>
        <w:contextualSpacing/>
        <w:jc w:val="both"/>
        <w:rPr>
          <w:rFonts w:eastAsia="Calibri" w:cs="Arial"/>
          <w:lang w:eastAsia="en-US"/>
        </w:rPr>
      </w:pPr>
    </w:p>
    <w:p w:rsidR="001A7C07" w:rsidRDefault="001A7C07" w:rsidP="001A7C07">
      <w:pPr>
        <w:spacing w:after="160" w:line="360" w:lineRule="auto"/>
        <w:ind w:left="720"/>
        <w:contextualSpacing/>
        <w:jc w:val="both"/>
        <w:rPr>
          <w:rFonts w:eastAsia="Calibri" w:cs="Arial"/>
          <w:sz w:val="22"/>
          <w:szCs w:val="22"/>
          <w:lang w:eastAsia="en-US"/>
        </w:rPr>
      </w:pPr>
      <w:r>
        <w:rPr>
          <w:rFonts w:eastAsia="Calibri" w:cs="Arial"/>
          <w:lang w:eastAsia="en-US"/>
        </w:rPr>
        <w:t>“</w:t>
      </w:r>
      <w:r w:rsidRPr="001A7C07">
        <w:rPr>
          <w:rFonts w:eastAsia="Calibri" w:cs="Arial"/>
          <w:sz w:val="22"/>
          <w:szCs w:val="22"/>
          <w:lang w:eastAsia="en-US"/>
        </w:rPr>
        <w:t>Whether the consequences of deportation will be “unduly harsh” for an individual involves more than “uncomfortable, inconvenient, undesirable, unwelcome or merely difficult and challenging” consequences and imposes a considerably more elevated or higher threshold.</w:t>
      </w:r>
      <w:bookmarkStart w:id="0" w:name="_GoBack"/>
      <w:bookmarkEnd w:id="0"/>
    </w:p>
    <w:p w:rsidR="00533B61" w:rsidRDefault="00533B61" w:rsidP="001A7C07">
      <w:pPr>
        <w:spacing w:after="160" w:line="360" w:lineRule="auto"/>
        <w:ind w:left="720"/>
        <w:contextualSpacing/>
        <w:jc w:val="both"/>
        <w:rPr>
          <w:rFonts w:eastAsia="Calibri" w:cs="Arial"/>
          <w:sz w:val="22"/>
          <w:szCs w:val="22"/>
          <w:lang w:eastAsia="en-US"/>
        </w:rPr>
      </w:pPr>
    </w:p>
    <w:p w:rsidR="001A7C07" w:rsidRDefault="00533B61" w:rsidP="00533B61">
      <w:pPr>
        <w:spacing w:after="160" w:line="360" w:lineRule="auto"/>
        <w:ind w:left="720"/>
        <w:contextualSpacing/>
        <w:jc w:val="both"/>
        <w:rPr>
          <w:rFonts w:eastAsia="Calibri" w:cs="Arial"/>
          <w:sz w:val="22"/>
          <w:szCs w:val="22"/>
          <w:lang w:eastAsia="en-US"/>
        </w:rPr>
      </w:pPr>
      <w:r>
        <w:rPr>
          <w:rFonts w:eastAsia="Calibri" w:cs="Arial"/>
          <w:sz w:val="22"/>
          <w:szCs w:val="22"/>
          <w:lang w:eastAsia="en-US"/>
        </w:rPr>
        <w:t xml:space="preserve">The </w:t>
      </w:r>
      <w:r w:rsidR="001A7C07" w:rsidRPr="001A7C07">
        <w:rPr>
          <w:rFonts w:eastAsia="Calibri" w:cs="Arial"/>
          <w:sz w:val="22"/>
          <w:szCs w:val="22"/>
          <w:lang w:eastAsia="en-US"/>
        </w:rPr>
        <w:t>consequences for an individual will be “harsh” if they are “severe” or “bleak” and they will be “unduly” so if they are “inordinately” or “excessively” harsh taking into account all of the circumstances of the individual.”</w:t>
      </w:r>
    </w:p>
    <w:p w:rsidR="00533B61" w:rsidRDefault="00533B61" w:rsidP="002D56FD">
      <w:pPr>
        <w:spacing w:line="360" w:lineRule="auto"/>
        <w:ind w:left="567" w:hanging="567"/>
        <w:jc w:val="both"/>
        <w:rPr>
          <w:rFonts w:cs="Arial"/>
        </w:rPr>
      </w:pPr>
    </w:p>
    <w:p w:rsidR="00B45945" w:rsidRDefault="001A7C07" w:rsidP="002D56FD">
      <w:pPr>
        <w:spacing w:line="360" w:lineRule="auto"/>
        <w:ind w:left="567" w:hanging="567"/>
        <w:jc w:val="both"/>
        <w:rPr>
          <w:rFonts w:cs="Arial"/>
        </w:rPr>
      </w:pPr>
      <w:r>
        <w:rPr>
          <w:rFonts w:cs="Arial"/>
        </w:rPr>
        <w:t>14.</w:t>
      </w:r>
      <w:r>
        <w:rPr>
          <w:rFonts w:cs="Arial"/>
        </w:rPr>
        <w:tab/>
        <w:t xml:space="preserve">This was </w:t>
      </w:r>
      <w:r w:rsidR="00106672">
        <w:rPr>
          <w:rFonts w:cs="Arial"/>
        </w:rPr>
        <w:t xml:space="preserve">clearly </w:t>
      </w:r>
      <w:r>
        <w:rPr>
          <w:rFonts w:cs="Arial"/>
        </w:rPr>
        <w:t xml:space="preserve">an error </w:t>
      </w:r>
      <w:r w:rsidR="00106672">
        <w:rPr>
          <w:rFonts w:cs="Arial"/>
        </w:rPr>
        <w:t xml:space="preserve">of law. </w:t>
      </w:r>
      <w:r>
        <w:rPr>
          <w:rFonts w:cs="Arial"/>
        </w:rPr>
        <w:t xml:space="preserve"> </w:t>
      </w:r>
    </w:p>
    <w:p w:rsidR="00533B61" w:rsidRDefault="00533B61" w:rsidP="002D56FD">
      <w:pPr>
        <w:spacing w:line="360" w:lineRule="auto"/>
        <w:ind w:left="567" w:hanging="567"/>
        <w:jc w:val="both"/>
        <w:rPr>
          <w:rFonts w:cs="Arial"/>
        </w:rPr>
      </w:pPr>
    </w:p>
    <w:p w:rsidR="00533B61" w:rsidRPr="00E91270" w:rsidRDefault="00533B61" w:rsidP="002D56FD">
      <w:pPr>
        <w:spacing w:line="360" w:lineRule="auto"/>
        <w:ind w:left="567" w:hanging="567"/>
        <w:jc w:val="both"/>
        <w:rPr>
          <w:rFonts w:cs="Arial"/>
        </w:rPr>
      </w:pPr>
      <w:r>
        <w:rPr>
          <w:rFonts w:cs="Arial"/>
        </w:rPr>
        <w:t>15.</w:t>
      </w:r>
      <w:r>
        <w:rPr>
          <w:rFonts w:cs="Arial"/>
        </w:rPr>
        <w:tab/>
      </w:r>
      <w:r w:rsidR="00AB3807">
        <w:rPr>
          <w:rFonts w:cs="Arial"/>
        </w:rPr>
        <w:t>In the grounds of appeal to the First-tier Tribunal, t</w:t>
      </w:r>
      <w:r>
        <w:rPr>
          <w:rFonts w:cs="Arial"/>
        </w:rPr>
        <w:t>he Appellant also sought to rely on a number of other cases involving appeals brought by those</w:t>
      </w:r>
      <w:r w:rsidR="00AB3807">
        <w:rPr>
          <w:rFonts w:cs="Arial"/>
        </w:rPr>
        <w:t xml:space="preserve"> </w:t>
      </w:r>
      <w:r w:rsidR="00106672">
        <w:rPr>
          <w:rFonts w:cs="Arial"/>
        </w:rPr>
        <w:t xml:space="preserve">who were </w:t>
      </w:r>
      <w:r>
        <w:rPr>
          <w:rFonts w:cs="Arial"/>
        </w:rPr>
        <w:t xml:space="preserve">subject to deportation orders. However, unlike in </w:t>
      </w:r>
      <w:r>
        <w:rPr>
          <w:rFonts w:cs="Arial"/>
          <w:i/>
        </w:rPr>
        <w:t xml:space="preserve">AJ (Zimbabwe) v Secretary of State for the Home Department </w:t>
      </w:r>
      <w:r>
        <w:rPr>
          <w:rFonts w:cs="Arial"/>
        </w:rPr>
        <w:t xml:space="preserve">[2016] EWCA </w:t>
      </w:r>
      <w:proofErr w:type="spellStart"/>
      <w:r>
        <w:rPr>
          <w:rFonts w:cs="Arial"/>
        </w:rPr>
        <w:t>Civ</w:t>
      </w:r>
      <w:proofErr w:type="spellEnd"/>
      <w:r>
        <w:rPr>
          <w:rFonts w:cs="Arial"/>
        </w:rPr>
        <w:t xml:space="preserve"> 1012</w:t>
      </w:r>
      <w:r w:rsidR="00AB3807">
        <w:rPr>
          <w:rFonts w:cs="Arial"/>
        </w:rPr>
        <w:t>,</w:t>
      </w:r>
      <w:r>
        <w:rPr>
          <w:rFonts w:cs="Arial"/>
        </w:rPr>
        <w:t xml:space="preserve"> the First-tier Tribunal Judge did give due weight to the public interest in the deportation of a serious criminal. </w:t>
      </w:r>
      <w:r w:rsidR="00E91270">
        <w:rPr>
          <w:rFonts w:cs="Arial"/>
        </w:rPr>
        <w:t xml:space="preserve">The other cases referred to by the Appellant were not factually or legally relevant to the circumstances of this particular appeal. In particular, I note that the extract relied upon from </w:t>
      </w:r>
      <w:r w:rsidR="00E91270">
        <w:rPr>
          <w:rFonts w:cs="Arial"/>
          <w:i/>
        </w:rPr>
        <w:t xml:space="preserve">LC (China) v Secretary of State for the Home Department </w:t>
      </w:r>
      <w:r w:rsidR="00E91270">
        <w:rPr>
          <w:rFonts w:cs="Arial"/>
        </w:rPr>
        <w:t xml:space="preserve">[2014] EWCA </w:t>
      </w:r>
      <w:proofErr w:type="spellStart"/>
      <w:r w:rsidR="00E91270">
        <w:rPr>
          <w:rFonts w:cs="Arial"/>
        </w:rPr>
        <w:t>Civ</w:t>
      </w:r>
      <w:proofErr w:type="spellEnd"/>
      <w:r w:rsidR="00E91270">
        <w:rPr>
          <w:rFonts w:cs="Arial"/>
        </w:rPr>
        <w:t xml:space="preserve"> 1310</w:t>
      </w:r>
      <w:r w:rsidR="00AB3807">
        <w:rPr>
          <w:rFonts w:cs="Arial"/>
        </w:rPr>
        <w:t xml:space="preserve"> wa</w:t>
      </w:r>
      <w:r w:rsidR="00E91270">
        <w:rPr>
          <w:rFonts w:cs="Arial"/>
        </w:rPr>
        <w:t>s a partial one and d</w:t>
      </w:r>
      <w:r w:rsidR="00AB3807">
        <w:rPr>
          <w:rFonts w:cs="Arial"/>
        </w:rPr>
        <w:t>id</w:t>
      </w:r>
      <w:r w:rsidR="00E91270">
        <w:rPr>
          <w:rFonts w:cs="Arial"/>
        </w:rPr>
        <w:t xml:space="preserve"> not represent what was found about those sentenced to between one and </w:t>
      </w:r>
      <w:proofErr w:type="gramStart"/>
      <w:r w:rsidR="00E91270">
        <w:rPr>
          <w:rFonts w:cs="Arial"/>
        </w:rPr>
        <w:t>four year</w:t>
      </w:r>
      <w:proofErr w:type="gramEnd"/>
      <w:r w:rsidR="00383BDD">
        <w:rPr>
          <w:rFonts w:cs="Arial"/>
        </w:rPr>
        <w:t xml:space="preserve"> imprisonment</w:t>
      </w:r>
      <w:r w:rsidR="00E91270">
        <w:rPr>
          <w:rFonts w:cs="Arial"/>
        </w:rPr>
        <w:t xml:space="preserve">. </w:t>
      </w:r>
    </w:p>
    <w:p w:rsidR="00BC4F9B" w:rsidRDefault="00BC4F9B" w:rsidP="002D56FD">
      <w:pPr>
        <w:spacing w:line="360" w:lineRule="auto"/>
        <w:ind w:left="567" w:hanging="567"/>
        <w:jc w:val="both"/>
        <w:rPr>
          <w:rFonts w:cs="Arial"/>
        </w:rPr>
      </w:pPr>
    </w:p>
    <w:p w:rsidR="00106672" w:rsidRDefault="00E91270" w:rsidP="002D56FD">
      <w:pPr>
        <w:spacing w:line="360" w:lineRule="auto"/>
        <w:ind w:left="567" w:hanging="567"/>
        <w:jc w:val="both"/>
      </w:pPr>
      <w:r>
        <w:rPr>
          <w:rFonts w:cs="Arial"/>
        </w:rPr>
        <w:t>16</w:t>
      </w:r>
      <w:r w:rsidR="00002FE6">
        <w:rPr>
          <w:rFonts w:cs="Arial"/>
        </w:rPr>
        <w:t>.</w:t>
      </w:r>
      <w:r w:rsidR="00002FE6">
        <w:rPr>
          <w:rFonts w:cs="Arial"/>
        </w:rPr>
        <w:tab/>
      </w:r>
      <w:r w:rsidR="00AB3807">
        <w:rPr>
          <w:rFonts w:cs="Arial"/>
        </w:rPr>
        <w:t xml:space="preserve">However, in the grounds of appeal to the Upper Tribunal the Appellant relied upon the case of </w:t>
      </w:r>
      <w:proofErr w:type="spellStart"/>
      <w:r w:rsidR="00AB3807">
        <w:rPr>
          <w:rFonts w:cs="Arial"/>
          <w:i/>
        </w:rPr>
        <w:t>Danso</w:t>
      </w:r>
      <w:proofErr w:type="spellEnd"/>
      <w:r w:rsidR="00AB3807">
        <w:rPr>
          <w:rFonts w:cs="Arial"/>
          <w:i/>
        </w:rPr>
        <w:t xml:space="preserve"> v Secretary of State for the Home Department </w:t>
      </w:r>
      <w:r w:rsidR="00AB3807">
        <w:rPr>
          <w:rFonts w:cs="Arial"/>
        </w:rPr>
        <w:t xml:space="preserve">[2015] EWCA </w:t>
      </w:r>
      <w:proofErr w:type="spellStart"/>
      <w:r w:rsidR="00AB3807">
        <w:rPr>
          <w:rFonts w:cs="Arial"/>
        </w:rPr>
        <w:t>Civ</w:t>
      </w:r>
      <w:proofErr w:type="spellEnd"/>
      <w:r w:rsidR="00AB3807">
        <w:rPr>
          <w:rFonts w:cs="Arial"/>
        </w:rPr>
        <w:t xml:space="preserve"> 596</w:t>
      </w:r>
      <w:r w:rsidR="00106672">
        <w:rPr>
          <w:rFonts w:cs="Arial"/>
        </w:rPr>
        <w:t>, where it was found at paragraph 20 of the judgment that “</w:t>
      </w:r>
      <w:r w:rsidR="00106672">
        <w:t xml:space="preserve">the protection of the public from harm by way of future offending is only one of the factors that makes it conducive to the public good to deport criminals. Other factors include the need to mark the public’s revulsion at the offender’s conduct and the need to deter others from acting in a similar way”.  In his decision, First-tier Tribunal Judge Parkes failed to take these factors into account. </w:t>
      </w:r>
    </w:p>
    <w:p w:rsidR="00106672" w:rsidRDefault="00106672" w:rsidP="002D56FD">
      <w:pPr>
        <w:spacing w:line="360" w:lineRule="auto"/>
        <w:ind w:left="567" w:hanging="567"/>
        <w:jc w:val="both"/>
      </w:pPr>
    </w:p>
    <w:p w:rsidR="00AB3807" w:rsidRDefault="00106672" w:rsidP="002D56FD">
      <w:pPr>
        <w:spacing w:line="360" w:lineRule="auto"/>
        <w:ind w:left="567" w:hanging="567"/>
        <w:jc w:val="both"/>
        <w:rPr>
          <w:rFonts w:cs="Arial"/>
        </w:rPr>
      </w:pPr>
      <w:r>
        <w:t>17.</w:t>
      </w:r>
      <w:r>
        <w:tab/>
        <w:t xml:space="preserve">In addition, at paragraph 21 of  </w:t>
      </w:r>
      <w:r w:rsidR="00AB3807">
        <w:rPr>
          <w:rFonts w:cs="Arial"/>
          <w:i/>
        </w:rPr>
        <w:t xml:space="preserve">Velasquez Taylor v Secretary of State for the Home Department </w:t>
      </w:r>
      <w:r w:rsidR="00AB3807">
        <w:rPr>
          <w:rFonts w:cs="Arial"/>
        </w:rPr>
        <w:t xml:space="preserve">[2015] EWCA </w:t>
      </w:r>
      <w:proofErr w:type="spellStart"/>
      <w:r w:rsidR="00AB3807">
        <w:rPr>
          <w:rFonts w:cs="Arial"/>
        </w:rPr>
        <w:t>Civ</w:t>
      </w:r>
      <w:proofErr w:type="spellEnd"/>
      <w:r w:rsidR="00AB3807">
        <w:rPr>
          <w:rFonts w:cs="Arial"/>
        </w:rPr>
        <w:t xml:space="preserve"> 845</w:t>
      </w:r>
      <w:r>
        <w:rPr>
          <w:rFonts w:cs="Arial"/>
        </w:rPr>
        <w:t>, Lord Justice Moore-Bick said “</w:t>
      </w:r>
      <w:r>
        <w:t xml:space="preserve">I would certainly not wish to diminish the importance of rehabilitation in itself, but the cases in which it can make a significant contribution to establishing the compelling reasons sufficient to outweigh the public interest in deportation are likely to be rare. </w:t>
      </w:r>
      <w:r>
        <w:rPr>
          <w:rFonts w:cs="Arial"/>
        </w:rPr>
        <w:t>“</w:t>
      </w:r>
      <w:r w:rsidR="00AB3807">
        <w:rPr>
          <w:rFonts w:cs="Arial"/>
        </w:rPr>
        <w:t xml:space="preserve"> </w:t>
      </w:r>
    </w:p>
    <w:p w:rsidR="00106672" w:rsidRDefault="00106672" w:rsidP="002D56FD">
      <w:pPr>
        <w:spacing w:line="360" w:lineRule="auto"/>
        <w:ind w:left="567" w:hanging="567"/>
        <w:jc w:val="both"/>
        <w:rPr>
          <w:rFonts w:cs="Arial"/>
        </w:rPr>
      </w:pPr>
    </w:p>
    <w:p w:rsidR="00106672" w:rsidRPr="00AB3807" w:rsidRDefault="00106672" w:rsidP="002D56FD">
      <w:pPr>
        <w:spacing w:line="360" w:lineRule="auto"/>
        <w:ind w:left="567" w:hanging="567"/>
        <w:jc w:val="both"/>
        <w:rPr>
          <w:rFonts w:cs="Arial"/>
        </w:rPr>
      </w:pPr>
      <w:r>
        <w:rPr>
          <w:rFonts w:cs="Arial"/>
        </w:rPr>
        <w:t>18.</w:t>
      </w:r>
      <w:r>
        <w:rPr>
          <w:rFonts w:cs="Arial"/>
        </w:rPr>
        <w:tab/>
        <w:t xml:space="preserve">In the current case it was not even possible to give credit for rehabilitation as the Respondent continues to deny any involvement in the offence for which he was found guilty. </w:t>
      </w:r>
    </w:p>
    <w:p w:rsidR="00AB3807" w:rsidRDefault="00AB3807" w:rsidP="002D56FD">
      <w:pPr>
        <w:spacing w:line="360" w:lineRule="auto"/>
        <w:ind w:left="567" w:hanging="567"/>
        <w:jc w:val="both"/>
        <w:rPr>
          <w:rFonts w:cs="Arial"/>
        </w:rPr>
      </w:pPr>
    </w:p>
    <w:p w:rsidR="00002FE6" w:rsidRPr="00E91270" w:rsidRDefault="00106672" w:rsidP="002D56FD">
      <w:pPr>
        <w:spacing w:line="360" w:lineRule="auto"/>
        <w:ind w:left="567" w:hanging="567"/>
        <w:jc w:val="both"/>
        <w:rPr>
          <w:rFonts w:cs="Arial"/>
        </w:rPr>
      </w:pPr>
      <w:r>
        <w:rPr>
          <w:rFonts w:cs="Arial"/>
        </w:rPr>
        <w:t>19.</w:t>
      </w:r>
      <w:r>
        <w:rPr>
          <w:rFonts w:cs="Arial"/>
        </w:rPr>
        <w:tab/>
      </w:r>
      <w:r w:rsidR="00002FE6">
        <w:rPr>
          <w:rFonts w:cs="Arial"/>
        </w:rPr>
        <w:t>As a consequence, the</w:t>
      </w:r>
      <w:r w:rsidR="0018739D">
        <w:rPr>
          <w:rFonts w:cs="Arial"/>
        </w:rPr>
        <w:t xml:space="preserve">re </w:t>
      </w:r>
      <w:r>
        <w:rPr>
          <w:rFonts w:cs="Arial"/>
        </w:rPr>
        <w:t xml:space="preserve">were errors of </w:t>
      </w:r>
      <w:r w:rsidR="0018739D">
        <w:rPr>
          <w:rFonts w:cs="Arial"/>
        </w:rPr>
        <w:t xml:space="preserve">law in First-tier Tribunal Judge </w:t>
      </w:r>
      <w:r w:rsidR="00E91270">
        <w:rPr>
          <w:rFonts w:cs="Arial"/>
        </w:rPr>
        <w:t>Parkes</w:t>
      </w:r>
      <w:r w:rsidR="0018739D">
        <w:rPr>
          <w:rFonts w:cs="Arial"/>
        </w:rPr>
        <w:t xml:space="preserve">’ </w:t>
      </w:r>
      <w:r w:rsidR="00002FE6">
        <w:rPr>
          <w:rFonts w:cs="Arial"/>
        </w:rPr>
        <w:t xml:space="preserve">decision. </w:t>
      </w:r>
      <w:r w:rsidR="00E91270">
        <w:rPr>
          <w:rFonts w:cs="Arial"/>
        </w:rPr>
        <w:t xml:space="preserve"> </w:t>
      </w:r>
    </w:p>
    <w:p w:rsidR="003257CA" w:rsidRPr="00601D7E" w:rsidRDefault="003257CA" w:rsidP="00B478BC">
      <w:pPr>
        <w:spacing w:line="360" w:lineRule="auto"/>
        <w:ind w:left="567" w:hanging="567"/>
        <w:jc w:val="both"/>
        <w:rPr>
          <w:b/>
        </w:rPr>
      </w:pPr>
      <w:r w:rsidRPr="00601D7E">
        <w:rPr>
          <w:b/>
        </w:rPr>
        <w:lastRenderedPageBreak/>
        <w:t xml:space="preserve">DECISION </w:t>
      </w:r>
    </w:p>
    <w:p w:rsidR="003257CA" w:rsidRPr="00601D7E" w:rsidRDefault="003257CA" w:rsidP="00026E39">
      <w:pPr>
        <w:ind w:left="567" w:hanging="567"/>
        <w:jc w:val="both"/>
        <w:rPr>
          <w:b/>
        </w:rPr>
      </w:pPr>
    </w:p>
    <w:p w:rsidR="003257CA" w:rsidRPr="00601D7E" w:rsidRDefault="003257CA" w:rsidP="00E25D2E">
      <w:pPr>
        <w:spacing w:line="360" w:lineRule="auto"/>
        <w:ind w:left="567" w:hanging="567"/>
        <w:jc w:val="both"/>
      </w:pPr>
      <w:r w:rsidRPr="00601D7E">
        <w:t>(1)</w:t>
      </w:r>
      <w:r w:rsidRPr="00601D7E">
        <w:tab/>
        <w:t xml:space="preserve">The </w:t>
      </w:r>
      <w:r w:rsidR="00287DBF" w:rsidRPr="00601D7E">
        <w:t>Secretary of State’s</w:t>
      </w:r>
      <w:r w:rsidRPr="00601D7E">
        <w:t xml:space="preserve"> appeal is allowed</w:t>
      </w:r>
      <w:r w:rsidR="006B2C82" w:rsidRPr="00601D7E">
        <w:t>.</w:t>
      </w:r>
    </w:p>
    <w:p w:rsidR="00175141" w:rsidRPr="00601D7E" w:rsidRDefault="00175141" w:rsidP="00E25D2E">
      <w:pPr>
        <w:spacing w:line="360" w:lineRule="auto"/>
        <w:ind w:left="567" w:hanging="567"/>
        <w:jc w:val="both"/>
      </w:pPr>
    </w:p>
    <w:p w:rsidR="00175141" w:rsidRPr="00601D7E" w:rsidRDefault="00175141" w:rsidP="00E25D2E">
      <w:pPr>
        <w:spacing w:line="360" w:lineRule="auto"/>
        <w:ind w:left="567" w:hanging="567"/>
        <w:jc w:val="both"/>
      </w:pPr>
      <w:r w:rsidRPr="00601D7E">
        <w:t>(2)</w:t>
      </w:r>
      <w:r w:rsidRPr="00601D7E">
        <w:tab/>
        <w:t xml:space="preserve">First-tier Tribunal Judge </w:t>
      </w:r>
      <w:r w:rsidR="00287DBF" w:rsidRPr="00601D7E">
        <w:t xml:space="preserve">Parkes’s decision is set aside. </w:t>
      </w:r>
      <w:r w:rsidR="00E91270" w:rsidRPr="00601D7E">
        <w:t xml:space="preserve"> </w:t>
      </w:r>
    </w:p>
    <w:p w:rsidR="003257CA" w:rsidRPr="00601D7E" w:rsidRDefault="003257CA" w:rsidP="00E25D2E">
      <w:pPr>
        <w:spacing w:line="360" w:lineRule="auto"/>
        <w:ind w:left="567" w:hanging="567"/>
        <w:jc w:val="both"/>
      </w:pPr>
    </w:p>
    <w:p w:rsidR="003257CA" w:rsidRPr="00601D7E" w:rsidRDefault="003257CA" w:rsidP="00026E39">
      <w:pPr>
        <w:ind w:left="567" w:hanging="567"/>
        <w:jc w:val="both"/>
      </w:pPr>
      <w:r w:rsidRPr="00601D7E">
        <w:t>(</w:t>
      </w:r>
      <w:r w:rsidR="00E91270" w:rsidRPr="00601D7E">
        <w:t>3</w:t>
      </w:r>
      <w:r w:rsidRPr="00601D7E">
        <w:t>)</w:t>
      </w:r>
      <w:r w:rsidRPr="00601D7E">
        <w:tab/>
      </w:r>
      <w:r w:rsidR="00287DBF" w:rsidRPr="00601D7E">
        <w:t>T</w:t>
      </w:r>
      <w:r w:rsidR="00E91270" w:rsidRPr="00601D7E">
        <w:t xml:space="preserve">he </w:t>
      </w:r>
      <w:r w:rsidR="006B2C82" w:rsidRPr="00601D7E">
        <w:t>appeal is remitted to the First-tier Tribunal</w:t>
      </w:r>
      <w:r w:rsidR="00287DBF" w:rsidRPr="00601D7E">
        <w:t xml:space="preserve"> for a </w:t>
      </w:r>
      <w:r w:rsidR="00287DBF" w:rsidRPr="00601D7E">
        <w:rPr>
          <w:i/>
        </w:rPr>
        <w:t xml:space="preserve">de novo </w:t>
      </w:r>
      <w:r w:rsidR="00287DBF" w:rsidRPr="00601D7E">
        <w:t xml:space="preserve">hearing before a First-tier Tribunal Judge other than First-tier Tribunal Judge </w:t>
      </w:r>
      <w:r w:rsidR="00E91270" w:rsidRPr="00601D7E">
        <w:t>Parkes</w:t>
      </w:r>
      <w:r w:rsidR="00287DBF" w:rsidRPr="00601D7E">
        <w:t>.</w:t>
      </w:r>
      <w:r w:rsidRPr="00601D7E">
        <w:t xml:space="preserve">   </w:t>
      </w:r>
    </w:p>
    <w:p w:rsidR="003257CA" w:rsidRPr="00601D7E" w:rsidRDefault="003257CA" w:rsidP="00026E39">
      <w:pPr>
        <w:ind w:left="567" w:hanging="567"/>
        <w:jc w:val="both"/>
      </w:pP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Pr="00601D7E" w:rsidRDefault="003257CA" w:rsidP="00847259">
      <w:pPr>
        <w:jc w:val="both"/>
      </w:pPr>
      <w:r w:rsidRPr="00601D7E">
        <w:t>Signed</w:t>
      </w:r>
      <w:r w:rsidRPr="00601D7E">
        <w:tab/>
      </w:r>
      <w:r w:rsidRPr="00601D7E">
        <w:tab/>
      </w:r>
      <w:r w:rsidRPr="00601D7E">
        <w:tab/>
      </w:r>
      <w:r w:rsidRPr="00601D7E">
        <w:tab/>
      </w:r>
      <w:r w:rsidRPr="00601D7E">
        <w:tab/>
      </w:r>
      <w:r w:rsidRPr="00601D7E">
        <w:tab/>
      </w:r>
      <w:r w:rsidRPr="00601D7E">
        <w:tab/>
      </w:r>
      <w:r w:rsidRPr="00601D7E">
        <w:tab/>
        <w:t xml:space="preserve">Date </w:t>
      </w:r>
      <w:r w:rsidR="00E91270" w:rsidRPr="00601D7E">
        <w:t>6 August</w:t>
      </w:r>
      <w:r w:rsidRPr="00601D7E">
        <w:t xml:space="preserve"> 2018</w:t>
      </w:r>
    </w:p>
    <w:p w:rsidR="003257CA" w:rsidRPr="00601D7E" w:rsidRDefault="003257CA" w:rsidP="00847259">
      <w:pPr>
        <w:jc w:val="both"/>
      </w:pPr>
    </w:p>
    <w:p w:rsidR="003257CA" w:rsidRPr="00601D7E" w:rsidRDefault="003257CA" w:rsidP="00847259">
      <w:pPr>
        <w:jc w:val="both"/>
        <w:rPr>
          <w:color w:val="000000"/>
        </w:rPr>
      </w:pPr>
      <w:r w:rsidRPr="00601D7E">
        <w:rPr>
          <w:color w:val="000000"/>
        </w:rPr>
        <w:t xml:space="preserve">Upper Tribunal Judge Finch </w:t>
      </w:r>
    </w:p>
    <w:p w:rsidR="003257CA" w:rsidRDefault="003257CA" w:rsidP="00847259">
      <w:pPr>
        <w:jc w:val="both"/>
        <w:rPr>
          <w:rFonts w:ascii="Book Antiqua" w:hAnsi="Book Antiqua" w:cs="Arial"/>
          <w:color w:val="000000"/>
        </w:rPr>
      </w:pPr>
    </w:p>
    <w:p w:rsidR="003257CA" w:rsidRDefault="003257CA" w:rsidP="00847259">
      <w:pPr>
        <w:jc w:val="both"/>
        <w:rPr>
          <w:rFonts w:ascii="Book Antiqua" w:hAnsi="Book Antiqua" w:cs="Arial"/>
          <w:color w:val="000000"/>
        </w:rPr>
      </w:pPr>
    </w:p>
    <w:sectPr w:rsidR="003257CA" w:rsidSect="000832EE">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8CC" w:rsidRDefault="009F38CC">
      <w:r>
        <w:separator/>
      </w:r>
    </w:p>
  </w:endnote>
  <w:endnote w:type="continuationSeparator" w:id="0">
    <w:p w:rsidR="009F38CC" w:rsidRDefault="009F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070159751"/>
      <w:docPartObj>
        <w:docPartGallery w:val="Page Numbers (Bottom of Page)"/>
        <w:docPartUnique/>
      </w:docPartObj>
    </w:sdtPr>
    <w:sdtEndPr>
      <w:rPr>
        <w:rFonts w:ascii="Times New Roman" w:hAnsi="Times New Roman"/>
        <w:noProof/>
        <w:sz w:val="24"/>
        <w:szCs w:val="24"/>
      </w:rPr>
    </w:sdtEndPr>
    <w:sdtContent>
      <w:p w:rsidR="00E17673" w:rsidRPr="000832EE" w:rsidRDefault="00E17673">
        <w:pPr>
          <w:pStyle w:val="Footer"/>
          <w:jc w:val="center"/>
        </w:pPr>
        <w:r w:rsidRPr="000832EE">
          <w:fldChar w:fldCharType="begin"/>
        </w:r>
        <w:r w:rsidRPr="000832EE">
          <w:instrText xml:space="preserve"> PAGE   \* MERGEFORMAT </w:instrText>
        </w:r>
        <w:r w:rsidRPr="000832EE">
          <w:fldChar w:fldCharType="separate"/>
        </w:r>
        <w:r w:rsidR="00E7550A">
          <w:rPr>
            <w:noProof/>
          </w:rPr>
          <w:t>5</w:t>
        </w:r>
        <w:r w:rsidRPr="000832EE">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0832EE" w:rsidRDefault="003257CA" w:rsidP="00A82254">
    <w:pPr>
      <w:jc w:val="center"/>
      <w:rPr>
        <w:b/>
      </w:rPr>
    </w:pPr>
    <w:r w:rsidRPr="000832EE">
      <w:rPr>
        <w:b/>
        <w:spacing w:val="-6"/>
      </w:rPr>
      <w:t>©</w:t>
    </w:r>
    <w:r w:rsidR="00E17673" w:rsidRPr="000832EE">
      <w:rPr>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8CC" w:rsidRDefault="009F38CC">
      <w:r>
        <w:separator/>
      </w:r>
    </w:p>
  </w:footnote>
  <w:footnote w:type="continuationSeparator" w:id="0">
    <w:p w:rsidR="009F38CC" w:rsidRDefault="009F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E17673" w:rsidP="00E17673">
    <w:pPr>
      <w:tabs>
        <w:tab w:val="right" w:pos="9638"/>
      </w:tabs>
      <w:rPr>
        <w:color w:val="000000"/>
        <w:sz w:val="16"/>
        <w:szCs w:val="16"/>
      </w:rPr>
    </w:pPr>
    <w:r>
      <w:rPr>
        <w:rFonts w:ascii="Book Antiqua" w:hAnsi="Book Antiqua" w:cs="Arial"/>
        <w:caps/>
        <w:color w:val="000000"/>
        <w:sz w:val="20"/>
        <w:szCs w:val="20"/>
      </w:rPr>
      <w:tab/>
    </w:r>
    <w:r w:rsidR="003257CA" w:rsidRPr="000832EE">
      <w:rPr>
        <w:color w:val="000000"/>
        <w:sz w:val="16"/>
        <w:szCs w:val="16"/>
      </w:rPr>
      <w:t>Appeal Numbe</w:t>
    </w:r>
    <w:r w:rsidR="00CB6CFF" w:rsidRPr="000832EE">
      <w:rPr>
        <w:color w:val="000000"/>
        <w:sz w:val="16"/>
        <w:szCs w:val="16"/>
      </w:rPr>
      <w:t>r</w:t>
    </w:r>
    <w:r w:rsidR="007B3613" w:rsidRPr="000832EE">
      <w:rPr>
        <w:color w:val="000000"/>
        <w:sz w:val="16"/>
        <w:szCs w:val="16"/>
      </w:rPr>
      <w:t xml:space="preserve"> HU/0</w:t>
    </w:r>
    <w:r w:rsidR="009B01E2" w:rsidRPr="000832EE">
      <w:rPr>
        <w:color w:val="000000"/>
        <w:sz w:val="16"/>
        <w:szCs w:val="16"/>
      </w:rPr>
      <w:t>925/2017</w:t>
    </w:r>
  </w:p>
  <w:p w:rsidR="000832EE" w:rsidRPr="00E17673" w:rsidRDefault="000832EE" w:rsidP="00E17673">
    <w:pPr>
      <w:tabs>
        <w:tab w:val="right" w:pos="9638"/>
      </w:tabs>
      <w:rPr>
        <w:rFonts w:ascii="Book Antiqua" w:hAnsi="Book Antiqua"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891535E"/>
    <w:multiLevelType w:val="hybridMultilevel"/>
    <w:tmpl w:val="6A56DC66"/>
    <w:lvl w:ilvl="0" w:tplc="9A3A0B22">
      <w:start w:val="1"/>
      <w:numFmt w:val="decimal"/>
      <w:lvlText w:val="%1."/>
      <w:lvlJc w:val="left"/>
      <w:pPr>
        <w:ind w:left="720" w:hanging="360"/>
      </w:pPr>
      <w:rPr>
        <w:rFonts w:ascii="Calibri" w:hAnsi="Calibri"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5"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8"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0"/>
  </w:num>
  <w:num w:numId="5">
    <w:abstractNumId w:val="6"/>
  </w:num>
  <w:num w:numId="6">
    <w:abstractNumId w:val="3"/>
  </w:num>
  <w:num w:numId="7">
    <w:abstractNumId w:val="5"/>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5C5B"/>
    <w:rsid w:val="00011C5D"/>
    <w:rsid w:val="00013EFF"/>
    <w:rsid w:val="00014893"/>
    <w:rsid w:val="00016BC5"/>
    <w:rsid w:val="00025E48"/>
    <w:rsid w:val="00026E39"/>
    <w:rsid w:val="00033D3D"/>
    <w:rsid w:val="0003772C"/>
    <w:rsid w:val="00040A6C"/>
    <w:rsid w:val="000428C0"/>
    <w:rsid w:val="00042B9C"/>
    <w:rsid w:val="00045E7E"/>
    <w:rsid w:val="00046575"/>
    <w:rsid w:val="00052233"/>
    <w:rsid w:val="00062F02"/>
    <w:rsid w:val="00071A7E"/>
    <w:rsid w:val="000746C0"/>
    <w:rsid w:val="0007473F"/>
    <w:rsid w:val="000747FB"/>
    <w:rsid w:val="00074D1D"/>
    <w:rsid w:val="00081F3E"/>
    <w:rsid w:val="000832E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E3A77"/>
    <w:rsid w:val="000F1A0E"/>
    <w:rsid w:val="0010028C"/>
    <w:rsid w:val="00100617"/>
    <w:rsid w:val="00106672"/>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D95"/>
    <w:rsid w:val="00175141"/>
    <w:rsid w:val="00176B08"/>
    <w:rsid w:val="00183704"/>
    <w:rsid w:val="0018739D"/>
    <w:rsid w:val="001971C8"/>
    <w:rsid w:val="001A19A9"/>
    <w:rsid w:val="001A2558"/>
    <w:rsid w:val="001A3082"/>
    <w:rsid w:val="001A7C07"/>
    <w:rsid w:val="001B091F"/>
    <w:rsid w:val="001B186A"/>
    <w:rsid w:val="001B2F75"/>
    <w:rsid w:val="001B5021"/>
    <w:rsid w:val="001B6A67"/>
    <w:rsid w:val="001B768F"/>
    <w:rsid w:val="001C4EB3"/>
    <w:rsid w:val="001C74AC"/>
    <w:rsid w:val="001F245E"/>
    <w:rsid w:val="001F2716"/>
    <w:rsid w:val="00200BD4"/>
    <w:rsid w:val="00203467"/>
    <w:rsid w:val="002035ED"/>
    <w:rsid w:val="00206D4A"/>
    <w:rsid w:val="00207617"/>
    <w:rsid w:val="0021618E"/>
    <w:rsid w:val="002165E3"/>
    <w:rsid w:val="00217865"/>
    <w:rsid w:val="00224D49"/>
    <w:rsid w:val="0023134B"/>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87DBF"/>
    <w:rsid w:val="002946D1"/>
    <w:rsid w:val="002A5013"/>
    <w:rsid w:val="002A78E2"/>
    <w:rsid w:val="002B342D"/>
    <w:rsid w:val="002B3709"/>
    <w:rsid w:val="002C565F"/>
    <w:rsid w:val="002C6BD4"/>
    <w:rsid w:val="002D083B"/>
    <w:rsid w:val="002D0E6D"/>
    <w:rsid w:val="002D56FD"/>
    <w:rsid w:val="002D68BF"/>
    <w:rsid w:val="002D6C34"/>
    <w:rsid w:val="002E7EA9"/>
    <w:rsid w:val="002F0F14"/>
    <w:rsid w:val="002F6B98"/>
    <w:rsid w:val="002F7BBB"/>
    <w:rsid w:val="00300D36"/>
    <w:rsid w:val="00300EFA"/>
    <w:rsid w:val="00303BAF"/>
    <w:rsid w:val="00321375"/>
    <w:rsid w:val="00322667"/>
    <w:rsid w:val="003257CA"/>
    <w:rsid w:val="003343B2"/>
    <w:rsid w:val="00335737"/>
    <w:rsid w:val="00336CBF"/>
    <w:rsid w:val="00343FE3"/>
    <w:rsid w:val="0034796B"/>
    <w:rsid w:val="00353B0E"/>
    <w:rsid w:val="003546C8"/>
    <w:rsid w:val="003626A1"/>
    <w:rsid w:val="00363410"/>
    <w:rsid w:val="0037519F"/>
    <w:rsid w:val="00376618"/>
    <w:rsid w:val="00376763"/>
    <w:rsid w:val="003817B4"/>
    <w:rsid w:val="00383BDD"/>
    <w:rsid w:val="00384748"/>
    <w:rsid w:val="003863F7"/>
    <w:rsid w:val="00390A01"/>
    <w:rsid w:val="00394E67"/>
    <w:rsid w:val="00395C30"/>
    <w:rsid w:val="003A0375"/>
    <w:rsid w:val="003A7CF2"/>
    <w:rsid w:val="003C5CE5"/>
    <w:rsid w:val="003D3F1E"/>
    <w:rsid w:val="003D461D"/>
    <w:rsid w:val="003D549E"/>
    <w:rsid w:val="003E267B"/>
    <w:rsid w:val="003E3C30"/>
    <w:rsid w:val="003E7CC8"/>
    <w:rsid w:val="003E7CD1"/>
    <w:rsid w:val="003F4C61"/>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A83"/>
    <w:rsid w:val="00464DE1"/>
    <w:rsid w:val="004672C1"/>
    <w:rsid w:val="00471E3C"/>
    <w:rsid w:val="00473BE7"/>
    <w:rsid w:val="00477193"/>
    <w:rsid w:val="00484940"/>
    <w:rsid w:val="004931D1"/>
    <w:rsid w:val="004964CB"/>
    <w:rsid w:val="004A00B4"/>
    <w:rsid w:val="004A1848"/>
    <w:rsid w:val="004A1985"/>
    <w:rsid w:val="004A34EE"/>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3B61"/>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E64E1"/>
    <w:rsid w:val="005F3EB4"/>
    <w:rsid w:val="005F7557"/>
    <w:rsid w:val="00601D7E"/>
    <w:rsid w:val="00601D8F"/>
    <w:rsid w:val="00602C67"/>
    <w:rsid w:val="00602FB3"/>
    <w:rsid w:val="0060435A"/>
    <w:rsid w:val="00604A30"/>
    <w:rsid w:val="00606611"/>
    <w:rsid w:val="00610B20"/>
    <w:rsid w:val="0062078F"/>
    <w:rsid w:val="00627B05"/>
    <w:rsid w:val="0063325D"/>
    <w:rsid w:val="006356BD"/>
    <w:rsid w:val="00635BA3"/>
    <w:rsid w:val="00636BB7"/>
    <w:rsid w:val="006408F7"/>
    <w:rsid w:val="00643D0C"/>
    <w:rsid w:val="00643F31"/>
    <w:rsid w:val="00646D54"/>
    <w:rsid w:val="006479DD"/>
    <w:rsid w:val="00652381"/>
    <w:rsid w:val="00653E97"/>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47C4"/>
    <w:rsid w:val="006F2CF1"/>
    <w:rsid w:val="006F73F1"/>
    <w:rsid w:val="00701A03"/>
    <w:rsid w:val="00702792"/>
    <w:rsid w:val="00702B91"/>
    <w:rsid w:val="00703184"/>
    <w:rsid w:val="007038ED"/>
    <w:rsid w:val="00703BC3"/>
    <w:rsid w:val="00704B61"/>
    <w:rsid w:val="00704F53"/>
    <w:rsid w:val="00705AFB"/>
    <w:rsid w:val="00724968"/>
    <w:rsid w:val="00725575"/>
    <w:rsid w:val="007276FF"/>
    <w:rsid w:val="00727FFD"/>
    <w:rsid w:val="007326A3"/>
    <w:rsid w:val="00736820"/>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3613"/>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303B8"/>
    <w:rsid w:val="00830810"/>
    <w:rsid w:val="00831918"/>
    <w:rsid w:val="00831E27"/>
    <w:rsid w:val="00833D8D"/>
    <w:rsid w:val="00833DCE"/>
    <w:rsid w:val="00841072"/>
    <w:rsid w:val="00845B37"/>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91016"/>
    <w:rsid w:val="0089348F"/>
    <w:rsid w:val="0089553D"/>
    <w:rsid w:val="00897C8C"/>
    <w:rsid w:val="008A2695"/>
    <w:rsid w:val="008A7E3E"/>
    <w:rsid w:val="008B270C"/>
    <w:rsid w:val="008B2F0F"/>
    <w:rsid w:val="008B5078"/>
    <w:rsid w:val="008C12BC"/>
    <w:rsid w:val="008C3D3D"/>
    <w:rsid w:val="008D1135"/>
    <w:rsid w:val="008D4131"/>
    <w:rsid w:val="008E0286"/>
    <w:rsid w:val="008E7B93"/>
    <w:rsid w:val="008F1932"/>
    <w:rsid w:val="008F1BDC"/>
    <w:rsid w:val="008F48D0"/>
    <w:rsid w:val="008F4C67"/>
    <w:rsid w:val="008F6C0F"/>
    <w:rsid w:val="00901A46"/>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7A3"/>
    <w:rsid w:val="00974225"/>
    <w:rsid w:val="009771B1"/>
    <w:rsid w:val="00980665"/>
    <w:rsid w:val="009840B7"/>
    <w:rsid w:val="00984B68"/>
    <w:rsid w:val="00984E64"/>
    <w:rsid w:val="00987774"/>
    <w:rsid w:val="0099516E"/>
    <w:rsid w:val="009A11E8"/>
    <w:rsid w:val="009A244B"/>
    <w:rsid w:val="009A6060"/>
    <w:rsid w:val="009B01E2"/>
    <w:rsid w:val="009B0A37"/>
    <w:rsid w:val="009B443B"/>
    <w:rsid w:val="009B7433"/>
    <w:rsid w:val="009C0687"/>
    <w:rsid w:val="009D1EA3"/>
    <w:rsid w:val="009D341B"/>
    <w:rsid w:val="009E7D56"/>
    <w:rsid w:val="009F38CC"/>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B3807"/>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23D2D"/>
    <w:rsid w:val="00B25CB9"/>
    <w:rsid w:val="00B26AA2"/>
    <w:rsid w:val="00B30647"/>
    <w:rsid w:val="00B34549"/>
    <w:rsid w:val="00B3524D"/>
    <w:rsid w:val="00B354CC"/>
    <w:rsid w:val="00B40F69"/>
    <w:rsid w:val="00B40FFF"/>
    <w:rsid w:val="00B45945"/>
    <w:rsid w:val="00B46616"/>
    <w:rsid w:val="00B478BC"/>
    <w:rsid w:val="00B50946"/>
    <w:rsid w:val="00B515A8"/>
    <w:rsid w:val="00B5248D"/>
    <w:rsid w:val="00B601E0"/>
    <w:rsid w:val="00B62149"/>
    <w:rsid w:val="00B7040A"/>
    <w:rsid w:val="00B73518"/>
    <w:rsid w:val="00B83391"/>
    <w:rsid w:val="00B84192"/>
    <w:rsid w:val="00B84A71"/>
    <w:rsid w:val="00B87C01"/>
    <w:rsid w:val="00B93154"/>
    <w:rsid w:val="00B95326"/>
    <w:rsid w:val="00B97CED"/>
    <w:rsid w:val="00BA295F"/>
    <w:rsid w:val="00BB5234"/>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673"/>
    <w:rsid w:val="00E17E24"/>
    <w:rsid w:val="00E25182"/>
    <w:rsid w:val="00E25A53"/>
    <w:rsid w:val="00E25D2E"/>
    <w:rsid w:val="00E30683"/>
    <w:rsid w:val="00E453D8"/>
    <w:rsid w:val="00E47401"/>
    <w:rsid w:val="00E50BCE"/>
    <w:rsid w:val="00E51F18"/>
    <w:rsid w:val="00E52B70"/>
    <w:rsid w:val="00E574BF"/>
    <w:rsid w:val="00E57959"/>
    <w:rsid w:val="00E61292"/>
    <w:rsid w:val="00E61AB9"/>
    <w:rsid w:val="00E63C44"/>
    <w:rsid w:val="00E6703A"/>
    <w:rsid w:val="00E67616"/>
    <w:rsid w:val="00E7550A"/>
    <w:rsid w:val="00E75E86"/>
    <w:rsid w:val="00E77C4D"/>
    <w:rsid w:val="00E81D01"/>
    <w:rsid w:val="00E83B41"/>
    <w:rsid w:val="00E841E4"/>
    <w:rsid w:val="00E845A5"/>
    <w:rsid w:val="00E848CE"/>
    <w:rsid w:val="00E85E57"/>
    <w:rsid w:val="00E91270"/>
    <w:rsid w:val="00E95E09"/>
    <w:rsid w:val="00EA4A5B"/>
    <w:rsid w:val="00EA53CE"/>
    <w:rsid w:val="00EB5DB7"/>
    <w:rsid w:val="00EB5FC7"/>
    <w:rsid w:val="00EB71D2"/>
    <w:rsid w:val="00EB772A"/>
    <w:rsid w:val="00EC0100"/>
    <w:rsid w:val="00EC3926"/>
    <w:rsid w:val="00ED345E"/>
    <w:rsid w:val="00ED5594"/>
    <w:rsid w:val="00ED56AC"/>
    <w:rsid w:val="00ED5C52"/>
    <w:rsid w:val="00ED7C65"/>
    <w:rsid w:val="00EE13E0"/>
    <w:rsid w:val="00EE1E3E"/>
    <w:rsid w:val="00EE45D8"/>
    <w:rsid w:val="00EF488C"/>
    <w:rsid w:val="00EF49CF"/>
    <w:rsid w:val="00F040D9"/>
    <w:rsid w:val="00F115EC"/>
    <w:rsid w:val="00F15CE3"/>
    <w:rsid w:val="00F179F0"/>
    <w:rsid w:val="00F22EDA"/>
    <w:rsid w:val="00F246FD"/>
    <w:rsid w:val="00F301F6"/>
    <w:rsid w:val="00F34B59"/>
    <w:rsid w:val="00F41E63"/>
    <w:rsid w:val="00F563E7"/>
    <w:rsid w:val="00F63267"/>
    <w:rsid w:val="00F729E6"/>
    <w:rsid w:val="00F74FA7"/>
    <w:rsid w:val="00F75D7A"/>
    <w:rsid w:val="00F760DA"/>
    <w:rsid w:val="00F84B01"/>
    <w:rsid w:val="00F85BA0"/>
    <w:rsid w:val="00F97364"/>
    <w:rsid w:val="00FA040C"/>
    <w:rsid w:val="00FA1DB5"/>
    <w:rsid w:val="00FA608B"/>
    <w:rsid w:val="00FB05E3"/>
    <w:rsid w:val="00FB66A9"/>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90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styleId="Subtitle">
    <w:name w:val="Subtitle"/>
    <w:basedOn w:val="Normal"/>
    <w:next w:val="Normal"/>
    <w:link w:val="SubtitleChar"/>
    <w:qFormat/>
    <w:locked/>
    <w:rsid w:val="000832E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832EE"/>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464154275">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1651</Words>
  <Characters>9474</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2018-08-24T13:58:00Z</dcterms:created>
  <dcterms:modified xsi:type="dcterms:W3CDTF">2018-08-24T13:58:00Z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