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B6C6C" w:rsidP="00C321B5">
      <w:pPr>
        <w:jc w:val="center"/>
        <w:rPr>
          <w:rFonts w:ascii="Book Antiqua" w:hAnsi="Book Antiqua" w:cs="Arial"/>
          <w:sz w:val="16"/>
          <w:szCs w:val="16"/>
        </w:rPr>
      </w:pPr>
      <w:r w:rsidRPr="00B52FDE">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880FD2" w:rsidRPr="00DE0374" w:rsidRDefault="00C321B5" w:rsidP="00880FD2">
      <w:pPr>
        <w:tabs>
          <w:tab w:val="right" w:pos="9720"/>
        </w:tabs>
        <w:rPr>
          <w:rFonts w:ascii="Book Antiqua" w:hAnsi="Book Antiqua"/>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C5D7E">
        <w:rPr>
          <w:rFonts w:ascii="Book Antiqua" w:hAnsi="Book Antiqua" w:cs="Arial"/>
          <w:b/>
        </w:rPr>
        <w:t xml:space="preserve">   </w:t>
      </w:r>
      <w:proofErr w:type="gramEnd"/>
      <w:r w:rsidR="006C5D7E">
        <w:rPr>
          <w:rFonts w:ascii="Book Antiqua" w:hAnsi="Book Antiqua" w:cs="Arial"/>
          <w:b/>
        </w:rPr>
        <w:t xml:space="preserve">                  </w:t>
      </w:r>
      <w:r w:rsidR="00B3524D" w:rsidRPr="00BF25B7">
        <w:rPr>
          <w:rFonts w:ascii="Book Antiqua" w:hAnsi="Book Antiqua" w:cs="Arial"/>
          <w:b/>
        </w:rPr>
        <w:t>Appeal Number</w:t>
      </w:r>
      <w:r w:rsidR="008A6D99">
        <w:rPr>
          <w:rFonts w:ascii="Book Antiqua" w:hAnsi="Book Antiqua" w:cs="Arial"/>
          <w:b/>
        </w:rPr>
        <w:t>s</w:t>
      </w:r>
      <w:r w:rsidR="00D53769" w:rsidRPr="00BF25B7">
        <w:rPr>
          <w:rFonts w:ascii="Book Antiqua" w:hAnsi="Book Antiqua" w:cs="Arial"/>
          <w:b/>
        </w:rPr>
        <w:t>:</w:t>
      </w:r>
      <w:r w:rsidR="00B3524D" w:rsidRPr="00BF25B7">
        <w:rPr>
          <w:rFonts w:ascii="Book Antiqua" w:hAnsi="Book Antiqua" w:cs="Arial"/>
          <w:b/>
        </w:rPr>
        <w:t xml:space="preserve"> </w:t>
      </w:r>
      <w:r w:rsidR="0000035D">
        <w:rPr>
          <w:rFonts w:ascii="Book Antiqua" w:hAnsi="Book Antiqua"/>
          <w:b/>
        </w:rPr>
        <w:t>HU/09336/2017</w:t>
      </w:r>
    </w:p>
    <w:p w:rsidR="008A6D99" w:rsidRPr="00DE0374" w:rsidRDefault="008A6D99" w:rsidP="008A6D99">
      <w:pPr>
        <w:tabs>
          <w:tab w:val="right" w:pos="9720"/>
        </w:tabs>
        <w:rPr>
          <w:rFonts w:ascii="Book Antiqua" w:hAnsi="Book Antiqua"/>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5"/>
        <w:gridCol w:w="646"/>
        <w:gridCol w:w="3887"/>
      </w:tblGrid>
      <w:tr w:rsidR="00D22636" w:rsidRPr="00384467" w:rsidTr="006C5D7E">
        <w:tc>
          <w:tcPr>
            <w:tcW w:w="5105"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Heard at </w:t>
            </w:r>
            <w:r w:rsidR="00CF1EEF">
              <w:rPr>
                <w:rFonts w:ascii="Book Antiqua" w:hAnsi="Book Antiqua" w:cs="Arial"/>
                <w:b/>
              </w:rPr>
              <w:t>Field House</w:t>
            </w:r>
          </w:p>
        </w:tc>
        <w:tc>
          <w:tcPr>
            <w:tcW w:w="4533" w:type="dxa"/>
            <w:gridSpan w:val="2"/>
            <w:shd w:val="clear" w:color="auto" w:fill="auto"/>
          </w:tcPr>
          <w:p w:rsidR="00D22636" w:rsidRPr="00384467" w:rsidRDefault="006C5D7E" w:rsidP="00384467">
            <w:pPr>
              <w:jc w:val="both"/>
              <w:rPr>
                <w:rFonts w:ascii="Book Antiqua" w:hAnsi="Book Antiqua" w:cs="Arial"/>
                <w:b/>
              </w:rPr>
            </w:pPr>
            <w:r>
              <w:rPr>
                <w:rFonts w:ascii="Book Antiqua" w:hAnsi="Book Antiqua" w:cs="Arial"/>
                <w:b/>
              </w:rPr>
              <w:t xml:space="preserve"> </w:t>
            </w:r>
            <w:r w:rsidR="00283659" w:rsidRPr="00384467">
              <w:rPr>
                <w:rFonts w:ascii="Book Antiqua" w:hAnsi="Book Antiqua" w:cs="Arial"/>
                <w:b/>
              </w:rPr>
              <w:t>De</w:t>
            </w:r>
            <w:r w:rsidR="00864126" w:rsidRPr="00384467">
              <w:rPr>
                <w:rFonts w:ascii="Book Antiqua" w:hAnsi="Book Antiqua" w:cs="Arial"/>
                <w:b/>
              </w:rPr>
              <w:t>cision &amp; Reasons</w:t>
            </w:r>
            <w:r w:rsidR="00283659" w:rsidRPr="00384467">
              <w:rPr>
                <w:rFonts w:ascii="Book Antiqua" w:hAnsi="Book Antiqua" w:cs="Arial"/>
                <w:b/>
              </w:rPr>
              <w:t xml:space="preserve"> Promulgated</w:t>
            </w:r>
          </w:p>
        </w:tc>
      </w:tr>
      <w:tr w:rsidR="00D22636" w:rsidRPr="00384467" w:rsidTr="006C5D7E">
        <w:tc>
          <w:tcPr>
            <w:tcW w:w="5105"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On </w:t>
            </w:r>
            <w:r w:rsidR="00880FD2">
              <w:rPr>
                <w:rFonts w:ascii="Book Antiqua" w:hAnsi="Book Antiqua" w:cs="Arial"/>
                <w:b/>
              </w:rPr>
              <w:t xml:space="preserve">November </w:t>
            </w:r>
            <w:r w:rsidR="00EF2A53">
              <w:rPr>
                <w:rFonts w:ascii="Book Antiqua" w:hAnsi="Book Antiqua" w:cs="Arial"/>
                <w:b/>
              </w:rPr>
              <w:t>9</w:t>
            </w:r>
            <w:r w:rsidR="00880FD2">
              <w:rPr>
                <w:rFonts w:ascii="Book Antiqua" w:hAnsi="Book Antiqua" w:cs="Arial"/>
                <w:b/>
              </w:rPr>
              <w:t>, 2018</w:t>
            </w:r>
          </w:p>
        </w:tc>
        <w:tc>
          <w:tcPr>
            <w:tcW w:w="4533" w:type="dxa"/>
            <w:gridSpan w:val="2"/>
            <w:shd w:val="clear" w:color="auto" w:fill="auto"/>
          </w:tcPr>
          <w:p w:rsidR="00D22636" w:rsidRPr="00384467" w:rsidRDefault="006C5D7E" w:rsidP="00384467">
            <w:pPr>
              <w:jc w:val="both"/>
              <w:rPr>
                <w:rFonts w:ascii="Book Antiqua" w:hAnsi="Book Antiqua" w:cs="Arial"/>
                <w:b/>
              </w:rPr>
            </w:pPr>
            <w:r>
              <w:rPr>
                <w:rFonts w:ascii="Book Antiqua" w:hAnsi="Book Antiqua" w:cs="Arial"/>
                <w:b/>
              </w:rPr>
              <w:t xml:space="preserve"> </w:t>
            </w:r>
            <w:r w:rsidR="00DB6C6C">
              <w:rPr>
                <w:rFonts w:ascii="Book Antiqua" w:hAnsi="Book Antiqua" w:cs="Arial"/>
                <w:b/>
              </w:rPr>
              <w:t xml:space="preserve">On November 19, 2018 </w:t>
            </w:r>
          </w:p>
        </w:tc>
      </w:tr>
      <w:tr w:rsidR="00D22636" w:rsidRPr="00384467" w:rsidTr="006C5D7E">
        <w:tc>
          <w:tcPr>
            <w:tcW w:w="5751" w:type="dxa"/>
            <w:gridSpan w:val="2"/>
            <w:shd w:val="clear" w:color="auto" w:fill="auto"/>
          </w:tcPr>
          <w:p w:rsidR="00D22636" w:rsidRPr="00384467" w:rsidRDefault="00D22636" w:rsidP="00384467">
            <w:pPr>
              <w:jc w:val="both"/>
              <w:rPr>
                <w:rFonts w:ascii="Book Antiqua" w:hAnsi="Book Antiqua" w:cs="Arial"/>
                <w:b/>
              </w:rPr>
            </w:pPr>
          </w:p>
        </w:tc>
        <w:tc>
          <w:tcPr>
            <w:tcW w:w="3887" w:type="dxa"/>
            <w:shd w:val="clear" w:color="auto" w:fill="auto"/>
          </w:tcPr>
          <w:p w:rsidR="00D22636" w:rsidRPr="00384467" w:rsidRDefault="00D22636" w:rsidP="0038446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0A32A2" w:rsidP="00CF1EEF">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9E1EED">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8A6D99" w:rsidRDefault="00880FD2" w:rsidP="00DE0374">
      <w:pPr>
        <w:jc w:val="center"/>
        <w:rPr>
          <w:rFonts w:ascii="Book Antiqua" w:hAnsi="Book Antiqua"/>
          <w:b/>
        </w:rPr>
      </w:pPr>
      <w:r>
        <w:rPr>
          <w:rFonts w:ascii="Book Antiqua" w:hAnsi="Book Antiqua"/>
          <w:b/>
          <w:caps/>
        </w:rPr>
        <w:t>M</w:t>
      </w:r>
      <w:r w:rsidR="0000035D">
        <w:rPr>
          <w:rFonts w:ascii="Book Antiqua" w:hAnsi="Book Antiqua"/>
          <w:b/>
          <w:caps/>
        </w:rPr>
        <w:t>iss oluwakemi pricilla alidi</w:t>
      </w:r>
    </w:p>
    <w:p w:rsidR="00DE0374" w:rsidRPr="006C5D7E" w:rsidRDefault="00DE0374" w:rsidP="00DE0374">
      <w:pPr>
        <w:jc w:val="center"/>
        <w:rPr>
          <w:rFonts w:ascii="Book Antiqua" w:hAnsi="Book Antiqua" w:cs="Arial"/>
        </w:rPr>
      </w:pPr>
      <w:r w:rsidRPr="006C5D7E">
        <w:rPr>
          <w:rFonts w:ascii="Book Antiqua" w:hAnsi="Book Antiqua" w:cs="Arial"/>
        </w:rPr>
        <w:t>(</w:t>
      </w:r>
      <w:r w:rsidR="00880FD2" w:rsidRPr="006C5D7E">
        <w:rPr>
          <w:rFonts w:ascii="Book Antiqua" w:hAnsi="Book Antiqua" w:cs="Arial"/>
        </w:rPr>
        <w:t xml:space="preserve">NO </w:t>
      </w:r>
      <w:r w:rsidRPr="006C5D7E">
        <w:rPr>
          <w:rFonts w:ascii="Book Antiqua" w:hAnsi="Book Antiqua" w:cs="Arial"/>
        </w:rPr>
        <w:t>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6C5D7E" w:rsidRDefault="006C5D7E"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E09DA">
        <w:rPr>
          <w:rFonts w:ascii="Book Antiqua" w:eastAsia="Book Antiqua" w:hAnsi="Book Antiqua" w:cs="Book Antiqua"/>
        </w:rPr>
        <w:t xml:space="preserve">Mr </w:t>
      </w:r>
      <w:proofErr w:type="spellStart"/>
      <w:r w:rsidR="008E09DA">
        <w:rPr>
          <w:rFonts w:ascii="Book Antiqua" w:eastAsia="Book Antiqua" w:hAnsi="Book Antiqua" w:cs="Book Antiqua"/>
        </w:rPr>
        <w:t>Adewoye</w:t>
      </w:r>
      <w:proofErr w:type="spellEnd"/>
      <w:r w:rsidR="008E09DA">
        <w:rPr>
          <w:rFonts w:ascii="Book Antiqua" w:eastAsia="Book Antiqua" w:hAnsi="Book Antiqua" w:cs="Book Antiqua"/>
        </w:rPr>
        <w:t>,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8E09DA">
        <w:rPr>
          <w:rFonts w:ascii="Book Antiqua" w:hAnsi="Book Antiqua" w:cs="Arial"/>
        </w:rPr>
        <w:t>Mr Jarvis</w:t>
      </w:r>
      <w:r w:rsidR="00DE0374">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DE0374" w:rsidRDefault="00DE0374" w:rsidP="00DE0374">
      <w:pPr>
        <w:widowControl w:val="0"/>
        <w:numPr>
          <w:ilvl w:val="0"/>
          <w:numId w:val="3"/>
        </w:numPr>
        <w:rPr>
          <w:rFonts w:ascii="Book Antiqua" w:hAnsi="Book Antiqua"/>
        </w:rPr>
      </w:pPr>
      <w:r>
        <w:rPr>
          <w:rFonts w:ascii="Book Antiqua" w:hAnsi="Book Antiqua"/>
        </w:rPr>
        <w:t>The appellant</w:t>
      </w:r>
      <w:r w:rsidR="009A7E85">
        <w:rPr>
          <w:rFonts w:ascii="Book Antiqua" w:hAnsi="Book Antiqua"/>
        </w:rPr>
        <w:t xml:space="preserve"> is a</w:t>
      </w:r>
      <w:r>
        <w:rPr>
          <w:rFonts w:ascii="Book Antiqua" w:hAnsi="Book Antiqua"/>
        </w:rPr>
        <w:t xml:space="preserve"> </w:t>
      </w:r>
      <w:r w:rsidR="009A7E85">
        <w:rPr>
          <w:rFonts w:ascii="Book Antiqua" w:hAnsi="Book Antiqua"/>
        </w:rPr>
        <w:t xml:space="preserve">national </w:t>
      </w:r>
      <w:r>
        <w:rPr>
          <w:rFonts w:ascii="Book Antiqua" w:hAnsi="Book Antiqua"/>
        </w:rPr>
        <w:t xml:space="preserve">of </w:t>
      </w:r>
      <w:r w:rsidR="0000035D">
        <w:rPr>
          <w:rFonts w:ascii="Book Antiqua" w:hAnsi="Book Antiqua"/>
        </w:rPr>
        <w:t>Nigeria</w:t>
      </w:r>
      <w:r>
        <w:rPr>
          <w:rFonts w:ascii="Book Antiqua" w:hAnsi="Book Antiqua"/>
        </w:rPr>
        <w:t xml:space="preserve">. The appellant entered the United Kingdom </w:t>
      </w:r>
      <w:r w:rsidR="0000035D">
        <w:rPr>
          <w:rFonts w:ascii="Book Antiqua" w:hAnsi="Book Antiqua"/>
        </w:rPr>
        <w:t xml:space="preserve">without a valid visa on August 12, 2003. She gave birth to her son on August 27, 2007 and on March </w:t>
      </w:r>
      <w:r w:rsidR="008E09DA">
        <w:rPr>
          <w:rFonts w:ascii="Book Antiqua" w:hAnsi="Book Antiqua"/>
        </w:rPr>
        <w:t xml:space="preserve">17, </w:t>
      </w:r>
      <w:r w:rsidR="0000035D">
        <w:rPr>
          <w:rFonts w:ascii="Book Antiqua" w:hAnsi="Book Antiqua"/>
        </w:rPr>
        <w:t xml:space="preserve">2016 she </w:t>
      </w:r>
      <w:proofErr w:type="gramStart"/>
      <w:r w:rsidR="0000035D">
        <w:rPr>
          <w:rFonts w:ascii="Book Antiqua" w:hAnsi="Book Antiqua"/>
        </w:rPr>
        <w:t>submitted an application</w:t>
      </w:r>
      <w:proofErr w:type="gramEnd"/>
      <w:r w:rsidR="0000035D">
        <w:rPr>
          <w:rFonts w:ascii="Book Antiqua" w:hAnsi="Book Antiqua"/>
        </w:rPr>
        <w:t xml:space="preserve"> for leave to remain on family/private life grounds. The respondent refused this application on August 4, 2016.</w:t>
      </w:r>
    </w:p>
    <w:p w:rsidR="009A7E85" w:rsidRDefault="009A7E85" w:rsidP="009A7E85">
      <w:pPr>
        <w:widowControl w:val="0"/>
        <w:ind w:left="567"/>
        <w:rPr>
          <w:rFonts w:ascii="Book Antiqua" w:hAnsi="Book Antiqua"/>
        </w:rPr>
      </w:pPr>
    </w:p>
    <w:p w:rsidR="009A7E85" w:rsidRDefault="009A7E85" w:rsidP="00DE0374">
      <w:pPr>
        <w:widowControl w:val="0"/>
        <w:numPr>
          <w:ilvl w:val="0"/>
          <w:numId w:val="3"/>
        </w:numPr>
        <w:rPr>
          <w:rFonts w:ascii="Book Antiqua" w:hAnsi="Book Antiqua"/>
        </w:rPr>
      </w:pPr>
      <w:r>
        <w:rPr>
          <w:rFonts w:ascii="Book Antiqua" w:hAnsi="Book Antiqua"/>
        </w:rPr>
        <w:t>On August 1</w:t>
      </w:r>
      <w:r w:rsidR="0000035D">
        <w:rPr>
          <w:rFonts w:ascii="Book Antiqua" w:hAnsi="Book Antiqua"/>
        </w:rPr>
        <w:t>0</w:t>
      </w:r>
      <w:r>
        <w:rPr>
          <w:rFonts w:ascii="Book Antiqua" w:hAnsi="Book Antiqua"/>
        </w:rPr>
        <w:t>, 201</w:t>
      </w:r>
      <w:r w:rsidR="0000035D">
        <w:rPr>
          <w:rFonts w:ascii="Book Antiqua" w:hAnsi="Book Antiqua"/>
        </w:rPr>
        <w:t xml:space="preserve">6 she submitted a further application for leave to remain but this application was rejected by the respondent on August 17, 2017 on the basis neither she nor her son were British citizens and consequently she could not satisfy the requirements of Appendix FM of the Immigration Rules because it was not unreasonable for her and her son to leave the United Kingdom and consequently paragraph EX.1(a) of Appendix FM of the Immigration Rules does not apply. There </w:t>
      </w:r>
      <w:r w:rsidR="0000035D">
        <w:rPr>
          <w:rFonts w:ascii="Book Antiqua" w:hAnsi="Book Antiqua"/>
        </w:rPr>
        <w:lastRenderedPageBreak/>
        <w:t xml:space="preserve">were also no “very significant obstacles” to their integration into Nigeria and there were no compelling circumstances meriting a </w:t>
      </w:r>
      <w:r w:rsidR="008E09DA">
        <w:rPr>
          <w:rFonts w:ascii="Book Antiqua" w:hAnsi="Book Antiqua"/>
        </w:rPr>
        <w:t xml:space="preserve">grant </w:t>
      </w:r>
      <w:r w:rsidR="0000035D">
        <w:rPr>
          <w:rFonts w:ascii="Book Antiqua" w:hAnsi="Book Antiqua"/>
        </w:rPr>
        <w:t>of leave outside the Immigration Rules.</w:t>
      </w:r>
    </w:p>
    <w:p w:rsidR="009A7E85" w:rsidRDefault="009A7E85" w:rsidP="009A7E85">
      <w:pPr>
        <w:pStyle w:val="ListParagraph"/>
        <w:rPr>
          <w:rFonts w:ascii="Book Antiqua" w:hAnsi="Book Antiqua"/>
        </w:rPr>
      </w:pPr>
    </w:p>
    <w:p w:rsidR="00DE0374" w:rsidRPr="0000035D" w:rsidRDefault="009A7E85" w:rsidP="0000035D">
      <w:pPr>
        <w:widowControl w:val="0"/>
        <w:numPr>
          <w:ilvl w:val="0"/>
          <w:numId w:val="3"/>
        </w:numPr>
        <w:rPr>
          <w:rFonts w:ascii="Book Antiqua" w:hAnsi="Book Antiqua"/>
        </w:rPr>
      </w:pPr>
      <w:r>
        <w:rPr>
          <w:rFonts w:ascii="Book Antiqua" w:hAnsi="Book Antiqua"/>
        </w:rPr>
        <w:t>The appellant appealed that decision under section 82 of the Nationality, Immigration and Asylum Act 2002. The grounds argued</w:t>
      </w:r>
      <w:r w:rsidR="00B32DFF">
        <w:rPr>
          <w:rFonts w:ascii="Book Antiqua" w:hAnsi="Book Antiqua"/>
        </w:rPr>
        <w:t xml:space="preserve"> </w:t>
      </w:r>
      <w:r w:rsidR="0000035D">
        <w:rPr>
          <w:rFonts w:ascii="Book Antiqua" w:hAnsi="Book Antiqua"/>
        </w:rPr>
        <w:t>the respondent should have granted the application on the basis that the appellant’s child met the requirements of paragraph 276 ADE(1)(iv) as he had lived in the United Kingdom for seven years and it would be unreasonable for him to be removed. The child was now over 10 years of age and qualified for naturalisation as a British citizen and it was wholly disproportionate to require him to leave.</w:t>
      </w:r>
    </w:p>
    <w:p w:rsidR="00B32DFF" w:rsidRDefault="00B32DFF" w:rsidP="00B32DFF">
      <w:pPr>
        <w:numPr>
          <w:ilvl w:val="0"/>
          <w:numId w:val="3"/>
        </w:numPr>
        <w:spacing w:before="240"/>
        <w:jc w:val="both"/>
        <w:rPr>
          <w:rFonts w:ascii="Book Antiqua" w:hAnsi="Book Antiqua" w:cs="Arial"/>
        </w:rPr>
      </w:pPr>
      <w:r>
        <w:rPr>
          <w:rFonts w:ascii="Book Antiqua" w:hAnsi="Book Antiqua" w:cs="Arial"/>
        </w:rPr>
        <w:t xml:space="preserve">The appeal came before Judge of the First-to Tribunal </w:t>
      </w:r>
      <w:r w:rsidR="0000035D">
        <w:rPr>
          <w:rFonts w:ascii="Book Antiqua" w:hAnsi="Book Antiqua" w:cs="Arial"/>
        </w:rPr>
        <w:t xml:space="preserve">Paul </w:t>
      </w:r>
      <w:r>
        <w:rPr>
          <w:rFonts w:ascii="Book Antiqua" w:hAnsi="Book Antiqua" w:cs="Arial"/>
        </w:rPr>
        <w:t xml:space="preserve">on </w:t>
      </w:r>
      <w:r w:rsidR="0000035D">
        <w:rPr>
          <w:rFonts w:ascii="Book Antiqua" w:hAnsi="Book Antiqua" w:cs="Arial"/>
        </w:rPr>
        <w:t>May 21</w:t>
      </w:r>
      <w:r>
        <w:rPr>
          <w:rFonts w:ascii="Book Antiqua" w:hAnsi="Book Antiqua" w:cs="Arial"/>
        </w:rPr>
        <w:t xml:space="preserve">, 2018 and in a decision promulgated on June 20, 2018 the Judge concluded: </w:t>
      </w:r>
    </w:p>
    <w:p w:rsidR="00B32DFF" w:rsidRDefault="0000035D" w:rsidP="00B32DFF">
      <w:pPr>
        <w:numPr>
          <w:ilvl w:val="1"/>
          <w:numId w:val="3"/>
        </w:numPr>
        <w:spacing w:before="240"/>
        <w:jc w:val="both"/>
        <w:rPr>
          <w:rFonts w:ascii="Book Antiqua" w:hAnsi="Book Antiqua" w:cs="Arial"/>
        </w:rPr>
      </w:pPr>
      <w:r>
        <w:rPr>
          <w:rFonts w:ascii="Book Antiqua" w:hAnsi="Book Antiqua" w:cs="Arial"/>
        </w:rPr>
        <w:t xml:space="preserve">The appellant’s evidence lacked credibility especially </w:t>
      </w:r>
      <w:proofErr w:type="gramStart"/>
      <w:r>
        <w:rPr>
          <w:rFonts w:ascii="Book Antiqua" w:hAnsi="Book Antiqua" w:cs="Arial"/>
        </w:rPr>
        <w:t>with regard to</w:t>
      </w:r>
      <w:proofErr w:type="gramEnd"/>
      <w:r>
        <w:rPr>
          <w:rFonts w:ascii="Book Antiqua" w:hAnsi="Book Antiqua" w:cs="Arial"/>
        </w:rPr>
        <w:t xml:space="preserve"> the fact that she had lived here </w:t>
      </w:r>
      <w:r w:rsidR="008E09DA">
        <w:rPr>
          <w:rFonts w:ascii="Book Antiqua" w:hAnsi="Book Antiqua" w:cs="Arial"/>
        </w:rPr>
        <w:t>since</w:t>
      </w:r>
      <w:r>
        <w:rPr>
          <w:rFonts w:ascii="Book Antiqua" w:hAnsi="Book Antiqua" w:cs="Arial"/>
        </w:rPr>
        <w:t xml:space="preserve"> 2003 surviving on nothing more than handouts from friends and church.</w:t>
      </w:r>
    </w:p>
    <w:p w:rsidR="0000035D" w:rsidRDefault="0000035D" w:rsidP="00B32DFF">
      <w:pPr>
        <w:numPr>
          <w:ilvl w:val="1"/>
          <w:numId w:val="3"/>
        </w:numPr>
        <w:spacing w:before="240"/>
        <w:jc w:val="both"/>
        <w:rPr>
          <w:rFonts w:ascii="Book Antiqua" w:hAnsi="Book Antiqua" w:cs="Arial"/>
        </w:rPr>
      </w:pPr>
      <w:r>
        <w:rPr>
          <w:rFonts w:ascii="Book Antiqua" w:hAnsi="Book Antiqua" w:cs="Arial"/>
        </w:rPr>
        <w:t xml:space="preserve">The Judge rejected her claim that she would be ostracised by her family in Nigeria because </w:t>
      </w:r>
      <w:r w:rsidR="008E09DA">
        <w:rPr>
          <w:rFonts w:ascii="Book Antiqua" w:hAnsi="Book Antiqua" w:cs="Arial"/>
        </w:rPr>
        <w:t xml:space="preserve">she had stated </w:t>
      </w:r>
      <w:r>
        <w:rPr>
          <w:rFonts w:ascii="Book Antiqua" w:hAnsi="Book Antiqua" w:cs="Arial"/>
        </w:rPr>
        <w:t>her parents had died and her sister lived in the USA.</w:t>
      </w:r>
    </w:p>
    <w:p w:rsidR="0000035D" w:rsidRDefault="0000035D" w:rsidP="00B32DFF">
      <w:pPr>
        <w:numPr>
          <w:ilvl w:val="1"/>
          <w:numId w:val="3"/>
        </w:numPr>
        <w:spacing w:before="240"/>
        <w:jc w:val="both"/>
        <w:rPr>
          <w:rFonts w:ascii="Book Antiqua" w:hAnsi="Book Antiqua" w:cs="Arial"/>
        </w:rPr>
      </w:pPr>
      <w:r>
        <w:rPr>
          <w:rFonts w:ascii="Book Antiqua" w:hAnsi="Book Antiqua" w:cs="Arial"/>
        </w:rPr>
        <w:t xml:space="preserve">The child’s best interest were the starting point and the Judge noted that </w:t>
      </w:r>
      <w:r w:rsidR="000D0B91">
        <w:rPr>
          <w:rFonts w:ascii="Book Antiqua" w:hAnsi="Book Antiqua" w:cs="Arial"/>
        </w:rPr>
        <w:t xml:space="preserve">he appeared to be enjoying school and thriving but there was nothing about his current circumstances which would put him at a disadvantage if he was to return to Nigeria. </w:t>
      </w:r>
    </w:p>
    <w:p w:rsidR="000D0B91" w:rsidRPr="00B32DFF" w:rsidRDefault="000D0B91" w:rsidP="00B32DFF">
      <w:pPr>
        <w:numPr>
          <w:ilvl w:val="1"/>
          <w:numId w:val="3"/>
        </w:numPr>
        <w:spacing w:before="240"/>
        <w:jc w:val="both"/>
        <w:rPr>
          <w:rFonts w:ascii="Book Antiqua" w:hAnsi="Book Antiqua" w:cs="Arial"/>
        </w:rPr>
      </w:pPr>
      <w:r>
        <w:rPr>
          <w:rFonts w:ascii="Book Antiqua" w:hAnsi="Book Antiqua" w:cs="Arial"/>
        </w:rPr>
        <w:t>In considering section 117</w:t>
      </w:r>
      <w:proofErr w:type="gramStart"/>
      <w:r>
        <w:rPr>
          <w:rFonts w:ascii="Book Antiqua" w:hAnsi="Book Antiqua" w:cs="Arial"/>
        </w:rPr>
        <w:t>B(</w:t>
      </w:r>
      <w:proofErr w:type="gramEnd"/>
      <w:r>
        <w:rPr>
          <w:rFonts w:ascii="Book Antiqua" w:hAnsi="Book Antiqua" w:cs="Arial"/>
        </w:rPr>
        <w:t>6) of the 200</w:t>
      </w:r>
      <w:r w:rsidR="00D33CBE">
        <w:rPr>
          <w:rFonts w:ascii="Book Antiqua" w:hAnsi="Book Antiqua" w:cs="Arial"/>
        </w:rPr>
        <w:t>2</w:t>
      </w:r>
      <w:r>
        <w:rPr>
          <w:rFonts w:ascii="Book Antiqua" w:hAnsi="Book Antiqua" w:cs="Arial"/>
        </w:rPr>
        <w:t xml:space="preserve"> Act the Judge had regard to wider considerations including the appellant’s circumstances. The appellant had been in this country unlawfully and section 117B(iv) applied.</w:t>
      </w:r>
    </w:p>
    <w:p w:rsidR="00B32DFF" w:rsidRDefault="00B32DFF" w:rsidP="00DE0374">
      <w:pPr>
        <w:numPr>
          <w:ilvl w:val="0"/>
          <w:numId w:val="3"/>
        </w:numPr>
        <w:spacing w:before="240"/>
        <w:jc w:val="both"/>
        <w:rPr>
          <w:rFonts w:ascii="Book Antiqua" w:hAnsi="Book Antiqua" w:cs="Arial"/>
        </w:rPr>
      </w:pPr>
      <w:r>
        <w:rPr>
          <w:rFonts w:ascii="Book Antiqua" w:hAnsi="Book Antiqua" w:cs="Arial"/>
        </w:rPr>
        <w:t xml:space="preserve">The appellant submitted grounds of appeal against this decision on </w:t>
      </w:r>
      <w:r w:rsidR="000D0B91">
        <w:rPr>
          <w:rFonts w:ascii="Book Antiqua" w:hAnsi="Book Antiqua" w:cs="Arial"/>
        </w:rPr>
        <w:t>June 29</w:t>
      </w:r>
      <w:r>
        <w:rPr>
          <w:rFonts w:ascii="Book Antiqua" w:hAnsi="Book Antiqua" w:cs="Arial"/>
        </w:rPr>
        <w:t xml:space="preserve">, 2018 arguing the Judge had </w:t>
      </w:r>
      <w:r w:rsidR="000D0B91">
        <w:rPr>
          <w:rFonts w:ascii="Book Antiqua" w:hAnsi="Book Antiqua" w:cs="Arial"/>
        </w:rPr>
        <w:t xml:space="preserve">erred by failing to have regard to the fact that the child was </w:t>
      </w:r>
      <w:r w:rsidR="00D33CBE">
        <w:rPr>
          <w:rFonts w:ascii="Book Antiqua" w:hAnsi="Book Antiqua" w:cs="Arial"/>
        </w:rPr>
        <w:t xml:space="preserve">now </w:t>
      </w:r>
      <w:r w:rsidR="000D0B91">
        <w:rPr>
          <w:rFonts w:ascii="Book Antiqua" w:hAnsi="Book Antiqua" w:cs="Arial"/>
        </w:rPr>
        <w:t>a British citizen who had been here for over 10 years and the approach to section 117</w:t>
      </w:r>
      <w:proofErr w:type="gramStart"/>
      <w:r w:rsidR="000D0B91">
        <w:rPr>
          <w:rFonts w:ascii="Book Antiqua" w:hAnsi="Book Antiqua" w:cs="Arial"/>
        </w:rPr>
        <w:t>B(</w:t>
      </w:r>
      <w:proofErr w:type="gramEnd"/>
      <w:r w:rsidR="000D0B91">
        <w:rPr>
          <w:rFonts w:ascii="Book Antiqua" w:hAnsi="Book Antiqua" w:cs="Arial"/>
        </w:rPr>
        <w:t xml:space="preserve">6) of the 2002 </w:t>
      </w:r>
      <w:r w:rsidR="00D33CBE">
        <w:rPr>
          <w:rFonts w:ascii="Book Antiqua" w:hAnsi="Book Antiqua" w:cs="Arial"/>
        </w:rPr>
        <w:t>A</w:t>
      </w:r>
      <w:r w:rsidR="000D0B91">
        <w:rPr>
          <w:rFonts w:ascii="Book Antiqua" w:hAnsi="Book Antiqua" w:cs="Arial"/>
        </w:rPr>
        <w:t>ct was flawed.</w:t>
      </w:r>
    </w:p>
    <w:p w:rsidR="00B32DFF" w:rsidRDefault="00B32DFF" w:rsidP="00DE0374">
      <w:pPr>
        <w:numPr>
          <w:ilvl w:val="0"/>
          <w:numId w:val="3"/>
        </w:numPr>
        <w:spacing w:before="240"/>
        <w:jc w:val="both"/>
        <w:rPr>
          <w:rFonts w:ascii="Book Antiqua" w:hAnsi="Book Antiqua" w:cs="Arial"/>
        </w:rPr>
      </w:pPr>
      <w:r>
        <w:rPr>
          <w:rFonts w:ascii="Book Antiqua" w:hAnsi="Book Antiqua" w:cs="Arial"/>
        </w:rPr>
        <w:t xml:space="preserve">Permission to appeal was granted by Judge of the First-tier Tribunal </w:t>
      </w:r>
      <w:proofErr w:type="spellStart"/>
      <w:r w:rsidR="000D0B91">
        <w:rPr>
          <w:rFonts w:ascii="Book Antiqua" w:hAnsi="Book Antiqua" w:cs="Arial"/>
        </w:rPr>
        <w:t>Shimmin</w:t>
      </w:r>
      <w:proofErr w:type="spellEnd"/>
      <w:r>
        <w:rPr>
          <w:rFonts w:ascii="Book Antiqua" w:hAnsi="Book Antiqua" w:cs="Arial"/>
        </w:rPr>
        <w:t xml:space="preserve"> on September </w:t>
      </w:r>
      <w:r w:rsidR="000D0B91">
        <w:rPr>
          <w:rFonts w:ascii="Book Antiqua" w:hAnsi="Book Antiqua" w:cs="Arial"/>
        </w:rPr>
        <w:t>25</w:t>
      </w:r>
      <w:r>
        <w:rPr>
          <w:rFonts w:ascii="Book Antiqua" w:hAnsi="Book Antiqua" w:cs="Arial"/>
        </w:rPr>
        <w:t xml:space="preserve">, 2018 who found it arguable the Judge had </w:t>
      </w:r>
      <w:r w:rsidR="000D0B91">
        <w:rPr>
          <w:rFonts w:ascii="Book Antiqua" w:hAnsi="Book Antiqua" w:cs="Arial"/>
        </w:rPr>
        <w:t xml:space="preserve">erred by failing to </w:t>
      </w:r>
      <w:proofErr w:type="gramStart"/>
      <w:r w:rsidR="000D0B91">
        <w:rPr>
          <w:rFonts w:ascii="Book Antiqua" w:hAnsi="Book Antiqua" w:cs="Arial"/>
        </w:rPr>
        <w:t>take into account</w:t>
      </w:r>
      <w:proofErr w:type="gramEnd"/>
      <w:r w:rsidR="000D0B91">
        <w:rPr>
          <w:rFonts w:ascii="Book Antiqua" w:hAnsi="Book Antiqua" w:cs="Arial"/>
        </w:rPr>
        <w:t xml:space="preserve"> the child</w:t>
      </w:r>
      <w:r w:rsidR="00D33CBE">
        <w:rPr>
          <w:rFonts w:ascii="Book Antiqua" w:hAnsi="Book Antiqua" w:cs="Arial"/>
        </w:rPr>
        <w:t>’s</w:t>
      </w:r>
      <w:r w:rsidR="000D0B91">
        <w:rPr>
          <w:rFonts w:ascii="Book Antiqua" w:hAnsi="Book Antiqua" w:cs="Arial"/>
        </w:rPr>
        <w:t xml:space="preserve"> British nationality and his residence in the United Kingdom for over seven years.</w:t>
      </w:r>
    </w:p>
    <w:p w:rsidR="008E09DA" w:rsidRPr="008E09DA" w:rsidRDefault="008E09DA" w:rsidP="008E09DA">
      <w:pPr>
        <w:spacing w:before="240"/>
        <w:ind w:left="567"/>
        <w:jc w:val="both"/>
        <w:rPr>
          <w:rFonts w:ascii="Book Antiqua" w:hAnsi="Book Antiqua" w:cs="Arial"/>
          <w:b/>
          <w:u w:val="single"/>
        </w:rPr>
      </w:pPr>
      <w:r>
        <w:rPr>
          <w:rFonts w:ascii="Book Antiqua" w:hAnsi="Book Antiqua" w:cs="Arial"/>
          <w:b/>
          <w:u w:val="single"/>
        </w:rPr>
        <w:t>PRELIMINARY ISSUES</w:t>
      </w:r>
    </w:p>
    <w:p w:rsidR="008E09DA" w:rsidRDefault="008E09DA" w:rsidP="00DE0374">
      <w:pPr>
        <w:numPr>
          <w:ilvl w:val="0"/>
          <w:numId w:val="3"/>
        </w:numPr>
        <w:spacing w:before="240"/>
        <w:jc w:val="both"/>
        <w:rPr>
          <w:rFonts w:ascii="Book Antiqua" w:hAnsi="Book Antiqua" w:cs="Arial"/>
        </w:rPr>
      </w:pPr>
      <w:r>
        <w:rPr>
          <w:rFonts w:ascii="Book Antiqua" w:hAnsi="Book Antiqua" w:cs="Arial"/>
        </w:rPr>
        <w:t>Mr Jarvis accepted that there was a material error in law because the Judge failed to have regard to the fact the child was a British citizen at the date of hearing. However, in assessing reasonableness he submitted the Judge had failed to make a definitive finding on the whereabouts of the child’s father</w:t>
      </w:r>
      <w:r w:rsidR="00D33CBE">
        <w:rPr>
          <w:rFonts w:ascii="Book Antiqua" w:hAnsi="Book Antiqua" w:cs="Arial"/>
        </w:rPr>
        <w:t xml:space="preserve"> and this would have a bearing on whether the child would have to leave the United Kingdom. </w:t>
      </w:r>
    </w:p>
    <w:p w:rsidR="008E09DA" w:rsidRPr="00890247" w:rsidRDefault="008E09DA" w:rsidP="00DE0374">
      <w:pPr>
        <w:numPr>
          <w:ilvl w:val="0"/>
          <w:numId w:val="3"/>
        </w:numPr>
        <w:spacing w:before="240"/>
        <w:jc w:val="both"/>
        <w:rPr>
          <w:rFonts w:ascii="Book Antiqua" w:hAnsi="Book Antiqua" w:cs="Arial"/>
        </w:rPr>
      </w:pPr>
      <w:r>
        <w:rPr>
          <w:rFonts w:ascii="Book Antiqua" w:eastAsia="Book Antiqua" w:hAnsi="Book Antiqua" w:cs="Book Antiqua"/>
        </w:rPr>
        <w:lastRenderedPageBreak/>
        <w:t xml:space="preserve">Mr </w:t>
      </w:r>
      <w:proofErr w:type="spellStart"/>
      <w:r>
        <w:rPr>
          <w:rFonts w:ascii="Book Antiqua" w:eastAsia="Book Antiqua" w:hAnsi="Book Antiqua" w:cs="Book Antiqua"/>
        </w:rPr>
        <w:t>Adewoye</w:t>
      </w:r>
      <w:proofErr w:type="spellEnd"/>
      <w:r>
        <w:rPr>
          <w:rFonts w:ascii="Book Antiqua" w:eastAsia="Book Antiqua" w:hAnsi="Book Antiqua" w:cs="Book Antiqua"/>
        </w:rPr>
        <w:t xml:space="preserve"> submitted that whilst the Judge had not made a clear finding the evidence clearly pointed to the fact that the child’s father played no role in the child’s life and applying the principles in </w:t>
      </w:r>
      <w:r>
        <w:rPr>
          <w:rFonts w:ascii="Book Antiqua" w:eastAsia="Book Antiqua" w:hAnsi="Book Antiqua" w:cs="Book Antiqua"/>
          <w:u w:val="single"/>
        </w:rPr>
        <w:t>Ruiz Zambrano</w:t>
      </w:r>
      <w:r>
        <w:rPr>
          <w:rFonts w:ascii="Book Antiqua" w:eastAsia="Book Antiqua" w:hAnsi="Book Antiqua" w:cs="Book Antiqua"/>
        </w:rPr>
        <w:t xml:space="preserve"> C-24/09</w:t>
      </w:r>
      <w:r w:rsidR="00890247">
        <w:rPr>
          <w:rFonts w:ascii="Book Antiqua" w:eastAsia="Book Antiqua" w:hAnsi="Book Antiqua" w:cs="Book Antiqua"/>
        </w:rPr>
        <w:t xml:space="preserve"> the appellant’s appeal must succeed as requiring the appellant to leave the United Kingdom would also lead to the child, a British citizen, also be</w:t>
      </w:r>
      <w:r w:rsidR="00D33CBE">
        <w:rPr>
          <w:rFonts w:ascii="Book Antiqua" w:eastAsia="Book Antiqua" w:hAnsi="Book Antiqua" w:cs="Book Antiqua"/>
        </w:rPr>
        <w:t>ing</w:t>
      </w:r>
      <w:r w:rsidR="00890247">
        <w:rPr>
          <w:rFonts w:ascii="Book Antiqua" w:eastAsia="Book Antiqua" w:hAnsi="Book Antiqua" w:cs="Book Antiqua"/>
        </w:rPr>
        <w:t xml:space="preserve"> forced to leave the country. </w:t>
      </w:r>
    </w:p>
    <w:p w:rsidR="00890247" w:rsidRDefault="00890247" w:rsidP="00DE0374">
      <w:pPr>
        <w:numPr>
          <w:ilvl w:val="0"/>
          <w:numId w:val="3"/>
        </w:numPr>
        <w:spacing w:before="240"/>
        <w:jc w:val="both"/>
        <w:rPr>
          <w:rFonts w:ascii="Book Antiqua" w:hAnsi="Book Antiqua" w:cs="Arial"/>
        </w:rPr>
      </w:pPr>
      <w:r>
        <w:rPr>
          <w:rFonts w:ascii="Book Antiqua" w:hAnsi="Book Antiqua" w:cs="Arial"/>
        </w:rPr>
        <w:t xml:space="preserve">I indicated to the representatives that I agreed there was an error </w:t>
      </w:r>
      <w:r w:rsidR="003D5710">
        <w:rPr>
          <w:rFonts w:ascii="Book Antiqua" w:hAnsi="Book Antiqua" w:cs="Arial"/>
        </w:rPr>
        <w:t xml:space="preserve">in law as the Judge had </w:t>
      </w:r>
      <w:r w:rsidR="00D33CBE">
        <w:rPr>
          <w:rFonts w:ascii="Book Antiqua" w:hAnsi="Book Antiqua" w:cs="Arial"/>
        </w:rPr>
        <w:t xml:space="preserve">failed to address the fact the appellant’s child was a British citizen who had been living here for over ten years. </w:t>
      </w:r>
      <w:r w:rsidR="003D5710">
        <w:rPr>
          <w:rFonts w:ascii="Book Antiqua" w:hAnsi="Book Antiqua" w:cs="Arial"/>
        </w:rPr>
        <w:t>As far as the child’s father was concerned</w:t>
      </w:r>
      <w:r w:rsidR="00321507">
        <w:rPr>
          <w:rFonts w:ascii="Book Antiqua" w:hAnsi="Book Antiqua" w:cs="Arial"/>
        </w:rPr>
        <w:t xml:space="preserve">, </w:t>
      </w:r>
      <w:r w:rsidR="003D5710">
        <w:rPr>
          <w:rFonts w:ascii="Book Antiqua" w:hAnsi="Book Antiqua" w:cs="Arial"/>
        </w:rPr>
        <w:t xml:space="preserve">I indicated to Mr Jarvis the decision was as clear as it could be. </w:t>
      </w:r>
      <w:r w:rsidR="00321507">
        <w:rPr>
          <w:rFonts w:ascii="Book Antiqua" w:hAnsi="Book Antiqua" w:cs="Arial"/>
        </w:rPr>
        <w:t xml:space="preserve">The evidence presented indicated there </w:t>
      </w:r>
      <w:r w:rsidR="003D5710">
        <w:rPr>
          <w:rFonts w:ascii="Book Antiqua" w:hAnsi="Book Antiqua" w:cs="Arial"/>
        </w:rPr>
        <w:t xml:space="preserve">had been no contact with </w:t>
      </w:r>
      <w:r w:rsidR="00321507">
        <w:rPr>
          <w:rFonts w:ascii="Book Antiqua" w:hAnsi="Book Antiqua" w:cs="Arial"/>
        </w:rPr>
        <w:t xml:space="preserve">the child’s father at all </w:t>
      </w:r>
      <w:r w:rsidR="003D5710">
        <w:rPr>
          <w:rFonts w:ascii="Book Antiqua" w:hAnsi="Book Antiqua" w:cs="Arial"/>
        </w:rPr>
        <w:t xml:space="preserve">and there was nothing on </w:t>
      </w:r>
      <w:r w:rsidR="00321507">
        <w:rPr>
          <w:rFonts w:ascii="Book Antiqua" w:hAnsi="Book Antiqua" w:cs="Arial"/>
        </w:rPr>
        <w:t xml:space="preserve">the Tribunal or respondent </w:t>
      </w:r>
      <w:r w:rsidR="003D5710">
        <w:rPr>
          <w:rFonts w:ascii="Book Antiqua" w:hAnsi="Book Antiqua" w:cs="Arial"/>
        </w:rPr>
        <w:t>file</w:t>
      </w:r>
      <w:r w:rsidR="00321507">
        <w:rPr>
          <w:rFonts w:ascii="Book Antiqua" w:hAnsi="Book Antiqua" w:cs="Arial"/>
        </w:rPr>
        <w:t>s</w:t>
      </w:r>
      <w:r w:rsidR="003D5710">
        <w:rPr>
          <w:rFonts w:ascii="Book Antiqua" w:hAnsi="Book Antiqua" w:cs="Arial"/>
        </w:rPr>
        <w:t xml:space="preserve"> that suggested anything that would enable a Judge to conclude </w:t>
      </w:r>
      <w:r w:rsidR="00321507">
        <w:rPr>
          <w:rFonts w:ascii="Book Antiqua" w:hAnsi="Book Antiqua" w:cs="Arial"/>
        </w:rPr>
        <w:t>differently</w:t>
      </w:r>
      <w:r w:rsidR="003D5710">
        <w:rPr>
          <w:rFonts w:ascii="Book Antiqua" w:hAnsi="Book Antiqua" w:cs="Arial"/>
        </w:rPr>
        <w:t>.</w:t>
      </w:r>
      <w:r w:rsidR="00321507">
        <w:rPr>
          <w:rFonts w:ascii="Book Antiqua" w:hAnsi="Book Antiqua" w:cs="Arial"/>
        </w:rPr>
        <w:t xml:space="preserve"> Whilst the Judge had concerns about the reliability of the appellant’s own evidence that did not alter the fact (a) the child was British; (b) he had been here for over ten years and (c) there was no evidence his father had any contact with him. </w:t>
      </w:r>
    </w:p>
    <w:p w:rsidR="003D5710" w:rsidRDefault="003D5710" w:rsidP="00DE0374">
      <w:pPr>
        <w:numPr>
          <w:ilvl w:val="0"/>
          <w:numId w:val="3"/>
        </w:numPr>
        <w:spacing w:before="240"/>
        <w:jc w:val="both"/>
        <w:rPr>
          <w:rFonts w:ascii="Book Antiqua" w:hAnsi="Book Antiqua" w:cs="Arial"/>
        </w:rPr>
      </w:pPr>
      <w:r>
        <w:rPr>
          <w:rFonts w:ascii="Book Antiqua" w:hAnsi="Book Antiqua" w:cs="Arial"/>
        </w:rPr>
        <w:t xml:space="preserve">Mr Jarvis accepted that if that was </w:t>
      </w:r>
      <w:r w:rsidR="00321507">
        <w:rPr>
          <w:rFonts w:ascii="Book Antiqua" w:hAnsi="Book Antiqua" w:cs="Arial"/>
        </w:rPr>
        <w:t xml:space="preserve">the Tribunal’s </w:t>
      </w:r>
      <w:r>
        <w:rPr>
          <w:rFonts w:ascii="Book Antiqua" w:hAnsi="Book Antiqua" w:cs="Arial"/>
        </w:rPr>
        <w:t xml:space="preserve">view then the appeal should be allowed under the </w:t>
      </w:r>
      <w:r w:rsidRPr="00321507">
        <w:rPr>
          <w:rFonts w:ascii="Book Antiqua" w:hAnsi="Book Antiqua" w:cs="Arial"/>
          <w:i/>
        </w:rPr>
        <w:t>Zambrano</w:t>
      </w:r>
      <w:r>
        <w:rPr>
          <w:rFonts w:ascii="Book Antiqua" w:hAnsi="Book Antiqua" w:cs="Arial"/>
        </w:rPr>
        <w:t xml:space="preserve"> principle because to require the appellant to leave would force a British citizen to leave the United Kingdom</w:t>
      </w:r>
      <w:r w:rsidR="00321507">
        <w:rPr>
          <w:rFonts w:ascii="Book Antiqua" w:hAnsi="Book Antiqua" w:cs="Arial"/>
        </w:rPr>
        <w:t xml:space="preserve"> and that would be a breach of the child’s rights. </w:t>
      </w:r>
    </w:p>
    <w:p w:rsidR="00B32DFF" w:rsidRDefault="003D5710" w:rsidP="005038FA">
      <w:pPr>
        <w:numPr>
          <w:ilvl w:val="0"/>
          <w:numId w:val="3"/>
        </w:numPr>
        <w:spacing w:before="240"/>
        <w:jc w:val="both"/>
        <w:rPr>
          <w:rFonts w:ascii="Book Antiqua" w:hAnsi="Book Antiqua" w:cs="Arial"/>
        </w:rPr>
      </w:pPr>
      <w:r>
        <w:rPr>
          <w:rFonts w:ascii="Book Antiqua" w:hAnsi="Book Antiqua" w:cs="Arial"/>
        </w:rPr>
        <w:t xml:space="preserve">I therefore </w:t>
      </w:r>
      <w:r w:rsidR="00321507">
        <w:rPr>
          <w:rFonts w:ascii="Book Antiqua" w:hAnsi="Book Antiqua" w:cs="Arial"/>
        </w:rPr>
        <w:t xml:space="preserve">find there was an error in law. </w:t>
      </w:r>
    </w:p>
    <w:p w:rsidR="00864126" w:rsidRPr="00424863" w:rsidRDefault="00864126" w:rsidP="00424863">
      <w:pPr>
        <w:spacing w:before="240"/>
        <w:jc w:val="both"/>
        <w:rPr>
          <w:rFonts w:ascii="Book Antiqua" w:hAnsi="Book Antiqua" w:cs="Arial"/>
        </w:rPr>
      </w:pPr>
      <w:r w:rsidRPr="00424863">
        <w:rPr>
          <w:rFonts w:ascii="Book Antiqua" w:hAnsi="Book Antiqua" w:cs="Arial"/>
          <w:b/>
          <w:u w:val="single"/>
        </w:rPr>
        <w:t>Notice of Decision</w:t>
      </w:r>
    </w:p>
    <w:p w:rsidR="00424863" w:rsidRPr="009B2BDA" w:rsidRDefault="009B2BDA" w:rsidP="00864126">
      <w:pPr>
        <w:numPr>
          <w:ilvl w:val="0"/>
          <w:numId w:val="3"/>
        </w:numPr>
        <w:spacing w:before="240"/>
        <w:jc w:val="both"/>
        <w:rPr>
          <w:rFonts w:ascii="Book Antiqua" w:hAnsi="Book Antiqua" w:cs="Arial"/>
        </w:rPr>
      </w:pPr>
      <w:r w:rsidRPr="009B2BDA">
        <w:rPr>
          <w:rFonts w:ascii="Book Antiqua" w:hAnsi="Book Antiqua"/>
        </w:rPr>
        <w:t xml:space="preserve">There is </w:t>
      </w:r>
      <w:r w:rsidR="003D5710">
        <w:rPr>
          <w:rFonts w:ascii="Book Antiqua" w:hAnsi="Book Antiqua"/>
        </w:rPr>
        <w:t xml:space="preserve">an </w:t>
      </w:r>
      <w:r w:rsidRPr="009B2BDA">
        <w:rPr>
          <w:rFonts w:ascii="Book Antiqua" w:hAnsi="Book Antiqua"/>
        </w:rPr>
        <w:t>error of law.</w:t>
      </w:r>
      <w:r w:rsidR="005F2B51">
        <w:rPr>
          <w:rFonts w:ascii="Book Antiqua" w:hAnsi="Book Antiqua"/>
        </w:rPr>
        <w:t xml:space="preserve"> I </w:t>
      </w:r>
      <w:r w:rsidR="003D5710">
        <w:rPr>
          <w:rFonts w:ascii="Book Antiqua" w:hAnsi="Book Antiqua"/>
        </w:rPr>
        <w:t xml:space="preserve">set aside </w:t>
      </w:r>
      <w:r w:rsidR="005F2B51">
        <w:rPr>
          <w:rFonts w:ascii="Book Antiqua" w:hAnsi="Book Antiqua"/>
        </w:rPr>
        <w:t>the original decision</w:t>
      </w:r>
      <w:r w:rsidR="003D5710">
        <w:rPr>
          <w:rFonts w:ascii="Book Antiqua" w:hAnsi="Book Antiqua"/>
        </w:rPr>
        <w:t xml:space="preserve"> and remake it</w:t>
      </w:r>
      <w:r w:rsidR="00B14609">
        <w:rPr>
          <w:rFonts w:ascii="Book Antiqua" w:hAnsi="Book Antiqua"/>
        </w:rPr>
        <w:t>,</w:t>
      </w:r>
      <w:r w:rsidR="003D5710">
        <w:rPr>
          <w:rFonts w:ascii="Book Antiqua" w:hAnsi="Book Antiqua"/>
        </w:rPr>
        <w:t xml:space="preserve"> allowing it under article 8 ECHR. </w:t>
      </w:r>
    </w:p>
    <w:p w:rsidR="00864126" w:rsidRDefault="00864126" w:rsidP="00864126">
      <w:pPr>
        <w:jc w:val="both"/>
        <w:rPr>
          <w:rFonts w:ascii="Book Antiqua" w:hAnsi="Book Antiqua" w:cs="Arial"/>
        </w:rPr>
      </w:pPr>
    </w:p>
    <w:p w:rsidR="009E1EED" w:rsidRPr="00F5664C" w:rsidRDefault="009E1EED" w:rsidP="009E1EE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B32DFF">
        <w:rPr>
          <w:rFonts w:ascii="Book Antiqua" w:hAnsi="Book Antiqua" w:cs="Arial"/>
        </w:rPr>
        <w:t>09/11</w:t>
      </w:r>
      <w:r>
        <w:rPr>
          <w:rFonts w:ascii="Book Antiqua" w:hAnsi="Book Antiqua" w:cs="Arial"/>
        </w:rPr>
        <w:t>/2018</w:t>
      </w:r>
    </w:p>
    <w:p w:rsidR="009E1EED" w:rsidRDefault="009E1EED" w:rsidP="009E1EED">
      <w:pPr>
        <w:tabs>
          <w:tab w:val="left" w:pos="2520"/>
        </w:tabs>
        <w:jc w:val="both"/>
        <w:rPr>
          <w:rFonts w:ascii="Book Antiqua" w:hAnsi="Book Antiqua" w:cs="Arial"/>
        </w:rPr>
      </w:pPr>
    </w:p>
    <w:p w:rsidR="009E1EED" w:rsidRDefault="00DB6C6C" w:rsidP="009E1EED">
      <w:pPr>
        <w:tabs>
          <w:tab w:val="left" w:pos="2520"/>
        </w:tabs>
        <w:jc w:val="both"/>
        <w:rPr>
          <w:rFonts w:ascii="Book Antiqua" w:hAnsi="Book Antiqua" w:cs="Arial"/>
        </w:rPr>
      </w:pPr>
      <w:r w:rsidRPr="009E1EED">
        <w:rPr>
          <w:rFonts w:ascii="Book Antiqua" w:hAnsi="Book Antiqua"/>
          <w:noProof/>
          <w:color w:val="000000"/>
          <w:sz w:val="22"/>
          <w:szCs w:val="22"/>
        </w:rPr>
        <w:drawing>
          <wp:inline distT="0" distB="0" distL="0" distR="0">
            <wp:extent cx="10414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9E1EED" w:rsidP="009E1EED">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p w:rsidR="005F2B51" w:rsidRDefault="005F2B51" w:rsidP="009E1EED">
      <w:pPr>
        <w:tabs>
          <w:tab w:val="left" w:pos="2520"/>
        </w:tabs>
        <w:jc w:val="both"/>
        <w:rPr>
          <w:rFonts w:ascii="Book Antiqua" w:hAnsi="Book Antiqua" w:cs="Arial"/>
        </w:rPr>
      </w:pPr>
    </w:p>
    <w:p w:rsidR="005F2B51" w:rsidRDefault="005F2B51" w:rsidP="009E1EED">
      <w:pPr>
        <w:tabs>
          <w:tab w:val="left" w:pos="2520"/>
        </w:tabs>
        <w:jc w:val="both"/>
        <w:rPr>
          <w:rFonts w:ascii="Book Antiqua" w:hAnsi="Book Antiqua" w:cs="Arial"/>
          <w:b/>
          <w:u w:val="single"/>
        </w:rPr>
      </w:pPr>
      <w:r>
        <w:rPr>
          <w:rFonts w:ascii="Book Antiqua" w:hAnsi="Book Antiqua" w:cs="Arial"/>
          <w:b/>
          <w:u w:val="single"/>
        </w:rPr>
        <w:t>FEE AWARD</w:t>
      </w:r>
    </w:p>
    <w:p w:rsidR="005F2B51" w:rsidRDefault="005F2B51" w:rsidP="009E1EED">
      <w:pPr>
        <w:tabs>
          <w:tab w:val="left" w:pos="2520"/>
        </w:tabs>
        <w:jc w:val="both"/>
        <w:rPr>
          <w:rFonts w:ascii="Book Antiqua" w:hAnsi="Book Antiqua" w:cs="Arial"/>
        </w:rPr>
      </w:pPr>
      <w:r>
        <w:rPr>
          <w:rFonts w:ascii="Book Antiqua" w:hAnsi="Book Antiqua" w:cs="Arial"/>
          <w:b/>
          <w:u w:val="single"/>
        </w:rPr>
        <w:t>TO THE RESPONDENT</w:t>
      </w:r>
    </w:p>
    <w:p w:rsidR="005F2B51" w:rsidRDefault="005F2B51" w:rsidP="009E1EED">
      <w:pPr>
        <w:tabs>
          <w:tab w:val="left" w:pos="2520"/>
        </w:tabs>
        <w:jc w:val="both"/>
        <w:rPr>
          <w:rFonts w:ascii="Book Antiqua" w:hAnsi="Book Antiqua" w:cs="Arial"/>
        </w:rPr>
      </w:pPr>
    </w:p>
    <w:p w:rsidR="005F2B51" w:rsidRDefault="005F2B51" w:rsidP="009E1EED">
      <w:pPr>
        <w:tabs>
          <w:tab w:val="left" w:pos="2520"/>
        </w:tabs>
        <w:jc w:val="both"/>
        <w:rPr>
          <w:rFonts w:ascii="Book Antiqua" w:hAnsi="Book Antiqua" w:cs="Arial"/>
        </w:rPr>
      </w:pPr>
      <w:r>
        <w:rPr>
          <w:rFonts w:ascii="Book Antiqua" w:hAnsi="Book Antiqua" w:cs="Arial"/>
        </w:rPr>
        <w:t xml:space="preserve">I do not make a fee award as </w:t>
      </w:r>
      <w:r w:rsidR="00321507">
        <w:rPr>
          <w:rFonts w:ascii="Book Antiqua" w:hAnsi="Book Antiqua" w:cs="Arial"/>
        </w:rPr>
        <w:t>I have allowed the</w:t>
      </w:r>
      <w:r w:rsidR="003D5710">
        <w:rPr>
          <w:rFonts w:ascii="Book Antiqua" w:hAnsi="Book Antiqua" w:cs="Arial"/>
        </w:rPr>
        <w:t xml:space="preserve"> </w:t>
      </w:r>
      <w:r w:rsidR="00321507">
        <w:rPr>
          <w:rFonts w:ascii="Book Antiqua" w:hAnsi="Book Antiqua" w:cs="Arial"/>
        </w:rPr>
        <w:t xml:space="preserve">appeal based on the child’s current circumstances. </w:t>
      </w:r>
    </w:p>
    <w:p w:rsidR="005F2B51" w:rsidRDefault="005F2B51" w:rsidP="009E1EED">
      <w:pPr>
        <w:tabs>
          <w:tab w:val="left" w:pos="2520"/>
        </w:tabs>
        <w:jc w:val="both"/>
        <w:rPr>
          <w:rFonts w:ascii="Book Antiqua" w:hAnsi="Book Antiqua" w:cs="Arial"/>
        </w:rPr>
      </w:pPr>
    </w:p>
    <w:p w:rsidR="005F2B51" w:rsidRPr="00F5664C" w:rsidRDefault="005F2B51" w:rsidP="005F2B51">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B32DFF">
        <w:rPr>
          <w:rFonts w:ascii="Book Antiqua" w:hAnsi="Book Antiqua" w:cs="Arial"/>
        </w:rPr>
        <w:t>09/11</w:t>
      </w:r>
      <w:r>
        <w:rPr>
          <w:rFonts w:ascii="Book Antiqua" w:hAnsi="Book Antiqua" w:cs="Arial"/>
        </w:rPr>
        <w:t>/2018</w:t>
      </w:r>
    </w:p>
    <w:p w:rsidR="005F2B51" w:rsidRDefault="005F2B51" w:rsidP="005F2B51">
      <w:pPr>
        <w:tabs>
          <w:tab w:val="left" w:pos="2520"/>
        </w:tabs>
        <w:jc w:val="both"/>
        <w:rPr>
          <w:rFonts w:ascii="Book Antiqua" w:hAnsi="Book Antiqua" w:cs="Arial"/>
        </w:rPr>
      </w:pPr>
    </w:p>
    <w:p w:rsidR="005F2B51" w:rsidRDefault="00DB6C6C" w:rsidP="005F2B51">
      <w:pPr>
        <w:tabs>
          <w:tab w:val="left" w:pos="2520"/>
        </w:tabs>
        <w:jc w:val="both"/>
        <w:rPr>
          <w:rFonts w:ascii="Book Antiqua" w:hAnsi="Book Antiqua" w:cs="Arial"/>
        </w:rPr>
      </w:pPr>
      <w:r w:rsidRPr="009E1EED">
        <w:rPr>
          <w:rFonts w:ascii="Book Antiqua" w:hAnsi="Book Antiqua"/>
          <w:noProof/>
          <w:color w:val="000000"/>
          <w:sz w:val="22"/>
          <w:szCs w:val="22"/>
        </w:rPr>
        <w:drawing>
          <wp:inline distT="0" distB="0" distL="0" distR="0">
            <wp:extent cx="1041400" cy="5715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5B7789" w:rsidRPr="00F5664C" w:rsidRDefault="005F2B51" w:rsidP="000369F5">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proofErr w:type="spellStart"/>
      <w:r>
        <w:rPr>
          <w:rFonts w:ascii="Book Antiqua" w:hAnsi="Book Antiqua" w:cs="Arial"/>
        </w:rPr>
        <w:t>Alis</w:t>
      </w:r>
      <w:proofErr w:type="spellEnd"/>
      <w:r w:rsidR="00B14609">
        <w:rPr>
          <w:rFonts w:ascii="Book Antiqua" w:hAnsi="Book Antiqua" w:cs="Arial"/>
        </w:rPr>
        <w:t xml:space="preserve"> </w:t>
      </w:r>
      <w:bookmarkStart w:id="0" w:name="_GoBack"/>
      <w:bookmarkEnd w:id="0"/>
    </w:p>
    <w:sectPr w:rsidR="005B7789" w:rsidRPr="00F5664C" w:rsidSect="006C5D7E">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422" w:rsidRDefault="00E72422">
      <w:r>
        <w:separator/>
      </w:r>
    </w:p>
  </w:endnote>
  <w:endnote w:type="continuationSeparator" w:id="0">
    <w:p w:rsidR="00E72422" w:rsidRDefault="00E72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Yu Gothic"/>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556A20" w:rsidRDefault="00CF253F" w:rsidP="00593795">
    <w:pPr>
      <w:pStyle w:val="Footer"/>
      <w:jc w:val="center"/>
      <w:rPr>
        <w:rFonts w:ascii="Book Antiqua" w:hAnsi="Book Antiqua" w:cs="Arial"/>
      </w:rPr>
    </w:pPr>
    <w:r w:rsidRPr="00556A20">
      <w:rPr>
        <w:rStyle w:val="PageNumber"/>
        <w:rFonts w:ascii="Book Antiqua" w:hAnsi="Book Antiqua" w:cs="Arial"/>
      </w:rPr>
      <w:fldChar w:fldCharType="begin"/>
    </w:r>
    <w:r w:rsidRPr="00556A20">
      <w:rPr>
        <w:rStyle w:val="PageNumber"/>
        <w:rFonts w:ascii="Book Antiqua" w:hAnsi="Book Antiqua" w:cs="Arial"/>
      </w:rPr>
      <w:instrText xml:space="preserve"> PAGE </w:instrText>
    </w:r>
    <w:r w:rsidRPr="00556A20">
      <w:rPr>
        <w:rStyle w:val="PageNumber"/>
        <w:rFonts w:ascii="Book Antiqua" w:hAnsi="Book Antiqua" w:cs="Arial"/>
      </w:rPr>
      <w:fldChar w:fldCharType="separate"/>
    </w:r>
    <w:r w:rsidR="00C5207D">
      <w:rPr>
        <w:rStyle w:val="PageNumber"/>
        <w:rFonts w:ascii="Book Antiqua" w:hAnsi="Book Antiqua" w:cs="Arial"/>
        <w:noProof/>
      </w:rPr>
      <w:t>3</w:t>
    </w:r>
    <w:r w:rsidRPr="00556A2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FE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422" w:rsidRDefault="00E72422">
      <w:r>
        <w:separator/>
      </w:r>
    </w:p>
  </w:footnote>
  <w:footnote w:type="continuationSeparator" w:id="0">
    <w:p w:rsidR="00E72422" w:rsidRDefault="00E72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00035D">
      <w:rPr>
        <w:rFonts w:ascii="Book Antiqua" w:hAnsi="Book Antiqua" w:cs="Arial"/>
        <w:sz w:val="16"/>
        <w:szCs w:val="16"/>
      </w:rPr>
      <w:t>HU</w:t>
    </w:r>
    <w:r w:rsidR="00CF1EEF">
      <w:rPr>
        <w:rFonts w:ascii="Book Antiqua" w:hAnsi="Book Antiqua" w:cs="Arial"/>
        <w:sz w:val="16"/>
        <w:szCs w:val="16"/>
      </w:rPr>
      <w:t>/</w:t>
    </w:r>
    <w:r w:rsidR="0000035D">
      <w:rPr>
        <w:rFonts w:ascii="Book Antiqua" w:hAnsi="Book Antiqua" w:cs="Arial"/>
        <w:sz w:val="16"/>
        <w:szCs w:val="16"/>
      </w:rPr>
      <w:t>09336</w:t>
    </w:r>
    <w:r w:rsidR="00CF1EEF">
      <w:rPr>
        <w:rFonts w:ascii="Book Antiqua" w:hAnsi="Book Antiqua" w:cs="Arial"/>
        <w:sz w:val="16"/>
        <w:szCs w:val="16"/>
      </w:rPr>
      <w:t>/201</w:t>
    </w:r>
    <w:r w:rsidR="0000035D">
      <w:rPr>
        <w:rFonts w:ascii="Book Antiqua" w:hAnsi="Book Antiqua" w:cs="Arial"/>
        <w:sz w:val="16"/>
        <w:szCs w:val="16"/>
      </w:rPr>
      <w:t>7</w:t>
    </w:r>
  </w:p>
  <w:p w:rsidR="00556A20" w:rsidRPr="00F5664C" w:rsidRDefault="00556A2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2847002"/>
    <w:multiLevelType w:val="hybridMultilevel"/>
    <w:tmpl w:val="BEA8E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4"/>
  </w:num>
  <w:num w:numId="4">
    <w:abstractNumId w:val="13"/>
  </w:num>
  <w:num w:numId="5">
    <w:abstractNumId w:val="23"/>
  </w:num>
  <w:num w:numId="6">
    <w:abstractNumId w:val="14"/>
  </w:num>
  <w:num w:numId="7">
    <w:abstractNumId w:val="22"/>
  </w:num>
  <w:num w:numId="8">
    <w:abstractNumId w:val="10"/>
  </w:num>
  <w:num w:numId="9">
    <w:abstractNumId w:val="8"/>
  </w:num>
  <w:num w:numId="10">
    <w:abstractNumId w:val="20"/>
  </w:num>
  <w:num w:numId="11">
    <w:abstractNumId w:val="18"/>
  </w:num>
  <w:num w:numId="12">
    <w:abstractNumId w:val="2"/>
  </w:num>
  <w:num w:numId="13">
    <w:abstractNumId w:val="17"/>
  </w:num>
  <w:num w:numId="14">
    <w:abstractNumId w:val="1"/>
  </w:num>
  <w:num w:numId="15">
    <w:abstractNumId w:val="5"/>
  </w:num>
  <w:num w:numId="16">
    <w:abstractNumId w:val="7"/>
  </w:num>
  <w:num w:numId="17">
    <w:abstractNumId w:val="15"/>
  </w:num>
  <w:num w:numId="18">
    <w:abstractNumId w:val="11"/>
  </w:num>
  <w:num w:numId="19">
    <w:abstractNumId w:val="12"/>
  </w:num>
  <w:num w:numId="20">
    <w:abstractNumId w:val="21"/>
  </w:num>
  <w:num w:numId="21">
    <w:abstractNumId w:val="0"/>
  </w:num>
  <w:num w:numId="22">
    <w:abstractNumId w:val="19"/>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8C701F-17D4-409E-8CAD-D08E7FEDA521}"/>
    <w:docVar w:name="dgnword-eventsink" w:val="2930832047664"/>
  </w:docVars>
  <w:rsids>
    <w:rsidRoot w:val="00CF1EEF"/>
    <w:rsid w:val="0000035D"/>
    <w:rsid w:val="00000621"/>
    <w:rsid w:val="000036C2"/>
    <w:rsid w:val="0000577C"/>
    <w:rsid w:val="00033D3D"/>
    <w:rsid w:val="000369F5"/>
    <w:rsid w:val="00042DA3"/>
    <w:rsid w:val="00071A7E"/>
    <w:rsid w:val="000746C0"/>
    <w:rsid w:val="00074D1D"/>
    <w:rsid w:val="00087037"/>
    <w:rsid w:val="00092580"/>
    <w:rsid w:val="000A32A2"/>
    <w:rsid w:val="000B0A03"/>
    <w:rsid w:val="000D0B91"/>
    <w:rsid w:val="000D5D94"/>
    <w:rsid w:val="00100ABA"/>
    <w:rsid w:val="001165A7"/>
    <w:rsid w:val="00151BB7"/>
    <w:rsid w:val="00167D3A"/>
    <w:rsid w:val="00191B38"/>
    <w:rsid w:val="001A1E2C"/>
    <w:rsid w:val="001E12F7"/>
    <w:rsid w:val="001F2716"/>
    <w:rsid w:val="0020133A"/>
    <w:rsid w:val="00201E7A"/>
    <w:rsid w:val="00207617"/>
    <w:rsid w:val="00231E87"/>
    <w:rsid w:val="00283659"/>
    <w:rsid w:val="00284DF7"/>
    <w:rsid w:val="00284E94"/>
    <w:rsid w:val="00291D5E"/>
    <w:rsid w:val="002C4E73"/>
    <w:rsid w:val="002D68BF"/>
    <w:rsid w:val="00305FBC"/>
    <w:rsid w:val="003123D7"/>
    <w:rsid w:val="0031653F"/>
    <w:rsid w:val="00321507"/>
    <w:rsid w:val="0033361B"/>
    <w:rsid w:val="00334945"/>
    <w:rsid w:val="00336CBF"/>
    <w:rsid w:val="003546C8"/>
    <w:rsid w:val="00376F8F"/>
    <w:rsid w:val="00384467"/>
    <w:rsid w:val="00392D87"/>
    <w:rsid w:val="003A7CF2"/>
    <w:rsid w:val="003B549D"/>
    <w:rsid w:val="003C0DF3"/>
    <w:rsid w:val="003C3B45"/>
    <w:rsid w:val="003C5CE5"/>
    <w:rsid w:val="003D5710"/>
    <w:rsid w:val="003D6B5D"/>
    <w:rsid w:val="003E267B"/>
    <w:rsid w:val="003E4B44"/>
    <w:rsid w:val="003E7CD1"/>
    <w:rsid w:val="00402B9E"/>
    <w:rsid w:val="0040642C"/>
    <w:rsid w:val="00423932"/>
    <w:rsid w:val="00424863"/>
    <w:rsid w:val="004249CB"/>
    <w:rsid w:val="0044127D"/>
    <w:rsid w:val="004448DB"/>
    <w:rsid w:val="00446C9A"/>
    <w:rsid w:val="00456521"/>
    <w:rsid w:val="00477193"/>
    <w:rsid w:val="004852B5"/>
    <w:rsid w:val="004A1848"/>
    <w:rsid w:val="004A1DA2"/>
    <w:rsid w:val="004A26E3"/>
    <w:rsid w:val="004F3FB8"/>
    <w:rsid w:val="004F74DD"/>
    <w:rsid w:val="005038FA"/>
    <w:rsid w:val="00507FEC"/>
    <w:rsid w:val="00510F0E"/>
    <w:rsid w:val="005117C2"/>
    <w:rsid w:val="005162BB"/>
    <w:rsid w:val="00516E48"/>
    <w:rsid w:val="00541D19"/>
    <w:rsid w:val="005479E1"/>
    <w:rsid w:val="00556A20"/>
    <w:rsid w:val="005570FD"/>
    <w:rsid w:val="005575EA"/>
    <w:rsid w:val="00564626"/>
    <w:rsid w:val="0057790C"/>
    <w:rsid w:val="00593795"/>
    <w:rsid w:val="005A75FF"/>
    <w:rsid w:val="005B28C5"/>
    <w:rsid w:val="005B4942"/>
    <w:rsid w:val="005B7789"/>
    <w:rsid w:val="005F2B51"/>
    <w:rsid w:val="0061287C"/>
    <w:rsid w:val="00622725"/>
    <w:rsid w:val="006313D3"/>
    <w:rsid w:val="00640E14"/>
    <w:rsid w:val="00652803"/>
    <w:rsid w:val="0065791C"/>
    <w:rsid w:val="00660156"/>
    <w:rsid w:val="00677176"/>
    <w:rsid w:val="00690B8A"/>
    <w:rsid w:val="00692EE1"/>
    <w:rsid w:val="006C5D7E"/>
    <w:rsid w:val="006D1DFA"/>
    <w:rsid w:val="006D506B"/>
    <w:rsid w:val="006D5949"/>
    <w:rsid w:val="006E3C90"/>
    <w:rsid w:val="006F08DA"/>
    <w:rsid w:val="0070037C"/>
    <w:rsid w:val="00704B61"/>
    <w:rsid w:val="007344F1"/>
    <w:rsid w:val="00742A8D"/>
    <w:rsid w:val="0075191E"/>
    <w:rsid w:val="00754EF5"/>
    <w:rsid w:val="007552A9"/>
    <w:rsid w:val="00761858"/>
    <w:rsid w:val="00762FE7"/>
    <w:rsid w:val="00767D59"/>
    <w:rsid w:val="00773B0E"/>
    <w:rsid w:val="00776E97"/>
    <w:rsid w:val="00780FD7"/>
    <w:rsid w:val="007912AD"/>
    <w:rsid w:val="007A1F28"/>
    <w:rsid w:val="007B0824"/>
    <w:rsid w:val="007F1340"/>
    <w:rsid w:val="008303B8"/>
    <w:rsid w:val="00833DCE"/>
    <w:rsid w:val="008373E9"/>
    <w:rsid w:val="00841581"/>
    <w:rsid w:val="00842418"/>
    <w:rsid w:val="00842F89"/>
    <w:rsid w:val="00864126"/>
    <w:rsid w:val="00871D34"/>
    <w:rsid w:val="00880FD2"/>
    <w:rsid w:val="00890247"/>
    <w:rsid w:val="008A6D99"/>
    <w:rsid w:val="008B270C"/>
    <w:rsid w:val="008C3D3D"/>
    <w:rsid w:val="008D4131"/>
    <w:rsid w:val="008E09DA"/>
    <w:rsid w:val="008F1932"/>
    <w:rsid w:val="008F294D"/>
    <w:rsid w:val="00911478"/>
    <w:rsid w:val="00915E39"/>
    <w:rsid w:val="00916A58"/>
    <w:rsid w:val="00921062"/>
    <w:rsid w:val="0093083E"/>
    <w:rsid w:val="009451FF"/>
    <w:rsid w:val="009553DD"/>
    <w:rsid w:val="00955A2A"/>
    <w:rsid w:val="00955B0E"/>
    <w:rsid w:val="009659C4"/>
    <w:rsid w:val="00966ECF"/>
    <w:rsid w:val="00970B52"/>
    <w:rsid w:val="009727A3"/>
    <w:rsid w:val="00987774"/>
    <w:rsid w:val="009A11E8"/>
    <w:rsid w:val="009A43A1"/>
    <w:rsid w:val="009A7E85"/>
    <w:rsid w:val="009B2BDA"/>
    <w:rsid w:val="009E0222"/>
    <w:rsid w:val="009E1EED"/>
    <w:rsid w:val="009E4E62"/>
    <w:rsid w:val="009F5220"/>
    <w:rsid w:val="009F7C4D"/>
    <w:rsid w:val="00A15234"/>
    <w:rsid w:val="00A201AB"/>
    <w:rsid w:val="00A31C8B"/>
    <w:rsid w:val="00A356D5"/>
    <w:rsid w:val="00A45ACE"/>
    <w:rsid w:val="00A46960"/>
    <w:rsid w:val="00A54733"/>
    <w:rsid w:val="00A845DC"/>
    <w:rsid w:val="00A97AEE"/>
    <w:rsid w:val="00AC5CF6"/>
    <w:rsid w:val="00AC7862"/>
    <w:rsid w:val="00B144FA"/>
    <w:rsid w:val="00B14609"/>
    <w:rsid w:val="00B16F58"/>
    <w:rsid w:val="00B30648"/>
    <w:rsid w:val="00B322F4"/>
    <w:rsid w:val="00B32DFF"/>
    <w:rsid w:val="00B3524D"/>
    <w:rsid w:val="00B40F69"/>
    <w:rsid w:val="00B46616"/>
    <w:rsid w:val="00B57A65"/>
    <w:rsid w:val="00B610E3"/>
    <w:rsid w:val="00B61205"/>
    <w:rsid w:val="00B617C4"/>
    <w:rsid w:val="00B626FA"/>
    <w:rsid w:val="00B66D87"/>
    <w:rsid w:val="00B7040A"/>
    <w:rsid w:val="00B71622"/>
    <w:rsid w:val="00B91DB5"/>
    <w:rsid w:val="00B947BF"/>
    <w:rsid w:val="00B96FA0"/>
    <w:rsid w:val="00BB2AA8"/>
    <w:rsid w:val="00BD4196"/>
    <w:rsid w:val="00BE4FE1"/>
    <w:rsid w:val="00BF22CA"/>
    <w:rsid w:val="00BF25B7"/>
    <w:rsid w:val="00C26032"/>
    <w:rsid w:val="00C265B0"/>
    <w:rsid w:val="00C321B5"/>
    <w:rsid w:val="00C345E1"/>
    <w:rsid w:val="00C456B4"/>
    <w:rsid w:val="00C5207D"/>
    <w:rsid w:val="00C74D85"/>
    <w:rsid w:val="00C9551E"/>
    <w:rsid w:val="00C977BA"/>
    <w:rsid w:val="00CA2AB2"/>
    <w:rsid w:val="00CB6E35"/>
    <w:rsid w:val="00CC344B"/>
    <w:rsid w:val="00CC673F"/>
    <w:rsid w:val="00CE1A46"/>
    <w:rsid w:val="00CF1EEF"/>
    <w:rsid w:val="00CF253F"/>
    <w:rsid w:val="00CF56B4"/>
    <w:rsid w:val="00D20F09"/>
    <w:rsid w:val="00D22636"/>
    <w:rsid w:val="00D31831"/>
    <w:rsid w:val="00D33CBE"/>
    <w:rsid w:val="00D40FD9"/>
    <w:rsid w:val="00D42256"/>
    <w:rsid w:val="00D53769"/>
    <w:rsid w:val="00D54938"/>
    <w:rsid w:val="00D67604"/>
    <w:rsid w:val="00D74CFD"/>
    <w:rsid w:val="00D85C13"/>
    <w:rsid w:val="00D8675D"/>
    <w:rsid w:val="00D91BE3"/>
    <w:rsid w:val="00D94AFC"/>
    <w:rsid w:val="00DB6C6C"/>
    <w:rsid w:val="00DB70AE"/>
    <w:rsid w:val="00DB7231"/>
    <w:rsid w:val="00DD07FC"/>
    <w:rsid w:val="00DD5071"/>
    <w:rsid w:val="00DD5C39"/>
    <w:rsid w:val="00DE0374"/>
    <w:rsid w:val="00DE26AF"/>
    <w:rsid w:val="00DE7DB7"/>
    <w:rsid w:val="00E00A0A"/>
    <w:rsid w:val="00E07F57"/>
    <w:rsid w:val="00E4586A"/>
    <w:rsid w:val="00E50BCE"/>
    <w:rsid w:val="00E515A6"/>
    <w:rsid w:val="00E61292"/>
    <w:rsid w:val="00E72422"/>
    <w:rsid w:val="00E76309"/>
    <w:rsid w:val="00E77C4D"/>
    <w:rsid w:val="00E81D01"/>
    <w:rsid w:val="00E90C08"/>
    <w:rsid w:val="00E90FD1"/>
    <w:rsid w:val="00EA4F85"/>
    <w:rsid w:val="00EB7361"/>
    <w:rsid w:val="00EB7DD3"/>
    <w:rsid w:val="00EE45D8"/>
    <w:rsid w:val="00EF2A53"/>
    <w:rsid w:val="00F004CD"/>
    <w:rsid w:val="00F12507"/>
    <w:rsid w:val="00F22EDA"/>
    <w:rsid w:val="00F26555"/>
    <w:rsid w:val="00F3224D"/>
    <w:rsid w:val="00F33E0E"/>
    <w:rsid w:val="00F3723B"/>
    <w:rsid w:val="00F518AF"/>
    <w:rsid w:val="00F5664C"/>
    <w:rsid w:val="00F64613"/>
    <w:rsid w:val="00F71F8F"/>
    <w:rsid w:val="00F72B81"/>
    <w:rsid w:val="00F77D1A"/>
    <w:rsid w:val="00FA1E6B"/>
    <w:rsid w:val="00FB7E80"/>
    <w:rsid w:val="00FF3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B0F75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8A6D99"/>
    <w:pPr>
      <w:widowControl w:val="0"/>
      <w:ind w:left="720"/>
    </w:pPr>
    <w:rPr>
      <w:rFonts w:eastAsia="ヒラギノ角ゴ Pro W3"/>
      <w:color w:val="000000"/>
      <w:sz w:val="20"/>
      <w:lang w:eastAsia="en-US"/>
    </w:rPr>
  </w:style>
  <w:style w:type="character" w:styleId="Strong">
    <w:name w:val="Strong"/>
    <w:qFormat/>
    <w:rsid w:val="00B32DFF"/>
    <w:rPr>
      <w:rFonts w:cs="Times New Roman"/>
      <w:b/>
      <w:bCs/>
    </w:rPr>
  </w:style>
  <w:style w:type="character" w:styleId="CommentReference">
    <w:name w:val="annotation reference"/>
    <w:rsid w:val="008E09DA"/>
    <w:rPr>
      <w:sz w:val="16"/>
      <w:szCs w:val="16"/>
    </w:rPr>
  </w:style>
  <w:style w:type="paragraph" w:styleId="CommentText">
    <w:name w:val="annotation text"/>
    <w:basedOn w:val="Normal"/>
    <w:link w:val="CommentTextChar"/>
    <w:rsid w:val="008E09DA"/>
    <w:rPr>
      <w:sz w:val="20"/>
      <w:szCs w:val="20"/>
    </w:rPr>
  </w:style>
  <w:style w:type="character" w:customStyle="1" w:styleId="CommentTextChar">
    <w:name w:val="Comment Text Char"/>
    <w:basedOn w:val="DefaultParagraphFont"/>
    <w:link w:val="CommentText"/>
    <w:rsid w:val="008E09DA"/>
  </w:style>
  <w:style w:type="paragraph" w:styleId="CommentSubject">
    <w:name w:val="annotation subject"/>
    <w:basedOn w:val="CommentText"/>
    <w:next w:val="CommentText"/>
    <w:link w:val="CommentSubjectChar"/>
    <w:rsid w:val="008E09DA"/>
    <w:rPr>
      <w:b/>
      <w:bCs/>
    </w:rPr>
  </w:style>
  <w:style w:type="character" w:customStyle="1" w:styleId="CommentSubjectChar">
    <w:name w:val="Comment Subject Char"/>
    <w:link w:val="CommentSubject"/>
    <w:rsid w:val="008E0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0B322-92D0-4193-B7BF-6DC5DA31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4886</Characters>
  <Application>Microsoft Office Word</Application>
  <DocSecurity>0</DocSecurity>
  <Lines>40</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2018-12-12T12:13:00Z</dcterms:created>
  <dcterms:modified xsi:type="dcterms:W3CDTF">2018-12-12T12:13:00Z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