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C92869" w:rsidRDefault="00C52CBF" w:rsidP="00C321B5">
      <w:pPr>
        <w:jc w:val="center"/>
        <w:rPr>
          <w:rFonts w:ascii="Book Antiqua" w:hAnsi="Book Antiqua" w:cs="Arial"/>
          <w:sz w:val="16"/>
          <w:szCs w:val="16"/>
        </w:rPr>
      </w:pPr>
      <w:r w:rsidRPr="00C92869">
        <w:rPr>
          <w:noProof/>
          <w:sz w:val="16"/>
          <w:szCs w:val="16"/>
        </w:rPr>
        <w:drawing>
          <wp:inline distT="0" distB="0" distL="0" distR="0" wp14:anchorId="775EDF19" wp14:editId="0DA1B2C7">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C92869"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684A08"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r w:rsidR="00684A08">
        <w:rPr>
          <w:rFonts w:ascii="Book Antiqua" w:hAnsi="Book Antiqua" w:cs="Arial"/>
          <w:caps/>
        </w:rPr>
        <w:t>HU/09658/2017</w:t>
      </w:r>
    </w:p>
    <w:p w:rsidR="00684A08" w:rsidRPr="00F5664C" w:rsidRDefault="00684A08" w:rsidP="00B626FA">
      <w:pPr>
        <w:tabs>
          <w:tab w:val="right" w:pos="9639"/>
        </w:tabs>
        <w:rPr>
          <w:rFonts w:ascii="Book Antiqua" w:hAnsi="Book Antiqua" w:cs="Arial"/>
        </w:rPr>
      </w:pPr>
      <w:r>
        <w:rPr>
          <w:rFonts w:ascii="Book Antiqua" w:hAnsi="Book Antiqua" w:cs="Arial"/>
          <w:caps/>
        </w:rPr>
        <w:tab/>
        <w:t>HU/09660/2017</w:t>
      </w:r>
    </w:p>
    <w:p w:rsidR="00C345E1" w:rsidRPr="00181368" w:rsidRDefault="00181368" w:rsidP="00181368">
      <w:pPr>
        <w:tabs>
          <w:tab w:val="right" w:pos="9639"/>
        </w:tabs>
        <w:jc w:val="right"/>
        <w:rPr>
          <w:rFonts w:ascii="Book Antiqua" w:hAnsi="Book Antiqua" w:cs="Arial"/>
          <w:caps/>
        </w:rPr>
      </w:pPr>
      <w:r>
        <w:rPr>
          <w:rFonts w:ascii="Book Antiqua" w:hAnsi="Book Antiqua" w:cs="Arial"/>
          <w:caps/>
        </w:rPr>
        <w:t>HU/09655/2017</w:t>
      </w:r>
    </w:p>
    <w:p w:rsidR="00C345E1" w:rsidRDefault="00C345E1" w:rsidP="00C345E1">
      <w:pPr>
        <w:jc w:val="center"/>
        <w:rPr>
          <w:rFonts w:ascii="Book Antiqua" w:hAnsi="Book Antiqua" w:cs="Arial"/>
        </w:rPr>
      </w:pPr>
    </w:p>
    <w:p w:rsidR="00C92869" w:rsidRPr="00F5664C" w:rsidRDefault="00C92869"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D22636" w:rsidRPr="00F5664C" w:rsidTr="000E6338">
        <w:tc>
          <w:tcPr>
            <w:tcW w:w="538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84A08">
              <w:rPr>
                <w:rFonts w:ascii="Book Antiqua" w:hAnsi="Book Antiqua" w:cs="Arial"/>
                <w:b/>
              </w:rPr>
              <w:t xml:space="preserve">Field </w:t>
            </w:r>
            <w:r w:rsidR="00846438">
              <w:rPr>
                <w:rFonts w:ascii="Book Antiqua" w:hAnsi="Book Antiqua" w:cs="Arial"/>
                <w:b/>
              </w:rPr>
              <w:t>House</w:t>
            </w:r>
          </w:p>
        </w:tc>
        <w:tc>
          <w:tcPr>
            <w:tcW w:w="4626" w:type="dxa"/>
            <w:gridSpan w:val="2"/>
          </w:tcPr>
          <w:p w:rsidR="00D22636" w:rsidRPr="00F5664C" w:rsidRDefault="009F518E"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0E6338">
        <w:tc>
          <w:tcPr>
            <w:tcW w:w="5382"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846438">
              <w:rPr>
                <w:rFonts w:ascii="Book Antiqua" w:hAnsi="Book Antiqua" w:cs="Arial"/>
                <w:b/>
              </w:rPr>
              <w:t>16</w:t>
            </w:r>
            <w:r w:rsidR="00846438" w:rsidRPr="00846438">
              <w:rPr>
                <w:rFonts w:ascii="Book Antiqua" w:hAnsi="Book Antiqua" w:cs="Arial"/>
                <w:b/>
                <w:vertAlign w:val="superscript"/>
              </w:rPr>
              <w:t>th</w:t>
            </w:r>
            <w:r w:rsidR="00846438">
              <w:rPr>
                <w:rFonts w:ascii="Book Antiqua" w:hAnsi="Book Antiqua" w:cs="Arial"/>
                <w:b/>
              </w:rPr>
              <w:t xml:space="preserve"> August 2018</w:t>
            </w:r>
          </w:p>
        </w:tc>
        <w:tc>
          <w:tcPr>
            <w:tcW w:w="4626" w:type="dxa"/>
            <w:gridSpan w:val="2"/>
          </w:tcPr>
          <w:p w:rsidR="00D22636" w:rsidRPr="00F5664C" w:rsidRDefault="000E6338" w:rsidP="004A1848">
            <w:pPr>
              <w:jc w:val="both"/>
              <w:rPr>
                <w:rFonts w:ascii="Book Antiqua" w:hAnsi="Book Antiqua" w:cs="Arial"/>
                <w:b/>
              </w:rPr>
            </w:pPr>
            <w:r>
              <w:rPr>
                <w:rFonts w:ascii="Book Antiqua" w:hAnsi="Book Antiqua" w:cs="Arial"/>
                <w:b/>
              </w:rPr>
              <w:t>On 03</w:t>
            </w:r>
            <w:r w:rsidRPr="000E6338">
              <w:rPr>
                <w:rFonts w:ascii="Book Antiqua" w:hAnsi="Book Antiqua" w:cs="Arial"/>
                <w:b/>
                <w:vertAlign w:val="superscript"/>
              </w:rPr>
              <w:t>rd</w:t>
            </w:r>
            <w:r>
              <w:rPr>
                <w:rFonts w:ascii="Book Antiqua" w:hAnsi="Book Antiqua" w:cs="Arial"/>
                <w:b/>
              </w:rPr>
              <w:t xml:space="preserve"> September 2018 </w:t>
            </w:r>
          </w:p>
        </w:tc>
      </w:tr>
      <w:tr w:rsidR="00D22636" w:rsidRPr="00F5664C" w:rsidTr="000E6338">
        <w:tc>
          <w:tcPr>
            <w:tcW w:w="6048" w:type="dxa"/>
            <w:gridSpan w:val="2"/>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181368">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846438">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B16F58" w:rsidRDefault="00B16F58" w:rsidP="00A15234">
      <w:pPr>
        <w:jc w:val="center"/>
        <w:rPr>
          <w:rFonts w:ascii="Book Antiqua" w:hAnsi="Book Antiqua" w:cs="Arial"/>
          <w:b/>
        </w:rPr>
      </w:pPr>
    </w:p>
    <w:p w:rsidR="00C92869" w:rsidRPr="00F5664C" w:rsidRDefault="00C92869"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181368" w:rsidRPr="00F5664C" w:rsidRDefault="00181368" w:rsidP="00A15234">
      <w:pPr>
        <w:jc w:val="center"/>
        <w:rPr>
          <w:rFonts w:ascii="Book Antiqua" w:hAnsi="Book Antiqua" w:cs="Arial"/>
          <w:b/>
        </w:rPr>
      </w:pPr>
    </w:p>
    <w:p w:rsidR="00A845DC" w:rsidRPr="00181368" w:rsidRDefault="00181368" w:rsidP="00181368">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181368">
      <w:pPr>
        <w:rPr>
          <w:rFonts w:ascii="Book Antiqua" w:hAnsi="Book Antiqua" w:cs="Arial"/>
          <w:b/>
          <w:caps/>
        </w:rPr>
      </w:pPr>
      <w:bookmarkStart w:id="0" w:name="_Hlk522540375"/>
    </w:p>
    <w:bookmarkEnd w:id="0"/>
    <w:p w:rsidR="00181368" w:rsidRDefault="00181368" w:rsidP="00181368">
      <w:pPr>
        <w:jc w:val="center"/>
        <w:rPr>
          <w:rFonts w:ascii="Book Antiqua" w:hAnsi="Book Antiqua" w:cs="Arial"/>
          <w:b/>
          <w:caps/>
        </w:rPr>
      </w:pPr>
      <w:r>
        <w:rPr>
          <w:rFonts w:ascii="Book Antiqua" w:hAnsi="Book Antiqua" w:cs="Arial"/>
          <w:b/>
          <w:caps/>
        </w:rPr>
        <w:t xml:space="preserve">vimalendran </w:t>
      </w:r>
      <w:r w:rsidR="00C92869">
        <w:rPr>
          <w:rFonts w:ascii="Book Antiqua" w:hAnsi="Book Antiqua" w:cs="Arial"/>
          <w:b/>
          <w:caps/>
        </w:rPr>
        <w:t>[</w:t>
      </w:r>
      <w:r>
        <w:rPr>
          <w:rFonts w:ascii="Book Antiqua" w:hAnsi="Book Antiqua" w:cs="Arial"/>
          <w:b/>
          <w:caps/>
        </w:rPr>
        <w:t>b</w:t>
      </w:r>
      <w:r w:rsidR="00C92869">
        <w:rPr>
          <w:rFonts w:ascii="Book Antiqua" w:hAnsi="Book Antiqua" w:cs="Arial"/>
          <w:b/>
          <w:caps/>
        </w:rPr>
        <w:t>]</w:t>
      </w:r>
    </w:p>
    <w:p w:rsidR="00181368" w:rsidRDefault="00181368" w:rsidP="00181368">
      <w:pPr>
        <w:jc w:val="center"/>
        <w:rPr>
          <w:rFonts w:ascii="Book Antiqua" w:hAnsi="Book Antiqua" w:cs="Arial"/>
          <w:b/>
          <w:caps/>
        </w:rPr>
      </w:pPr>
      <w:r>
        <w:rPr>
          <w:rFonts w:ascii="Book Antiqua" w:hAnsi="Book Antiqua" w:cs="Arial"/>
          <w:b/>
          <w:caps/>
        </w:rPr>
        <w:t xml:space="preserve">bavani </w:t>
      </w:r>
      <w:r w:rsidR="00C92869">
        <w:rPr>
          <w:rFonts w:ascii="Book Antiqua" w:hAnsi="Book Antiqua" w:cs="Arial"/>
          <w:b/>
          <w:caps/>
        </w:rPr>
        <w:t>[</w:t>
      </w:r>
      <w:r>
        <w:rPr>
          <w:rFonts w:ascii="Book Antiqua" w:hAnsi="Book Antiqua" w:cs="Arial"/>
          <w:b/>
          <w:caps/>
        </w:rPr>
        <w:t>b</w:t>
      </w:r>
      <w:r w:rsidR="00C92869">
        <w:rPr>
          <w:rFonts w:ascii="Book Antiqua" w:hAnsi="Book Antiqua" w:cs="Arial"/>
          <w:b/>
          <w:caps/>
        </w:rPr>
        <w:t>]</w:t>
      </w:r>
    </w:p>
    <w:p w:rsidR="00181368" w:rsidRDefault="00C92869" w:rsidP="00181368">
      <w:pPr>
        <w:jc w:val="center"/>
        <w:rPr>
          <w:rFonts w:ascii="Book Antiqua" w:hAnsi="Book Antiqua" w:cs="Arial"/>
          <w:b/>
          <w:caps/>
        </w:rPr>
      </w:pPr>
      <w:r>
        <w:rPr>
          <w:rFonts w:ascii="Book Antiqua" w:hAnsi="Book Antiqua" w:cs="Arial"/>
          <w:b/>
          <w:caps/>
        </w:rPr>
        <w:t>[</w:t>
      </w:r>
      <w:r w:rsidR="00181368">
        <w:rPr>
          <w:rFonts w:ascii="Book Antiqua" w:hAnsi="Book Antiqua" w:cs="Arial"/>
          <w:b/>
          <w:caps/>
        </w:rPr>
        <w:t>b</w:t>
      </w:r>
      <w:r>
        <w:rPr>
          <w:rFonts w:ascii="Book Antiqua" w:hAnsi="Book Antiqua" w:cs="Arial"/>
          <w:b/>
          <w:caps/>
        </w:rPr>
        <w:t xml:space="preserve"> </w:t>
      </w:r>
      <w:r w:rsidR="00181368">
        <w:rPr>
          <w:rFonts w:ascii="Book Antiqua" w:hAnsi="Book Antiqua" w:cs="Arial"/>
          <w:b/>
          <w:caps/>
        </w:rPr>
        <w:t>b</w:t>
      </w:r>
      <w:r>
        <w:rPr>
          <w:rFonts w:ascii="Book Antiqua" w:hAnsi="Book Antiqua" w:cs="Arial"/>
          <w:b/>
          <w:caps/>
        </w:rPr>
        <w:t>]</w:t>
      </w:r>
    </w:p>
    <w:p w:rsidR="00DD5071" w:rsidRPr="00C92869" w:rsidRDefault="00181368" w:rsidP="00181368">
      <w:pPr>
        <w:jc w:val="center"/>
        <w:rPr>
          <w:rFonts w:ascii="Book Antiqua" w:hAnsi="Book Antiqua" w:cs="Arial"/>
          <w:b/>
          <w:caps/>
          <w:sz w:val="22"/>
        </w:rPr>
      </w:pPr>
      <w:r w:rsidRPr="00C92869">
        <w:rPr>
          <w:rFonts w:ascii="Book Antiqua" w:hAnsi="Book Antiqua" w:cs="Arial"/>
          <w:b/>
          <w:caps/>
          <w:sz w:val="22"/>
        </w:rPr>
        <w:t>(ANONYMITY order not made)</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r w:rsidR="00181368">
        <w:rPr>
          <w:rFonts w:ascii="Book Antiqua" w:hAnsi="Book Antiqua" w:cs="Arial"/>
          <w:u w:val="single"/>
        </w:rPr>
        <w:t>s</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81368">
        <w:rPr>
          <w:rFonts w:ascii="Book Antiqua" w:hAnsi="Book Antiqua" w:cs="Arial"/>
        </w:rPr>
        <w:t xml:space="preserve">Ms R Pettersen, </w:t>
      </w:r>
      <w:r w:rsidR="0012110F">
        <w:rPr>
          <w:rFonts w:ascii="Book Antiqua" w:hAnsi="Book Antiqua" w:cs="Arial"/>
        </w:rPr>
        <w:t xml:space="preserve">Senior </w:t>
      </w:r>
      <w:r w:rsidR="00181368">
        <w:rPr>
          <w:rFonts w:ascii="Book Antiqua" w:hAnsi="Book Antiqua" w:cs="Arial"/>
        </w:rPr>
        <w:t xml:space="preserve">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181368">
        <w:rPr>
          <w:rFonts w:ascii="Book Antiqua" w:hAnsi="Book Antiqua" w:cs="Arial"/>
        </w:rPr>
        <w:t>s</w:t>
      </w:r>
      <w:r w:rsidRPr="00F5664C">
        <w:rPr>
          <w:rFonts w:ascii="Book Antiqua" w:hAnsi="Book Antiqua" w:cs="Arial"/>
        </w:rPr>
        <w:t>:</w:t>
      </w:r>
      <w:r w:rsidRPr="00F5664C">
        <w:rPr>
          <w:rFonts w:ascii="Book Antiqua" w:hAnsi="Book Antiqua" w:cs="Arial"/>
        </w:rPr>
        <w:tab/>
      </w:r>
      <w:r w:rsidR="0012110F">
        <w:rPr>
          <w:rFonts w:ascii="Book Antiqua" w:hAnsi="Book Antiqua" w:cs="Arial"/>
        </w:rPr>
        <w:t>Mr J Martin, Counsel instructed by Indra Sebastian Solicitors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52A42" w:rsidRDefault="00846438" w:rsidP="00C92869">
      <w:pPr>
        <w:numPr>
          <w:ilvl w:val="0"/>
          <w:numId w:val="3"/>
        </w:numPr>
        <w:spacing w:before="120"/>
        <w:jc w:val="both"/>
        <w:rPr>
          <w:rFonts w:ascii="Book Antiqua" w:hAnsi="Book Antiqua" w:cs="Arial"/>
        </w:rPr>
      </w:pPr>
      <w:r>
        <w:rPr>
          <w:rFonts w:ascii="Book Antiqua" w:hAnsi="Book Antiqua" w:cs="Arial"/>
        </w:rPr>
        <w:t>For convenience I shall employ the appellations “Appellant” and “Respondent” as at first instance.</w:t>
      </w:r>
    </w:p>
    <w:p w:rsidR="00846438" w:rsidRDefault="00846438" w:rsidP="00C92869">
      <w:pPr>
        <w:numPr>
          <w:ilvl w:val="0"/>
          <w:numId w:val="3"/>
        </w:numPr>
        <w:spacing w:before="120"/>
        <w:jc w:val="both"/>
        <w:rPr>
          <w:rFonts w:ascii="Book Antiqua" w:hAnsi="Book Antiqua" w:cs="Arial"/>
        </w:rPr>
      </w:pPr>
      <w:r>
        <w:rPr>
          <w:rFonts w:ascii="Book Antiqua" w:hAnsi="Book Antiqua" w:cs="Arial"/>
        </w:rPr>
        <w:t xml:space="preserve">The first Appellant </w:t>
      </w:r>
      <w:r w:rsidR="00181368">
        <w:rPr>
          <w:rFonts w:ascii="Book Antiqua" w:hAnsi="Book Antiqua" w:cs="Arial"/>
        </w:rPr>
        <w:t>is a ci</w:t>
      </w:r>
      <w:r>
        <w:rPr>
          <w:rFonts w:ascii="Book Antiqua" w:hAnsi="Book Antiqua" w:cs="Arial"/>
        </w:rPr>
        <w:t xml:space="preserve">tizen of Sri Lanka and the second Appellant </w:t>
      </w:r>
      <w:r w:rsidR="00181368">
        <w:rPr>
          <w:rFonts w:ascii="Book Antiqua" w:hAnsi="Book Antiqua" w:cs="Arial"/>
        </w:rPr>
        <w:t>is his wife.  The third Appellant is their child whose date of birth is 21</w:t>
      </w:r>
      <w:r w:rsidR="00181368" w:rsidRPr="00181368">
        <w:rPr>
          <w:rFonts w:ascii="Book Antiqua" w:hAnsi="Book Antiqua" w:cs="Arial"/>
          <w:vertAlign w:val="superscript"/>
        </w:rPr>
        <w:t>st</w:t>
      </w:r>
      <w:r w:rsidR="00181368">
        <w:rPr>
          <w:rFonts w:ascii="Book Antiqua" w:hAnsi="Book Antiqua" w:cs="Arial"/>
        </w:rPr>
        <w:t xml:space="preserve"> June 2009.  The Appellants’ </w:t>
      </w:r>
      <w:r w:rsidR="00181368">
        <w:rPr>
          <w:rFonts w:ascii="Book Antiqua" w:hAnsi="Book Antiqua" w:cs="Arial"/>
        </w:rPr>
        <w:lastRenderedPageBreak/>
        <w:t>appeals were allowed on human rights grounds by First-tier Tribunal Judge Cohen in a decision promulgated on 31</w:t>
      </w:r>
      <w:r w:rsidR="00181368" w:rsidRPr="00181368">
        <w:rPr>
          <w:rFonts w:ascii="Book Antiqua" w:hAnsi="Book Antiqua" w:cs="Arial"/>
          <w:vertAlign w:val="superscript"/>
        </w:rPr>
        <w:t>st</w:t>
      </w:r>
      <w:r w:rsidR="00181368">
        <w:rPr>
          <w:rFonts w:ascii="Book Antiqua" w:hAnsi="Book Antiqua" w:cs="Arial"/>
        </w:rPr>
        <w:t xml:space="preserve"> January 2018.</w:t>
      </w:r>
    </w:p>
    <w:p w:rsidR="001F5801" w:rsidRDefault="001F5801" w:rsidP="00C92869">
      <w:pPr>
        <w:numPr>
          <w:ilvl w:val="0"/>
          <w:numId w:val="3"/>
        </w:numPr>
        <w:spacing w:before="120"/>
        <w:jc w:val="both"/>
        <w:rPr>
          <w:rFonts w:ascii="Book Antiqua" w:hAnsi="Book Antiqua" w:cs="Arial"/>
        </w:rPr>
      </w:pPr>
      <w:r>
        <w:rPr>
          <w:rFonts w:ascii="Book Antiqua" w:hAnsi="Book Antiqua" w:cs="Arial"/>
        </w:rPr>
        <w:t>Grounds of application were lodged.  It was said that the judge had erred in finding (paragraph</w:t>
      </w:r>
      <w:r w:rsidR="00CC359C">
        <w:rPr>
          <w:rFonts w:ascii="Book Antiqua" w:hAnsi="Book Antiqua" w:cs="Arial"/>
        </w:rPr>
        <w:t>s</w:t>
      </w:r>
      <w:r>
        <w:rPr>
          <w:rFonts w:ascii="Book Antiqua" w:hAnsi="Book Antiqua" w:cs="Arial"/>
        </w:rPr>
        <w:t xml:space="preserve"> 17 and 21) that he must consider the human rights and best interests of the Appellants’ “British citizen child”.  There was no British citizen child.  He was wrong to consider the younger child as a qualifying child and secondly in coming to an irrational conclusion in respect of the elder child who had been in the UK for only seven years.  It cannot be right that a child of such tender years was “</w:t>
      </w:r>
      <w:r w:rsidR="0000447F">
        <w:rPr>
          <w:rFonts w:ascii="Book Antiqua" w:hAnsi="Book Antiqua" w:cs="Arial"/>
        </w:rPr>
        <w:t xml:space="preserve">ensconced in the UK education system”.  There was no indication as to why an independent social worker would find that leaving the UK would be traumatic for the child.  There was no settled child as found by the judge.  It was not open to the judge to find </w:t>
      </w:r>
      <w:r w:rsidR="00AC4C50">
        <w:rPr>
          <w:rFonts w:ascii="Book Antiqua" w:hAnsi="Book Antiqua" w:cs="Arial"/>
        </w:rPr>
        <w:t xml:space="preserve">a </w:t>
      </w:r>
      <w:r w:rsidR="0000447F">
        <w:rPr>
          <w:rFonts w:ascii="Book Antiqua" w:hAnsi="Book Antiqua" w:cs="Arial"/>
        </w:rPr>
        <w:t xml:space="preserve">positive factor in the proportionality assessment that an Appellant could speak English or is financially self-sufficient.  Permission was sought to appeal to the Upper Tribunal. </w:t>
      </w:r>
    </w:p>
    <w:p w:rsidR="000A3641" w:rsidRDefault="000A3641" w:rsidP="00C92869">
      <w:pPr>
        <w:numPr>
          <w:ilvl w:val="0"/>
          <w:numId w:val="3"/>
        </w:numPr>
        <w:spacing w:before="120"/>
        <w:jc w:val="both"/>
        <w:rPr>
          <w:rFonts w:ascii="Book Antiqua" w:hAnsi="Book Antiqua" w:cs="Arial"/>
        </w:rPr>
      </w:pPr>
      <w:r>
        <w:rPr>
          <w:rFonts w:ascii="Book Antiqua" w:hAnsi="Book Antiqua" w:cs="Arial"/>
        </w:rPr>
        <w:t>Permissi</w:t>
      </w:r>
      <w:r w:rsidR="00AC4C50">
        <w:rPr>
          <w:rFonts w:ascii="Book Antiqua" w:hAnsi="Book Antiqua" w:cs="Arial"/>
        </w:rPr>
        <w:t>on was granted by First-tier Tribunal</w:t>
      </w:r>
      <w:r>
        <w:rPr>
          <w:rFonts w:ascii="Book Antiqua" w:hAnsi="Book Antiqua" w:cs="Arial"/>
        </w:rPr>
        <w:t xml:space="preserve"> Judge </w:t>
      </w:r>
      <w:proofErr w:type="spellStart"/>
      <w:r>
        <w:rPr>
          <w:rFonts w:ascii="Book Antiqua" w:hAnsi="Book Antiqua" w:cs="Arial"/>
        </w:rPr>
        <w:t>Chohan</w:t>
      </w:r>
      <w:proofErr w:type="spellEnd"/>
      <w:r>
        <w:rPr>
          <w:rFonts w:ascii="Book Antiqua" w:hAnsi="Book Antiqua" w:cs="Arial"/>
        </w:rPr>
        <w:t xml:space="preserve"> in a decision dated 24</w:t>
      </w:r>
      <w:r w:rsidRPr="000A3641">
        <w:rPr>
          <w:rFonts w:ascii="Book Antiqua" w:hAnsi="Book Antiqua" w:cs="Arial"/>
          <w:vertAlign w:val="superscript"/>
        </w:rPr>
        <w:t>th</w:t>
      </w:r>
      <w:r>
        <w:rPr>
          <w:rFonts w:ascii="Book Antiqua" w:hAnsi="Book Antiqua" w:cs="Arial"/>
        </w:rPr>
        <w:t xml:space="preserve"> May 2018.</w:t>
      </w:r>
    </w:p>
    <w:p w:rsidR="000A3641" w:rsidRDefault="001F6D87" w:rsidP="00C92869">
      <w:pPr>
        <w:numPr>
          <w:ilvl w:val="0"/>
          <w:numId w:val="3"/>
        </w:numPr>
        <w:spacing w:before="120"/>
        <w:jc w:val="both"/>
        <w:rPr>
          <w:rFonts w:ascii="Book Antiqua" w:hAnsi="Book Antiqua" w:cs="Arial"/>
        </w:rPr>
      </w:pPr>
      <w:r>
        <w:rPr>
          <w:rFonts w:ascii="Book Antiqua" w:hAnsi="Book Antiqua" w:cs="Arial"/>
        </w:rPr>
        <w:t>Thus,</w:t>
      </w:r>
      <w:r w:rsidR="0057123D">
        <w:rPr>
          <w:rFonts w:ascii="Book Antiqua" w:hAnsi="Book Antiqua" w:cs="Arial"/>
        </w:rPr>
        <w:t xml:space="preserve"> the matter c</w:t>
      </w:r>
      <w:r w:rsidR="000A3641">
        <w:rPr>
          <w:rFonts w:ascii="Book Antiqua" w:hAnsi="Book Antiqua" w:cs="Arial"/>
        </w:rPr>
        <w:t>ame before me on the above date.</w:t>
      </w:r>
    </w:p>
    <w:p w:rsidR="00815F86" w:rsidRDefault="00815F86" w:rsidP="00C92869">
      <w:pPr>
        <w:numPr>
          <w:ilvl w:val="0"/>
          <w:numId w:val="3"/>
        </w:numPr>
        <w:spacing w:before="120"/>
        <w:jc w:val="both"/>
        <w:rPr>
          <w:rFonts w:ascii="Book Antiqua" w:hAnsi="Book Antiqua" w:cs="Arial"/>
        </w:rPr>
      </w:pPr>
      <w:r>
        <w:rPr>
          <w:rFonts w:ascii="Book Antiqua" w:hAnsi="Book Antiqua" w:cs="Arial"/>
        </w:rPr>
        <w:t>For the Home Office Ms Pettersen relied on the grounds.  There was no British citizen child and this had infected the whole decision-making process.  In all the circumstances I was asked to set the decision aside and remake the appeal by dismissing it.</w:t>
      </w:r>
    </w:p>
    <w:p w:rsidR="00C576D6" w:rsidRDefault="00C576D6" w:rsidP="00C92869">
      <w:pPr>
        <w:numPr>
          <w:ilvl w:val="0"/>
          <w:numId w:val="3"/>
        </w:numPr>
        <w:spacing w:before="120"/>
        <w:jc w:val="both"/>
        <w:rPr>
          <w:rFonts w:ascii="Book Antiqua" w:hAnsi="Book Antiqua" w:cs="Arial"/>
        </w:rPr>
      </w:pPr>
      <w:r>
        <w:rPr>
          <w:rFonts w:ascii="Book Antiqua" w:hAnsi="Book Antiqua" w:cs="Arial"/>
        </w:rPr>
        <w:t>For the Appellants</w:t>
      </w:r>
      <w:r w:rsidR="00233058">
        <w:rPr>
          <w:rFonts w:ascii="Book Antiqua" w:hAnsi="Book Antiqua" w:cs="Arial"/>
        </w:rPr>
        <w:t xml:space="preserve"> Mr Martin accepted that the judge was wrong to find that there was a British citizen child.  He referred to his Rule 24 Notice which indicated that the First-tier Tribunal Judge had not materially erred in law even if he had made mistakes </w:t>
      </w:r>
      <w:r w:rsidR="00481808">
        <w:rPr>
          <w:rFonts w:ascii="Book Antiqua" w:hAnsi="Book Antiqua" w:cs="Arial"/>
        </w:rPr>
        <w:t>and there was an irrational conclusion in respect of the third Appellant.</w:t>
      </w:r>
      <w:r w:rsidR="00C971EC">
        <w:rPr>
          <w:rFonts w:ascii="Book Antiqua" w:hAnsi="Book Antiqua" w:cs="Arial"/>
        </w:rPr>
        <w:t xml:space="preserve">  It was sa</w:t>
      </w:r>
      <w:r w:rsidR="00460382">
        <w:rPr>
          <w:rFonts w:ascii="Book Antiqua" w:hAnsi="Book Antiqua" w:cs="Arial"/>
        </w:rPr>
        <w:t>id that Judge Cohe</w:t>
      </w:r>
      <w:r w:rsidR="00C971EC">
        <w:rPr>
          <w:rFonts w:ascii="Book Antiqua" w:hAnsi="Book Antiqua" w:cs="Arial"/>
        </w:rPr>
        <w:t>n had correctly considered the third Appellant first.  He had correctly state</w:t>
      </w:r>
      <w:r w:rsidR="00D96A80">
        <w:rPr>
          <w:rFonts w:ascii="Book Antiqua" w:hAnsi="Book Antiqua" w:cs="Arial"/>
        </w:rPr>
        <w:t xml:space="preserve">d that he was neither a </w:t>
      </w:r>
      <w:r w:rsidR="00C971EC">
        <w:rPr>
          <w:rFonts w:ascii="Book Antiqua" w:hAnsi="Book Antiqua" w:cs="Arial"/>
        </w:rPr>
        <w:t xml:space="preserve">British citizen nor a child settled here.  He had identified reasons which led him to conclude that there were insurmountable obstacles to the third Appellant returning to Sri Lanka.  This was also an error but this was not material as he had imposed a higher burden than that required under the Rules. </w:t>
      </w:r>
    </w:p>
    <w:p w:rsidR="0077654D" w:rsidRDefault="0077654D" w:rsidP="00C92869">
      <w:pPr>
        <w:numPr>
          <w:ilvl w:val="0"/>
          <w:numId w:val="3"/>
        </w:numPr>
        <w:spacing w:before="120"/>
        <w:jc w:val="both"/>
        <w:rPr>
          <w:rFonts w:ascii="Book Antiqua" w:hAnsi="Book Antiqua" w:cs="Arial"/>
        </w:rPr>
      </w:pPr>
      <w:r>
        <w:rPr>
          <w:rFonts w:ascii="Book Antiqua" w:hAnsi="Book Antiqua" w:cs="Arial"/>
        </w:rPr>
        <w:t xml:space="preserve">Mr </w:t>
      </w:r>
      <w:r w:rsidR="0057123D">
        <w:rPr>
          <w:rFonts w:ascii="Book Antiqua" w:hAnsi="Book Antiqua" w:cs="Arial"/>
        </w:rPr>
        <w:t>Martin said</w:t>
      </w:r>
      <w:r>
        <w:rPr>
          <w:rFonts w:ascii="Book Antiqua" w:hAnsi="Book Antiqua" w:cs="Arial"/>
        </w:rPr>
        <w:t xml:space="preserve"> that the judge had been fully entitled to set out the reasons for allowing the appeal in paragraph 18.  He noted that the Appellants’ child had resided in the UK for </w:t>
      </w:r>
      <w:r w:rsidR="001F6D87">
        <w:rPr>
          <w:rFonts w:ascii="Book Antiqua" w:hAnsi="Book Antiqua" w:cs="Arial"/>
        </w:rPr>
        <w:t>more than</w:t>
      </w:r>
      <w:r>
        <w:rPr>
          <w:rFonts w:ascii="Book Antiqua" w:hAnsi="Book Antiqua" w:cs="Arial"/>
        </w:rPr>
        <w:t xml:space="preserve"> seven years.  He referred to the report from an independent social worker indicating that leave in the UK would be a traumatic experience for the third Appellant.  There was a report from a senior lecturer in the University of Jaffna indicating that the third Appellant would struggle to find a similar level of education in Sri Lanka.  He was also progressing well in school in the UK and had many friends here.  Given those reasons he was entitled to allow the appeal on human rights grounds.  Where the judge fell into error (although not a material one) was when he went on to consider the appeal on Article 8 grounds and referred to the best interests of the Appellants’ British citizen child – the only proper inference to draw was that this must be the younger child who had not been born at the time of the application.</w:t>
      </w:r>
    </w:p>
    <w:p w:rsidR="00CB06F7" w:rsidRDefault="00CB06F7" w:rsidP="00C92869">
      <w:pPr>
        <w:numPr>
          <w:ilvl w:val="0"/>
          <w:numId w:val="3"/>
        </w:numPr>
        <w:spacing w:before="120"/>
        <w:jc w:val="both"/>
        <w:rPr>
          <w:rFonts w:ascii="Book Antiqua" w:hAnsi="Book Antiqua" w:cs="Arial"/>
        </w:rPr>
      </w:pPr>
      <w:r>
        <w:rPr>
          <w:rFonts w:ascii="Book Antiqua" w:hAnsi="Book Antiqua" w:cs="Arial"/>
        </w:rPr>
        <w:t xml:space="preserve">It was accepted that the judge had gone wrong in his further findings but that did not matter and was not material because he had given sound reasons for allowing the </w:t>
      </w:r>
      <w:r>
        <w:rPr>
          <w:rFonts w:ascii="Book Antiqua" w:hAnsi="Book Antiqua" w:cs="Arial"/>
        </w:rPr>
        <w:lastRenderedPageBreak/>
        <w:t>appeal on human rights grounds.  As such there was no material error and the decision should stand.</w:t>
      </w:r>
    </w:p>
    <w:p w:rsidR="00CB06F7" w:rsidRPr="00CB06F7" w:rsidRDefault="00CB06F7" w:rsidP="00C92869">
      <w:pPr>
        <w:spacing w:before="120"/>
        <w:jc w:val="both"/>
        <w:rPr>
          <w:rFonts w:ascii="Book Antiqua" w:hAnsi="Book Antiqua" w:cs="Arial"/>
          <w:b/>
          <w:u w:val="single"/>
        </w:rPr>
      </w:pPr>
      <w:r>
        <w:rPr>
          <w:rFonts w:ascii="Book Antiqua" w:hAnsi="Book Antiqua" w:cs="Arial"/>
          <w:b/>
          <w:u w:val="single"/>
        </w:rPr>
        <w:t>Conclusions</w:t>
      </w:r>
    </w:p>
    <w:p w:rsidR="00CB06F7" w:rsidRDefault="00CB06F7" w:rsidP="00C92869">
      <w:pPr>
        <w:numPr>
          <w:ilvl w:val="0"/>
          <w:numId w:val="3"/>
        </w:numPr>
        <w:spacing w:before="120"/>
        <w:jc w:val="both"/>
        <w:rPr>
          <w:rFonts w:ascii="Book Antiqua" w:hAnsi="Book Antiqua" w:cs="Arial"/>
        </w:rPr>
      </w:pPr>
      <w:r>
        <w:rPr>
          <w:rFonts w:ascii="Book Antiqua" w:hAnsi="Book Antiqua" w:cs="Arial"/>
        </w:rPr>
        <w:t xml:space="preserve">It is plain that the judge did fall into error when he referred to the best interests of the Appellants’ British citizen child.  It has </w:t>
      </w:r>
      <w:r w:rsidR="00FF1DFD">
        <w:rPr>
          <w:rFonts w:ascii="Book Antiqua" w:hAnsi="Book Antiqua" w:cs="Arial"/>
        </w:rPr>
        <w:t xml:space="preserve">to be said that </w:t>
      </w:r>
      <w:r>
        <w:rPr>
          <w:rFonts w:ascii="Book Antiqua" w:hAnsi="Book Antiqua" w:cs="Arial"/>
        </w:rPr>
        <w:t xml:space="preserve">it is not very clear from the judge’s decision as to which child he is referring to because the child is not named and there are two children.  </w:t>
      </w:r>
      <w:r w:rsidR="00A80D36">
        <w:rPr>
          <w:rFonts w:ascii="Book Antiqua" w:hAnsi="Book Antiqua" w:cs="Arial"/>
        </w:rPr>
        <w:t>It may be that Mr Martin is correct that he was referring to the younger child because the judge finds in paragraph 16 that the third Appellant was not a British citizen or settled here.  In any event the judge’s findings in respect of the “British citizen child” are at best unhelpful to the decision.</w:t>
      </w:r>
    </w:p>
    <w:p w:rsidR="0035038A" w:rsidRDefault="001F6D87" w:rsidP="00C92869">
      <w:pPr>
        <w:numPr>
          <w:ilvl w:val="0"/>
          <w:numId w:val="3"/>
        </w:numPr>
        <w:spacing w:before="120"/>
        <w:jc w:val="both"/>
        <w:rPr>
          <w:rFonts w:ascii="Book Antiqua" w:hAnsi="Book Antiqua" w:cs="Arial"/>
        </w:rPr>
      </w:pPr>
      <w:r>
        <w:rPr>
          <w:rFonts w:ascii="Book Antiqua" w:hAnsi="Book Antiqua" w:cs="Arial"/>
        </w:rPr>
        <w:t>Nevertheless,</w:t>
      </w:r>
      <w:r w:rsidR="0035038A">
        <w:rPr>
          <w:rFonts w:ascii="Book Antiqua" w:hAnsi="Book Antiqua" w:cs="Arial"/>
        </w:rPr>
        <w:t xml:space="preserve"> I agree with Mr Martin that sound reasons have been given by the judge (he took into account factors under 117B of the Rules) in paragraph 18.</w:t>
      </w:r>
      <w:r w:rsidR="002B4517">
        <w:rPr>
          <w:rFonts w:ascii="Book Antiqua" w:hAnsi="Book Antiqua" w:cs="Arial"/>
        </w:rPr>
        <w:t xml:space="preserve">  The reports referred to by the judge</w:t>
      </w:r>
      <w:r w:rsidR="0057123D">
        <w:rPr>
          <w:rFonts w:ascii="Book Antiqua" w:hAnsi="Book Antiqua" w:cs="Arial"/>
        </w:rPr>
        <w:t xml:space="preserve"> (particularly the report from the independent social worker)</w:t>
      </w:r>
      <w:r w:rsidR="002B4517">
        <w:rPr>
          <w:rFonts w:ascii="Book Antiqua" w:hAnsi="Book Antiqua" w:cs="Arial"/>
        </w:rPr>
        <w:t xml:space="preserve"> are very much relevant to the issue under Article 8 ECHR.  </w:t>
      </w:r>
      <w:r>
        <w:rPr>
          <w:rFonts w:ascii="Book Antiqua" w:hAnsi="Book Antiqua" w:cs="Arial"/>
        </w:rPr>
        <w:t>Moreover,</w:t>
      </w:r>
      <w:r w:rsidR="002B4517">
        <w:rPr>
          <w:rFonts w:ascii="Book Antiqua" w:hAnsi="Book Antiqua" w:cs="Arial"/>
        </w:rPr>
        <w:t xml:space="preserve"> it can be said th</w:t>
      </w:r>
      <w:r w:rsidR="00EE3B1D">
        <w:rPr>
          <w:rFonts w:ascii="Book Antiqua" w:hAnsi="Book Antiqua" w:cs="Arial"/>
        </w:rPr>
        <w:t>at th</w:t>
      </w:r>
      <w:r w:rsidR="002B4517">
        <w:rPr>
          <w:rFonts w:ascii="Book Antiqua" w:hAnsi="Book Antiqua" w:cs="Arial"/>
        </w:rPr>
        <w:t xml:space="preserve">is is a child who has been in this country for a period in excess of seven years.  As such it seems to me that it is relevant to refer to </w:t>
      </w:r>
      <w:r w:rsidR="002B4517" w:rsidRPr="002B4517">
        <w:rPr>
          <w:rFonts w:ascii="Book Antiqua" w:hAnsi="Book Antiqua" w:cs="Arial"/>
          <w:b/>
          <w:u w:val="single"/>
        </w:rPr>
        <w:t>MA (Pakistan) v SSHD</w:t>
      </w:r>
      <w:r w:rsidR="002B4517">
        <w:rPr>
          <w:rFonts w:ascii="Book Antiqua" w:hAnsi="Book Antiqua" w:cs="Arial"/>
        </w:rPr>
        <w:t xml:space="preserve"> </w:t>
      </w:r>
      <w:r w:rsidR="002B4517" w:rsidRPr="002B4517">
        <w:rPr>
          <w:rFonts w:ascii="Book Antiqua" w:hAnsi="Book Antiqua" w:cs="Arial"/>
          <w:b/>
        </w:rPr>
        <w:t xml:space="preserve">[2016] EWCA </w:t>
      </w:r>
      <w:proofErr w:type="spellStart"/>
      <w:r w:rsidR="002B4517" w:rsidRPr="002B4517">
        <w:rPr>
          <w:rFonts w:ascii="Book Antiqua" w:hAnsi="Book Antiqua" w:cs="Arial"/>
          <w:b/>
        </w:rPr>
        <w:t>Civ</w:t>
      </w:r>
      <w:proofErr w:type="spellEnd"/>
      <w:r w:rsidR="002B4517" w:rsidRPr="002B4517">
        <w:rPr>
          <w:rFonts w:ascii="Book Antiqua" w:hAnsi="Book Antiqua" w:cs="Arial"/>
          <w:b/>
        </w:rPr>
        <w:t xml:space="preserve"> 705</w:t>
      </w:r>
      <w:r w:rsidR="002B4517">
        <w:rPr>
          <w:rFonts w:ascii="Book Antiqua" w:hAnsi="Book Antiqua" w:cs="Arial"/>
        </w:rPr>
        <w:t xml:space="preserve"> where it was said that</w:t>
      </w:r>
      <w:r w:rsidR="0057123D">
        <w:rPr>
          <w:rFonts w:ascii="Book Antiqua" w:hAnsi="Book Antiqua" w:cs="Arial"/>
        </w:rPr>
        <w:t xml:space="preserve"> the fact a</w:t>
      </w:r>
      <w:r w:rsidR="002B4517">
        <w:rPr>
          <w:rFonts w:ascii="Book Antiqua" w:hAnsi="Book Antiqua" w:cs="Arial"/>
        </w:rPr>
        <w:t xml:space="preserve"> child who has been in the United Kingdom for that period of time should be given sufficient weight in the proportionality exercise in terms of Article 8.  The </w:t>
      </w:r>
      <w:r w:rsidR="0057123D">
        <w:rPr>
          <w:rFonts w:ascii="Book Antiqua" w:hAnsi="Book Antiqua" w:cs="Arial"/>
        </w:rPr>
        <w:t>starting point is that a child sh</w:t>
      </w:r>
      <w:r w:rsidR="002B4517">
        <w:rPr>
          <w:rFonts w:ascii="Book Antiqua" w:hAnsi="Book Antiqua" w:cs="Arial"/>
        </w:rPr>
        <w:t>ould be granted leave to remain unless there are powerful reasons to the contrary.</w:t>
      </w:r>
    </w:p>
    <w:p w:rsidR="00ED2CA3" w:rsidRDefault="00ED2CA3" w:rsidP="00C92869">
      <w:pPr>
        <w:numPr>
          <w:ilvl w:val="0"/>
          <w:numId w:val="3"/>
        </w:numPr>
        <w:spacing w:before="120"/>
        <w:jc w:val="both"/>
        <w:rPr>
          <w:rFonts w:ascii="Book Antiqua" w:hAnsi="Book Antiqua" w:cs="Arial"/>
        </w:rPr>
      </w:pPr>
      <w:r>
        <w:rPr>
          <w:rFonts w:ascii="Book Antiqua" w:hAnsi="Book Antiqua" w:cs="Arial"/>
        </w:rPr>
        <w:t>In my view there are no powerful reasons which go against the proposition that it is reasonable in all the circum</w:t>
      </w:r>
      <w:r w:rsidR="0057123D">
        <w:rPr>
          <w:rFonts w:ascii="Book Antiqua" w:hAnsi="Book Antiqua" w:cs="Arial"/>
        </w:rPr>
        <w:t>stances to allow the appeal of</w:t>
      </w:r>
      <w:r>
        <w:rPr>
          <w:rFonts w:ascii="Book Antiqua" w:hAnsi="Book Antiqua" w:cs="Arial"/>
        </w:rPr>
        <w:t xml:space="preserve"> the child under Artic</w:t>
      </w:r>
      <w:r w:rsidR="00253B61">
        <w:rPr>
          <w:rFonts w:ascii="Book Antiqua" w:hAnsi="Book Antiqua" w:cs="Arial"/>
        </w:rPr>
        <w:t xml:space="preserve">le 8 </w:t>
      </w:r>
      <w:bookmarkStart w:id="1" w:name="_GoBack"/>
      <w:r w:rsidR="00253B61">
        <w:rPr>
          <w:rFonts w:ascii="Book Antiqua" w:hAnsi="Book Antiqua" w:cs="Arial"/>
        </w:rPr>
        <w:t>ECHR.  The judge gave clear</w:t>
      </w:r>
      <w:r>
        <w:rPr>
          <w:rFonts w:ascii="Book Antiqua" w:hAnsi="Book Antiqua" w:cs="Arial"/>
        </w:rPr>
        <w:t xml:space="preserve"> reasons in paragraph 18 of the decision</w:t>
      </w:r>
      <w:r w:rsidR="001F6D87">
        <w:rPr>
          <w:rFonts w:ascii="Book Antiqua" w:hAnsi="Book Antiqua" w:cs="Arial"/>
        </w:rPr>
        <w:t xml:space="preserve"> even if stating </w:t>
      </w:r>
      <w:bookmarkEnd w:id="1"/>
      <w:r w:rsidR="001F6D87">
        <w:rPr>
          <w:rFonts w:ascii="Book Antiqua" w:hAnsi="Book Antiqua" w:cs="Arial"/>
        </w:rPr>
        <w:t>that the child was “</w:t>
      </w:r>
      <w:r w:rsidR="0007109C">
        <w:rPr>
          <w:rFonts w:ascii="Book Antiqua" w:hAnsi="Book Antiqua" w:cs="Arial"/>
        </w:rPr>
        <w:t>ensconced</w:t>
      </w:r>
      <w:r w:rsidR="001F6D87">
        <w:rPr>
          <w:rFonts w:ascii="Book Antiqua" w:hAnsi="Book Antiqua" w:cs="Arial"/>
        </w:rPr>
        <w:t xml:space="preserve"> </w:t>
      </w:r>
      <w:r w:rsidR="0007109C">
        <w:rPr>
          <w:rFonts w:ascii="Book Antiqua" w:hAnsi="Book Antiqua" w:cs="Arial"/>
        </w:rPr>
        <w:t>“in the UK education system went too far</w:t>
      </w:r>
      <w:r>
        <w:rPr>
          <w:rFonts w:ascii="Book Antiqua" w:hAnsi="Book Antiqua" w:cs="Arial"/>
        </w:rPr>
        <w:t>.</w:t>
      </w:r>
    </w:p>
    <w:p w:rsidR="007F3ABD" w:rsidRDefault="007F3ABD" w:rsidP="00C92869">
      <w:pPr>
        <w:numPr>
          <w:ilvl w:val="0"/>
          <w:numId w:val="3"/>
        </w:numPr>
        <w:spacing w:before="120"/>
        <w:jc w:val="both"/>
        <w:rPr>
          <w:rFonts w:ascii="Book Antiqua" w:hAnsi="Book Antiqua" w:cs="Arial"/>
        </w:rPr>
      </w:pPr>
      <w:r>
        <w:rPr>
          <w:rFonts w:ascii="Book Antiqua" w:hAnsi="Book Antiqua" w:cs="Arial"/>
        </w:rPr>
        <w:t>It follows that the judge was entitled to find that it would breach the child’s rights under Article 8 ECHR and that being so the only path open to the judge was to allow the appeal on behalf of all the Appellants which is what he did.</w:t>
      </w:r>
    </w:p>
    <w:p w:rsidR="00846438" w:rsidRPr="0000560E" w:rsidRDefault="0057123D" w:rsidP="00C92869">
      <w:pPr>
        <w:numPr>
          <w:ilvl w:val="0"/>
          <w:numId w:val="3"/>
        </w:numPr>
        <w:spacing w:before="120"/>
        <w:jc w:val="both"/>
        <w:rPr>
          <w:rFonts w:ascii="Book Antiqua" w:hAnsi="Book Antiqua" w:cs="Arial"/>
        </w:rPr>
      </w:pPr>
      <w:r>
        <w:rPr>
          <w:rFonts w:ascii="Book Antiqua" w:hAnsi="Book Antiqua" w:cs="Arial"/>
        </w:rPr>
        <w:t xml:space="preserve">Despite the obvious mistakes in the decision </w:t>
      </w:r>
      <w:r w:rsidR="00253B61">
        <w:rPr>
          <w:rFonts w:ascii="Book Antiqua" w:hAnsi="Book Antiqua" w:cs="Arial"/>
        </w:rPr>
        <w:t>t</w:t>
      </w:r>
      <w:r w:rsidR="007F3ABD">
        <w:rPr>
          <w:rFonts w:ascii="Book Antiqua" w:hAnsi="Book Antiqua" w:cs="Arial"/>
        </w:rPr>
        <w:t xml:space="preserve">here is thus no material error </w:t>
      </w:r>
      <w:r w:rsidR="00253B61">
        <w:rPr>
          <w:rFonts w:ascii="Book Antiqua" w:hAnsi="Book Antiqua" w:cs="Arial"/>
        </w:rPr>
        <w:t>contained therein and</w:t>
      </w:r>
      <w:r w:rsidR="007F3ABD">
        <w:rPr>
          <w:rFonts w:ascii="Book Antiqua" w:hAnsi="Book Antiqua" w:cs="Arial"/>
        </w:rPr>
        <w:t xml:space="preserve"> the decision must stand.</w:t>
      </w:r>
    </w:p>
    <w:p w:rsidR="009F518E" w:rsidRPr="009F518E" w:rsidRDefault="009F518E" w:rsidP="00C92869">
      <w:pPr>
        <w:spacing w:before="120"/>
        <w:jc w:val="both"/>
        <w:rPr>
          <w:rFonts w:ascii="Book Antiqua" w:hAnsi="Book Antiqua" w:cs="Arial"/>
          <w:b/>
          <w:u w:val="single"/>
        </w:rPr>
      </w:pPr>
      <w:r w:rsidRPr="009F518E">
        <w:rPr>
          <w:rFonts w:ascii="Book Antiqua" w:hAnsi="Book Antiqua" w:cs="Arial"/>
          <w:b/>
          <w:u w:val="single"/>
        </w:rPr>
        <w:t>Notice of Decision</w:t>
      </w:r>
    </w:p>
    <w:p w:rsidR="0000560E" w:rsidRDefault="009F518E" w:rsidP="00C92869">
      <w:pPr>
        <w:spacing w:before="120"/>
        <w:jc w:val="both"/>
        <w:rPr>
          <w:rFonts w:ascii="Book Antiqua" w:hAnsi="Book Antiqua" w:cs="Arial"/>
        </w:rPr>
      </w:pPr>
      <w:r w:rsidRPr="009F518E">
        <w:rPr>
          <w:rFonts w:ascii="Book Antiqua" w:hAnsi="Book Antiqua" w:cs="Arial"/>
        </w:rPr>
        <w:t>The</w:t>
      </w:r>
      <w:r w:rsidR="0000560E">
        <w:rPr>
          <w:rFonts w:ascii="Book Antiqua" w:hAnsi="Book Antiqua" w:cs="Arial"/>
        </w:rPr>
        <w:t xml:space="preserve"> making of the decision to the First-tier Tribunal did not involve the making of an error on a point of law.  </w:t>
      </w:r>
    </w:p>
    <w:p w:rsidR="009F518E" w:rsidRPr="009F518E" w:rsidRDefault="0000560E" w:rsidP="00C92869">
      <w:pPr>
        <w:spacing w:before="120"/>
        <w:jc w:val="both"/>
        <w:rPr>
          <w:rFonts w:ascii="Book Antiqua" w:hAnsi="Book Antiqua" w:cs="Arial"/>
        </w:rPr>
      </w:pPr>
      <w:r>
        <w:rPr>
          <w:rFonts w:ascii="Book Antiqua" w:hAnsi="Book Antiqua" w:cs="Arial"/>
        </w:rPr>
        <w:t>I do not set aside the decision.</w:t>
      </w:r>
    </w:p>
    <w:p w:rsidR="009F518E" w:rsidRPr="009F518E" w:rsidRDefault="009F518E" w:rsidP="00C92869">
      <w:pPr>
        <w:spacing w:before="120"/>
        <w:jc w:val="both"/>
        <w:rPr>
          <w:rFonts w:ascii="Book Antiqua" w:hAnsi="Book Antiqua" w:cs="Arial"/>
        </w:rPr>
      </w:pPr>
      <w:r w:rsidRPr="009F518E">
        <w:rPr>
          <w:rFonts w:ascii="Book Antiqua" w:hAnsi="Book Antiqua" w:cs="Arial"/>
        </w:rPr>
        <w:t xml:space="preserve">No anonymity </w:t>
      </w:r>
      <w:r w:rsidR="00532E7D">
        <w:rPr>
          <w:rFonts w:ascii="Book Antiqua" w:hAnsi="Book Antiqua" w:cs="Arial"/>
        </w:rPr>
        <w:t>order</w:t>
      </w:r>
      <w:r w:rsidRPr="009F518E">
        <w:rPr>
          <w:rFonts w:ascii="Book Antiqua" w:hAnsi="Book Antiqua" w:cs="Arial"/>
        </w:rPr>
        <w:t xml:space="preserve"> is made.</w:t>
      </w:r>
    </w:p>
    <w:p w:rsidR="000369F5" w:rsidRDefault="000369F5" w:rsidP="000369F5">
      <w:pPr>
        <w:tabs>
          <w:tab w:val="left" w:pos="2520"/>
        </w:tabs>
        <w:jc w:val="both"/>
        <w:rPr>
          <w:rFonts w:ascii="Book Antiqua" w:hAnsi="Book Antiqua" w:cs="Arial"/>
        </w:rPr>
      </w:pPr>
    </w:p>
    <w:p w:rsidR="00C92869" w:rsidRPr="00F5664C" w:rsidRDefault="00C9286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253B61">
        <w:rPr>
          <w:rFonts w:ascii="Book Antiqua" w:hAnsi="Book Antiqua" w:cs="Arial"/>
        </w:rPr>
        <w:t xml:space="preserve">   </w:t>
      </w:r>
      <w:r w:rsidR="00253B61" w:rsidRPr="00253B61">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53B61">
        <w:rPr>
          <w:rFonts w:ascii="Book Antiqua" w:hAnsi="Book Antiqua" w:cs="Arial"/>
        </w:rPr>
        <w:t xml:space="preserve"> 23</w:t>
      </w:r>
      <w:r w:rsidR="00253B61" w:rsidRPr="00253B61">
        <w:rPr>
          <w:rFonts w:ascii="Book Antiqua" w:hAnsi="Book Antiqua" w:cs="Arial"/>
          <w:vertAlign w:val="superscript"/>
        </w:rPr>
        <w:t>rd</w:t>
      </w:r>
      <w:r w:rsidR="00253B61">
        <w:rPr>
          <w:rFonts w:ascii="Book Antiqua" w:hAnsi="Book Antiqua" w:cs="Arial"/>
        </w:rPr>
        <w:t xml:space="preserve"> August 2018</w:t>
      </w: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4888" w:rsidRDefault="00F04888">
      <w:r>
        <w:separator/>
      </w:r>
    </w:p>
  </w:endnote>
  <w:endnote w:type="continuationSeparator" w:id="0">
    <w:p w:rsidR="00F04888" w:rsidRDefault="00F0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C92869" w:rsidRDefault="00CF253F" w:rsidP="00593795">
    <w:pPr>
      <w:pStyle w:val="Footer"/>
      <w:jc w:val="center"/>
      <w:rPr>
        <w:rFonts w:ascii="Book Antiqua" w:hAnsi="Book Antiqua" w:cs="Arial"/>
        <w:sz w:val="20"/>
        <w:szCs w:val="20"/>
      </w:rPr>
    </w:pPr>
    <w:r w:rsidRPr="00C92869">
      <w:rPr>
        <w:rStyle w:val="PageNumber"/>
        <w:rFonts w:ascii="Book Antiqua" w:hAnsi="Book Antiqua" w:cs="Arial"/>
        <w:sz w:val="20"/>
        <w:szCs w:val="20"/>
      </w:rPr>
      <w:fldChar w:fldCharType="begin"/>
    </w:r>
    <w:r w:rsidRPr="00C92869">
      <w:rPr>
        <w:rStyle w:val="PageNumber"/>
        <w:rFonts w:ascii="Book Antiqua" w:hAnsi="Book Antiqua" w:cs="Arial"/>
        <w:sz w:val="20"/>
        <w:szCs w:val="20"/>
      </w:rPr>
      <w:instrText xml:space="preserve"> PAGE </w:instrText>
    </w:r>
    <w:r w:rsidRPr="00C92869">
      <w:rPr>
        <w:rStyle w:val="PageNumber"/>
        <w:rFonts w:ascii="Book Antiqua" w:hAnsi="Book Antiqua" w:cs="Arial"/>
        <w:sz w:val="20"/>
        <w:szCs w:val="20"/>
      </w:rPr>
      <w:fldChar w:fldCharType="separate"/>
    </w:r>
    <w:r w:rsidR="00410E87">
      <w:rPr>
        <w:rStyle w:val="PageNumber"/>
        <w:rFonts w:ascii="Book Antiqua" w:hAnsi="Book Antiqua" w:cs="Arial"/>
        <w:noProof/>
        <w:sz w:val="20"/>
        <w:szCs w:val="20"/>
      </w:rPr>
      <w:t>3</w:t>
    </w:r>
    <w:r w:rsidRPr="00C92869">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4888" w:rsidRDefault="00F04888">
      <w:r>
        <w:separator/>
      </w:r>
    </w:p>
  </w:footnote>
  <w:footnote w:type="continuationSeparator" w:id="0">
    <w:p w:rsidR="00F04888" w:rsidRDefault="00F04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C92869" w:rsidRDefault="00CF253F" w:rsidP="00181368">
    <w:pPr>
      <w:pStyle w:val="Header"/>
      <w:tabs>
        <w:tab w:val="clear" w:pos="4153"/>
        <w:tab w:val="clear" w:pos="8306"/>
        <w:tab w:val="right" w:pos="9639"/>
      </w:tabs>
      <w:jc w:val="right"/>
      <w:rPr>
        <w:rFonts w:ascii="Book Antiqua" w:hAnsi="Book Antiqua" w:cs="Arial"/>
        <w:sz w:val="20"/>
        <w:szCs w:val="20"/>
      </w:rPr>
    </w:pPr>
    <w:r w:rsidRPr="00C92869">
      <w:rPr>
        <w:rFonts w:ascii="Book Antiqua" w:hAnsi="Book Antiqua" w:cs="Arial"/>
        <w:sz w:val="20"/>
        <w:szCs w:val="20"/>
      </w:rPr>
      <w:t>Appeal Number</w:t>
    </w:r>
    <w:r w:rsidR="00181368" w:rsidRPr="00C92869">
      <w:rPr>
        <w:rFonts w:ascii="Book Antiqua" w:hAnsi="Book Antiqua" w:cs="Arial"/>
        <w:sz w:val="20"/>
        <w:szCs w:val="20"/>
      </w:rPr>
      <w:t>s</w:t>
    </w:r>
    <w:r w:rsidRPr="00C92869">
      <w:rPr>
        <w:rFonts w:ascii="Book Antiqua" w:hAnsi="Book Antiqua" w:cs="Arial"/>
        <w:sz w:val="20"/>
        <w:szCs w:val="20"/>
      </w:rPr>
      <w:t>:</w:t>
    </w:r>
    <w:r w:rsidR="000369F5" w:rsidRPr="00C92869">
      <w:rPr>
        <w:rFonts w:ascii="Book Antiqua" w:hAnsi="Book Antiqua" w:cs="Arial"/>
        <w:sz w:val="20"/>
        <w:szCs w:val="20"/>
      </w:rPr>
      <w:t xml:space="preserve"> </w:t>
    </w:r>
    <w:r w:rsidR="00846438" w:rsidRPr="00C92869">
      <w:rPr>
        <w:rFonts w:ascii="Book Antiqua" w:hAnsi="Book Antiqua" w:cs="Arial"/>
        <w:sz w:val="20"/>
        <w:szCs w:val="20"/>
      </w:rPr>
      <w:t>H</w:t>
    </w:r>
    <w:r w:rsidR="00684A08" w:rsidRPr="00C92869">
      <w:rPr>
        <w:rFonts w:ascii="Book Antiqua" w:hAnsi="Book Antiqua" w:cs="Arial"/>
        <w:sz w:val="20"/>
        <w:szCs w:val="20"/>
      </w:rPr>
      <w:t>U/09658/2017</w:t>
    </w:r>
  </w:p>
  <w:p w:rsidR="00846438" w:rsidRPr="00C92869" w:rsidRDefault="00846438" w:rsidP="000369F5">
    <w:pPr>
      <w:pStyle w:val="Header"/>
      <w:tabs>
        <w:tab w:val="clear" w:pos="4153"/>
        <w:tab w:val="clear" w:pos="8306"/>
        <w:tab w:val="right" w:pos="9639"/>
      </w:tabs>
      <w:jc w:val="right"/>
      <w:rPr>
        <w:rFonts w:ascii="Book Antiqua" w:hAnsi="Book Antiqua" w:cs="Arial"/>
        <w:sz w:val="20"/>
        <w:szCs w:val="20"/>
      </w:rPr>
    </w:pPr>
    <w:r w:rsidRPr="00C92869">
      <w:rPr>
        <w:rFonts w:ascii="Book Antiqua" w:hAnsi="Book Antiqua" w:cs="Arial"/>
        <w:sz w:val="20"/>
        <w:szCs w:val="20"/>
      </w:rPr>
      <w:t>HU/09600/2017</w:t>
    </w:r>
  </w:p>
  <w:p w:rsidR="00846438" w:rsidRDefault="00846438" w:rsidP="000369F5">
    <w:pPr>
      <w:pStyle w:val="Header"/>
      <w:tabs>
        <w:tab w:val="clear" w:pos="4153"/>
        <w:tab w:val="clear" w:pos="8306"/>
        <w:tab w:val="right" w:pos="9639"/>
      </w:tabs>
      <w:jc w:val="right"/>
      <w:rPr>
        <w:rFonts w:ascii="Book Antiqua" w:hAnsi="Book Antiqua" w:cs="Arial"/>
        <w:sz w:val="20"/>
        <w:szCs w:val="20"/>
      </w:rPr>
    </w:pPr>
    <w:r w:rsidRPr="00C92869">
      <w:rPr>
        <w:rFonts w:ascii="Book Antiqua" w:hAnsi="Book Antiqua" w:cs="Arial"/>
        <w:sz w:val="20"/>
        <w:szCs w:val="20"/>
      </w:rPr>
      <w:t>HU/09655/2017</w:t>
    </w:r>
  </w:p>
  <w:p w:rsidR="00C92869" w:rsidRPr="00C92869" w:rsidRDefault="00C92869" w:rsidP="000369F5">
    <w:pPr>
      <w:pStyle w:val="Header"/>
      <w:tabs>
        <w:tab w:val="clear" w:pos="4153"/>
        <w:tab w:val="clear" w:pos="8306"/>
        <w:tab w:val="right" w:pos="9639"/>
      </w:tabs>
      <w:jc w:val="right"/>
      <w:rPr>
        <w:rFonts w:ascii="Book Antiqua" w:hAnsi="Book Antiqua"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BF"/>
    <w:rsid w:val="00000621"/>
    <w:rsid w:val="000036C2"/>
    <w:rsid w:val="0000447F"/>
    <w:rsid w:val="0000560E"/>
    <w:rsid w:val="00033D3D"/>
    <w:rsid w:val="000369F5"/>
    <w:rsid w:val="0007109C"/>
    <w:rsid w:val="00071A7E"/>
    <w:rsid w:val="000746C0"/>
    <w:rsid w:val="00074D1D"/>
    <w:rsid w:val="00077227"/>
    <w:rsid w:val="00092580"/>
    <w:rsid w:val="000A3641"/>
    <w:rsid w:val="000A5ADA"/>
    <w:rsid w:val="000C6F8F"/>
    <w:rsid w:val="000D01C9"/>
    <w:rsid w:val="000D5D94"/>
    <w:rsid w:val="000E0CD7"/>
    <w:rsid w:val="000E6338"/>
    <w:rsid w:val="00114F8B"/>
    <w:rsid w:val="001165A7"/>
    <w:rsid w:val="0012110F"/>
    <w:rsid w:val="00151BB7"/>
    <w:rsid w:val="00167D3A"/>
    <w:rsid w:val="00172A08"/>
    <w:rsid w:val="00181368"/>
    <w:rsid w:val="001A1E2C"/>
    <w:rsid w:val="001E6D6D"/>
    <w:rsid w:val="001F2716"/>
    <w:rsid w:val="001F5801"/>
    <w:rsid w:val="001F6D87"/>
    <w:rsid w:val="0020133A"/>
    <w:rsid w:val="00207617"/>
    <w:rsid w:val="00233058"/>
    <w:rsid w:val="00253B61"/>
    <w:rsid w:val="00255071"/>
    <w:rsid w:val="00283659"/>
    <w:rsid w:val="002B4517"/>
    <w:rsid w:val="002C4E73"/>
    <w:rsid w:val="002D5A7F"/>
    <w:rsid w:val="002D68BF"/>
    <w:rsid w:val="002E75DE"/>
    <w:rsid w:val="0030070F"/>
    <w:rsid w:val="00336CBF"/>
    <w:rsid w:val="0035038A"/>
    <w:rsid w:val="003546C8"/>
    <w:rsid w:val="003A7CF2"/>
    <w:rsid w:val="003C5CE5"/>
    <w:rsid w:val="003E267B"/>
    <w:rsid w:val="003E7CD1"/>
    <w:rsid w:val="00402B9E"/>
    <w:rsid w:val="004061C2"/>
    <w:rsid w:val="00410E87"/>
    <w:rsid w:val="0041360E"/>
    <w:rsid w:val="00423932"/>
    <w:rsid w:val="004249CB"/>
    <w:rsid w:val="0044127D"/>
    <w:rsid w:val="004448DB"/>
    <w:rsid w:val="00446C9A"/>
    <w:rsid w:val="00460382"/>
    <w:rsid w:val="00477193"/>
    <w:rsid w:val="00481808"/>
    <w:rsid w:val="004A1848"/>
    <w:rsid w:val="00507FEC"/>
    <w:rsid w:val="00510F0E"/>
    <w:rsid w:val="00530B04"/>
    <w:rsid w:val="00532E7D"/>
    <w:rsid w:val="00542DB1"/>
    <w:rsid w:val="005479E1"/>
    <w:rsid w:val="005570FD"/>
    <w:rsid w:val="005575EA"/>
    <w:rsid w:val="0057123D"/>
    <w:rsid w:val="0057790C"/>
    <w:rsid w:val="00593795"/>
    <w:rsid w:val="005A75FF"/>
    <w:rsid w:val="005B7789"/>
    <w:rsid w:val="005D5BF7"/>
    <w:rsid w:val="0065791C"/>
    <w:rsid w:val="006803E1"/>
    <w:rsid w:val="00684A08"/>
    <w:rsid w:val="00690B8A"/>
    <w:rsid w:val="006D1DFA"/>
    <w:rsid w:val="006D506B"/>
    <w:rsid w:val="006E3C90"/>
    <w:rsid w:val="00704B61"/>
    <w:rsid w:val="00707DB1"/>
    <w:rsid w:val="007353BB"/>
    <w:rsid w:val="00742A8D"/>
    <w:rsid w:val="007552A9"/>
    <w:rsid w:val="00761858"/>
    <w:rsid w:val="00767D59"/>
    <w:rsid w:val="0077654D"/>
    <w:rsid w:val="00776E97"/>
    <w:rsid w:val="00780FD7"/>
    <w:rsid w:val="0078703A"/>
    <w:rsid w:val="007912AD"/>
    <w:rsid w:val="007A0408"/>
    <w:rsid w:val="007A1F28"/>
    <w:rsid w:val="007B0824"/>
    <w:rsid w:val="007D73C6"/>
    <w:rsid w:val="007F3ABD"/>
    <w:rsid w:val="00815F86"/>
    <w:rsid w:val="008303B8"/>
    <w:rsid w:val="00833DCE"/>
    <w:rsid w:val="00842418"/>
    <w:rsid w:val="00846438"/>
    <w:rsid w:val="008533CF"/>
    <w:rsid w:val="008634DB"/>
    <w:rsid w:val="00871D34"/>
    <w:rsid w:val="008B270C"/>
    <w:rsid w:val="008C3D3D"/>
    <w:rsid w:val="008D2D47"/>
    <w:rsid w:val="008D4131"/>
    <w:rsid w:val="008F1932"/>
    <w:rsid w:val="008F294D"/>
    <w:rsid w:val="00921062"/>
    <w:rsid w:val="0092618D"/>
    <w:rsid w:val="0093083E"/>
    <w:rsid w:val="0093333B"/>
    <w:rsid w:val="00966ECF"/>
    <w:rsid w:val="009727A3"/>
    <w:rsid w:val="00987774"/>
    <w:rsid w:val="009A11E8"/>
    <w:rsid w:val="009E4E62"/>
    <w:rsid w:val="009F518E"/>
    <w:rsid w:val="009F5220"/>
    <w:rsid w:val="009F7C4D"/>
    <w:rsid w:val="00A15234"/>
    <w:rsid w:val="00A201AB"/>
    <w:rsid w:val="00A31C8B"/>
    <w:rsid w:val="00A75965"/>
    <w:rsid w:val="00A80D36"/>
    <w:rsid w:val="00A845DC"/>
    <w:rsid w:val="00A97AEE"/>
    <w:rsid w:val="00AC4C50"/>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C42D3"/>
    <w:rsid w:val="00BD4196"/>
    <w:rsid w:val="00BF22CA"/>
    <w:rsid w:val="00C26032"/>
    <w:rsid w:val="00C265B0"/>
    <w:rsid w:val="00C321B5"/>
    <w:rsid w:val="00C345E1"/>
    <w:rsid w:val="00C36A07"/>
    <w:rsid w:val="00C52CBF"/>
    <w:rsid w:val="00C576D6"/>
    <w:rsid w:val="00C92869"/>
    <w:rsid w:val="00C971EC"/>
    <w:rsid w:val="00C977BA"/>
    <w:rsid w:val="00CB06F7"/>
    <w:rsid w:val="00CB6E35"/>
    <w:rsid w:val="00CC359C"/>
    <w:rsid w:val="00CE1A46"/>
    <w:rsid w:val="00CE26B2"/>
    <w:rsid w:val="00CE6AFA"/>
    <w:rsid w:val="00CF01A8"/>
    <w:rsid w:val="00CF253F"/>
    <w:rsid w:val="00CF56B4"/>
    <w:rsid w:val="00D20F09"/>
    <w:rsid w:val="00D22636"/>
    <w:rsid w:val="00D22FA8"/>
    <w:rsid w:val="00D24A9C"/>
    <w:rsid w:val="00D40FD9"/>
    <w:rsid w:val="00D53769"/>
    <w:rsid w:val="00D562ED"/>
    <w:rsid w:val="00D63446"/>
    <w:rsid w:val="00D647F9"/>
    <w:rsid w:val="00D65912"/>
    <w:rsid w:val="00D85C13"/>
    <w:rsid w:val="00D91BE3"/>
    <w:rsid w:val="00D94AFC"/>
    <w:rsid w:val="00D96A80"/>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A161D"/>
    <w:rsid w:val="00ED2CA3"/>
    <w:rsid w:val="00ED3079"/>
    <w:rsid w:val="00EE3B1D"/>
    <w:rsid w:val="00EE45D8"/>
    <w:rsid w:val="00F004CD"/>
    <w:rsid w:val="00F04888"/>
    <w:rsid w:val="00F22A22"/>
    <w:rsid w:val="00F22EDA"/>
    <w:rsid w:val="00F3224D"/>
    <w:rsid w:val="00F33E0E"/>
    <w:rsid w:val="00F541B5"/>
    <w:rsid w:val="00F5664C"/>
    <w:rsid w:val="00FB7E80"/>
    <w:rsid w:val="00FF1D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DA2BB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5648</Characters>
  <Application>Microsoft Office Word</Application>
  <DocSecurity>0</DocSecurity>
  <Lines>47</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2018-09-17T13:30:00Z</dcterms:created>
  <dcterms:modified xsi:type="dcterms:W3CDTF">2018-09-17T13:30:00Z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