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D219F1" w:rsidP="00503887">
      <w:pPr>
        <w:rPr>
          <w:rFonts w:ascii="Book Antiqua" w:hAnsi="Book Antiqua" w:cs="Arial"/>
          <w:color w:val="000000"/>
          <w:sz w:val="16"/>
          <w:szCs w:val="16"/>
        </w:rPr>
      </w:pPr>
    </w:p>
    <w:p w:rsidR="006F54E4" w:rsidRDefault="006F54E4" w:rsidP="00503887">
      <w:pPr>
        <w:jc w:val="center"/>
        <w:rPr>
          <w:rFonts w:ascii="Book Antiqua" w:hAnsi="Book Antiqua"/>
          <w:noProof/>
          <w:lang w:val="en-US" w:eastAsia="en-US"/>
        </w:rPr>
      </w:pPr>
    </w:p>
    <w:p w:rsidR="00D219F1" w:rsidRPr="00BB0BED" w:rsidRDefault="00EE5C41"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6685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6850" cy="1104900"/>
                    </a:xfrm>
                    <a:prstGeom prst="rect">
                      <a:avLst/>
                    </a:prstGeom>
                    <a:noFill/>
                    <a:ln>
                      <a:noFill/>
                    </a:ln>
                  </pic:spPr>
                </pic:pic>
              </a:graphicData>
            </a:graphic>
          </wp:inline>
        </w:drawing>
      </w: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F66F55"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2C14A6">
        <w:rPr>
          <w:rFonts w:ascii="Book Antiqua" w:hAnsi="Book Antiqua" w:cs="Arial"/>
          <w:color w:val="000000"/>
        </w:rPr>
        <w:t xml:space="preserve"> </w:t>
      </w:r>
      <w:bookmarkStart w:id="0" w:name="_GoBack"/>
      <w:r w:rsidR="00044C0B">
        <w:rPr>
          <w:rFonts w:ascii="Book Antiqua" w:hAnsi="Book Antiqua" w:cs="Arial"/>
          <w:color w:val="000000"/>
        </w:rPr>
        <w:t>HU/09724/</w:t>
      </w:r>
      <w:r w:rsidR="00D82F54">
        <w:rPr>
          <w:rFonts w:ascii="Book Antiqua" w:hAnsi="Book Antiqua" w:cs="Arial"/>
          <w:color w:val="000000"/>
        </w:rPr>
        <w:t>20</w:t>
      </w:r>
      <w:r w:rsidR="00044C0B">
        <w:rPr>
          <w:rFonts w:ascii="Book Antiqua" w:hAnsi="Book Antiqua" w:cs="Arial"/>
          <w:color w:val="000000"/>
        </w:rPr>
        <w:t>17</w:t>
      </w:r>
      <w:bookmarkEnd w:id="0"/>
    </w:p>
    <w:p w:rsidR="00D676BC" w:rsidRDefault="00D676BC" w:rsidP="00503887">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503887">
      <w:pPr>
        <w:jc w:val="center"/>
        <w:rPr>
          <w:rFonts w:ascii="Book Antiqua" w:hAnsi="Book Antiqua" w:cs="Arial"/>
          <w:b/>
          <w:u w:val="single"/>
        </w:rPr>
      </w:pPr>
    </w:p>
    <w:p w:rsidR="00F42483" w:rsidRPr="00BB0BED" w:rsidRDefault="00F42483" w:rsidP="00503887">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19F1" w:rsidRPr="00C03009" w:rsidTr="002C14A6">
        <w:tc>
          <w:tcPr>
            <w:tcW w:w="5245" w:type="dxa"/>
          </w:tcPr>
          <w:p w:rsidR="009D3482" w:rsidRPr="009D3482" w:rsidRDefault="009D3482" w:rsidP="009D3482">
            <w:pPr>
              <w:jc w:val="both"/>
              <w:rPr>
                <w:rFonts w:ascii="Book Antiqua" w:hAnsi="Book Antiqua" w:cs="Arial"/>
                <w:b/>
              </w:rPr>
            </w:pPr>
            <w:r w:rsidRPr="009D3482">
              <w:rPr>
                <w:rFonts w:ascii="Book Antiqua" w:hAnsi="Book Antiqua" w:cs="Arial"/>
                <w:b/>
              </w:rPr>
              <w:t>At:  Birmingham, City Tower</w:t>
            </w:r>
          </w:p>
          <w:p w:rsidR="00D219F1" w:rsidRPr="00C03009" w:rsidRDefault="009D3482" w:rsidP="009D3482">
            <w:pPr>
              <w:jc w:val="both"/>
              <w:rPr>
                <w:rFonts w:ascii="Book Antiqua" w:hAnsi="Book Antiqua" w:cs="Arial"/>
                <w:b/>
              </w:rPr>
            </w:pPr>
            <w:r w:rsidRPr="009D3482">
              <w:rPr>
                <w:rFonts w:ascii="Book Antiqua" w:hAnsi="Book Antiqua" w:cs="Arial"/>
                <w:b/>
              </w:rPr>
              <w:t>On: 6th April 2018</w:t>
            </w:r>
          </w:p>
        </w:tc>
        <w:tc>
          <w:tcPr>
            <w:tcW w:w="4393" w:type="dxa"/>
          </w:tcPr>
          <w:p w:rsidR="009D3482" w:rsidRDefault="00D806C5" w:rsidP="00256F9B">
            <w:pPr>
              <w:jc w:val="both"/>
              <w:rPr>
                <w:rFonts w:ascii="Book Antiqua" w:hAnsi="Book Antiqua" w:cs="Arial"/>
                <w:b/>
                <w:color w:val="000000"/>
              </w:rPr>
            </w:pPr>
            <w:r>
              <w:rPr>
                <w:rFonts w:ascii="Book Antiqua" w:hAnsi="Book Antiqua" w:cs="Arial"/>
                <w:b/>
                <w:color w:val="000000"/>
              </w:rPr>
              <w:t>Decision</w:t>
            </w:r>
            <w:r w:rsidR="009D3482">
              <w:rPr>
                <w:rFonts w:ascii="Book Antiqua" w:hAnsi="Book Antiqua" w:cs="Arial"/>
                <w:b/>
                <w:color w:val="000000"/>
              </w:rPr>
              <w:t xml:space="preserve"> and Reasons Promulgated</w:t>
            </w:r>
          </w:p>
          <w:p w:rsidR="00D219F1" w:rsidRPr="009D3482" w:rsidRDefault="009D3482" w:rsidP="009D3482">
            <w:pPr>
              <w:rPr>
                <w:rFonts w:ascii="Book Antiqua" w:hAnsi="Book Antiqua" w:cs="Arial"/>
                <w:b/>
              </w:rPr>
            </w:pPr>
            <w:r w:rsidRPr="009D3482">
              <w:rPr>
                <w:rFonts w:ascii="Book Antiqua" w:hAnsi="Book Antiqua" w:cs="Arial"/>
                <w:b/>
              </w:rPr>
              <w:t>On: 3rd July 2018</w:t>
            </w:r>
          </w:p>
        </w:tc>
      </w:tr>
      <w:tr w:rsidR="00D219F1" w:rsidRPr="00C03009" w:rsidTr="002C14A6">
        <w:trPr>
          <w:trHeight w:val="320"/>
        </w:trPr>
        <w:tc>
          <w:tcPr>
            <w:tcW w:w="5245" w:type="dxa"/>
          </w:tcPr>
          <w:p w:rsidR="008133F6" w:rsidRPr="00C03009" w:rsidRDefault="008133F6" w:rsidP="00030A29">
            <w:pPr>
              <w:jc w:val="both"/>
              <w:rPr>
                <w:rFonts w:ascii="Book Antiqua" w:hAnsi="Book Antiqua" w:cs="Arial"/>
                <w:b/>
              </w:rPr>
            </w:pPr>
          </w:p>
        </w:tc>
        <w:tc>
          <w:tcPr>
            <w:tcW w:w="4393" w:type="dxa"/>
          </w:tcPr>
          <w:p w:rsidR="00D219F1" w:rsidRPr="00C03009" w:rsidRDefault="00D219F1" w:rsidP="00256F9B">
            <w:pPr>
              <w:jc w:val="both"/>
              <w:rPr>
                <w:rFonts w:ascii="Book Antiqua" w:hAnsi="Book Antiqua" w:cs="Arial"/>
                <w:b/>
              </w:rPr>
            </w:pPr>
          </w:p>
        </w:tc>
      </w:tr>
    </w:tbl>
    <w:p w:rsidR="00D219F1" w:rsidRPr="00BB0BED" w:rsidRDefault="00D219F1" w:rsidP="00503887">
      <w:pPr>
        <w:jc w:val="center"/>
        <w:rPr>
          <w:rFonts w:ascii="Book Antiqua" w:hAnsi="Book Antiqua" w:cs="Arial"/>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23337B" w:rsidRDefault="0023337B"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2C14A6" w:rsidRDefault="002C14A6"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62352D" w:rsidRDefault="0062352D" w:rsidP="0062352D">
      <w:pPr>
        <w:jc w:val="center"/>
        <w:rPr>
          <w:rFonts w:ascii="Book Antiqua" w:hAnsi="Book Antiqua" w:cs="Arial"/>
          <w:b/>
        </w:rPr>
      </w:pPr>
    </w:p>
    <w:p w:rsidR="00004C3B" w:rsidRDefault="004C7D68" w:rsidP="00004C3B">
      <w:pPr>
        <w:jc w:val="center"/>
        <w:rPr>
          <w:rFonts w:ascii="Book Antiqua" w:hAnsi="Book Antiqua" w:cs="Arial"/>
          <w:b/>
        </w:rPr>
      </w:pPr>
      <w:proofErr w:type="spellStart"/>
      <w:r>
        <w:rPr>
          <w:rFonts w:ascii="Book Antiqua" w:hAnsi="Book Antiqua" w:cs="Arial"/>
          <w:b/>
        </w:rPr>
        <w:t>Pawitar</w:t>
      </w:r>
      <w:proofErr w:type="spellEnd"/>
      <w:r>
        <w:rPr>
          <w:rFonts w:ascii="Book Antiqua" w:hAnsi="Book Antiqua" w:cs="Arial"/>
          <w:b/>
        </w:rPr>
        <w:t xml:space="preserve"> </w:t>
      </w:r>
      <w:r w:rsidR="00BF21EB">
        <w:rPr>
          <w:rFonts w:ascii="Book Antiqua" w:hAnsi="Book Antiqua" w:cs="Arial"/>
          <w:b/>
        </w:rPr>
        <w:t>Singh</w:t>
      </w:r>
    </w:p>
    <w:p w:rsidR="00004C3B" w:rsidRPr="00030A29" w:rsidRDefault="00004C3B" w:rsidP="00004C3B">
      <w:pPr>
        <w:jc w:val="center"/>
        <w:rPr>
          <w:rFonts w:ascii="Book Antiqua" w:hAnsi="Book Antiqua" w:cs="Arial"/>
          <w:b/>
        </w:rPr>
      </w:pPr>
      <w:r>
        <w:rPr>
          <w:rFonts w:ascii="Book Antiqua" w:hAnsi="Book Antiqua" w:cs="Arial"/>
          <w:b/>
        </w:rPr>
        <w:t xml:space="preserve"> (</w:t>
      </w:r>
      <w:r w:rsidR="00BF21EB">
        <w:rPr>
          <w:rFonts w:ascii="Book Antiqua" w:hAnsi="Book Antiqua" w:cs="Arial"/>
          <w:b/>
        </w:rPr>
        <w:t xml:space="preserve">no </w:t>
      </w:r>
      <w:r w:rsidRPr="00030A29">
        <w:rPr>
          <w:rFonts w:ascii="Book Antiqua" w:hAnsi="Book Antiqua" w:cs="Arial"/>
          <w:b/>
        </w:rPr>
        <w:t>anonymity directi</w:t>
      </w:r>
      <w:r>
        <w:rPr>
          <w:rFonts w:ascii="Book Antiqua" w:hAnsi="Book Antiqua" w:cs="Arial"/>
          <w:b/>
        </w:rPr>
        <w:t>on made)</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004C3B" w:rsidRDefault="00004C3B" w:rsidP="00004C3B">
      <w:pPr>
        <w:jc w:val="center"/>
        <w:rPr>
          <w:rFonts w:ascii="Book Antiqua" w:hAnsi="Book Antiqua" w:cs="Arial"/>
          <w:b/>
        </w:rPr>
      </w:pPr>
    </w:p>
    <w:p w:rsidR="00004C3B" w:rsidRDefault="00004C3B" w:rsidP="00004C3B">
      <w:pPr>
        <w:jc w:val="center"/>
        <w:rPr>
          <w:rFonts w:ascii="Book Antiqua" w:hAnsi="Book Antiqua" w:cs="Arial"/>
          <w:b/>
        </w:rPr>
      </w:pPr>
      <w:r>
        <w:rPr>
          <w:rFonts w:ascii="Book Antiqua" w:hAnsi="Book Antiqua" w:cs="Arial"/>
          <w:b/>
        </w:rPr>
        <w:t>The Secretary of State for the Home Department</w:t>
      </w:r>
    </w:p>
    <w:p w:rsidR="00D219F1" w:rsidRPr="008951EA" w:rsidRDefault="00D219F1" w:rsidP="006B153F">
      <w:pPr>
        <w:jc w:val="right"/>
        <w:outlineLvl w:val="0"/>
        <w:rPr>
          <w:rFonts w:ascii="Book Antiqua" w:hAnsi="Book Antiqua" w:cs="Arial"/>
          <w:u w:val="single"/>
        </w:rPr>
      </w:pPr>
      <w:r w:rsidRPr="008951EA">
        <w:rPr>
          <w:rFonts w:ascii="Book Antiqua" w:hAnsi="Book Antiqua" w:cs="Arial"/>
          <w:u w:val="single"/>
        </w:rPr>
        <w:t>Respondent</w:t>
      </w:r>
    </w:p>
    <w:p w:rsidR="00555389" w:rsidRDefault="00555389" w:rsidP="00473C4B">
      <w:pPr>
        <w:rPr>
          <w:rFonts w:ascii="Book Antiqua" w:hAnsi="Book Antiqua" w:cs="Arial"/>
          <w:b/>
        </w:rPr>
      </w:pPr>
    </w:p>
    <w:p w:rsidR="002C14A6" w:rsidRPr="008951EA" w:rsidRDefault="002C14A6" w:rsidP="00473C4B">
      <w:pPr>
        <w:rPr>
          <w:rFonts w:ascii="Book Antiqua" w:hAnsi="Book Antiqua" w:cs="Arial"/>
          <w:b/>
        </w:rPr>
      </w:pPr>
    </w:p>
    <w:p w:rsidR="0062352D" w:rsidRDefault="00BF21EB" w:rsidP="0062352D">
      <w:pPr>
        <w:rPr>
          <w:rFonts w:ascii="Book Antiqua" w:hAnsi="Book Antiqua" w:cs="Arial"/>
          <w:b/>
        </w:rPr>
      </w:pPr>
      <w:r>
        <w:rPr>
          <w:rFonts w:ascii="Book Antiqua" w:hAnsi="Book Antiqua" w:cs="Arial"/>
          <w:b/>
        </w:rPr>
        <w:t>For the Appellant</w:t>
      </w:r>
      <w:r w:rsidR="008133F6" w:rsidRPr="008951EA">
        <w:rPr>
          <w:rFonts w:ascii="Book Antiqua" w:hAnsi="Book Antiqua" w:cs="Arial"/>
          <w:b/>
        </w:rPr>
        <w:t>:</w:t>
      </w:r>
      <w:r w:rsidR="0062352D">
        <w:rPr>
          <w:rFonts w:ascii="Book Antiqua" w:hAnsi="Book Antiqua" w:cs="Arial"/>
          <w:b/>
        </w:rPr>
        <w:tab/>
      </w:r>
      <w:r w:rsidR="0062352D">
        <w:rPr>
          <w:rFonts w:ascii="Book Antiqua" w:hAnsi="Book Antiqua" w:cs="Arial"/>
          <w:b/>
        </w:rPr>
        <w:tab/>
      </w:r>
      <w:r w:rsidR="004C7D68">
        <w:rPr>
          <w:rFonts w:ascii="Book Antiqua" w:hAnsi="Book Antiqua" w:cs="Arial"/>
          <w:b/>
        </w:rPr>
        <w:t>-</w:t>
      </w:r>
    </w:p>
    <w:p w:rsidR="00004C3B" w:rsidRDefault="00C2469A" w:rsidP="00473C4B">
      <w:pPr>
        <w:rPr>
          <w:rFonts w:ascii="Book Antiqua" w:hAnsi="Book Antiqua" w:cs="Arial"/>
          <w:b/>
        </w:rPr>
      </w:pPr>
      <w:r w:rsidRPr="008951EA">
        <w:rPr>
          <w:rFonts w:ascii="Book Antiqua" w:hAnsi="Book Antiqua" w:cs="Arial"/>
          <w:b/>
        </w:rPr>
        <w:t>For</w:t>
      </w:r>
      <w:r w:rsidR="00DC536C">
        <w:rPr>
          <w:rFonts w:ascii="Book Antiqua" w:hAnsi="Book Antiqua" w:cs="Arial"/>
          <w:b/>
        </w:rPr>
        <w:t xml:space="preserve"> </w:t>
      </w:r>
      <w:r w:rsidR="00BF21EB">
        <w:rPr>
          <w:rFonts w:ascii="Book Antiqua" w:hAnsi="Book Antiqua" w:cs="Arial"/>
          <w:b/>
        </w:rPr>
        <w:t>the Respondent</w:t>
      </w:r>
      <w:r w:rsidRPr="008951EA">
        <w:rPr>
          <w:rFonts w:ascii="Book Antiqua" w:hAnsi="Book Antiqua" w:cs="Arial"/>
          <w:b/>
        </w:rPr>
        <w:t>:</w:t>
      </w:r>
      <w:r w:rsidR="0062352D">
        <w:rPr>
          <w:rFonts w:ascii="Book Antiqua" w:hAnsi="Book Antiqua" w:cs="Arial"/>
          <w:b/>
        </w:rPr>
        <w:tab/>
      </w:r>
      <w:r w:rsidR="00BF21EB">
        <w:rPr>
          <w:rFonts w:ascii="Book Antiqua" w:hAnsi="Book Antiqua" w:cs="Arial"/>
          <w:b/>
        </w:rPr>
        <w:t>Mr Mills</w:t>
      </w:r>
      <w:r w:rsidR="00BF21EB" w:rsidRPr="008951EA">
        <w:rPr>
          <w:rFonts w:ascii="Book Antiqua" w:hAnsi="Book Antiqua" w:cs="Arial"/>
          <w:b/>
        </w:rPr>
        <w:t>, Senior Home Office Presenting Officer</w:t>
      </w:r>
      <w:r w:rsidR="0062352D">
        <w:rPr>
          <w:rFonts w:ascii="Book Antiqua" w:hAnsi="Book Antiqua" w:cs="Arial"/>
          <w:b/>
        </w:rPr>
        <w:tab/>
      </w:r>
      <w:r w:rsidR="0062352D">
        <w:rPr>
          <w:rFonts w:ascii="Book Antiqua" w:hAnsi="Book Antiqua" w:cs="Arial"/>
          <w:b/>
        </w:rPr>
        <w:tab/>
      </w:r>
      <w:r w:rsidR="0062352D">
        <w:rPr>
          <w:rFonts w:ascii="Book Antiqua" w:hAnsi="Book Antiqua" w:cs="Arial"/>
          <w:b/>
        </w:rPr>
        <w:tab/>
      </w:r>
    </w:p>
    <w:p w:rsidR="002C14A6" w:rsidRDefault="002C14A6" w:rsidP="00473C4B">
      <w:pPr>
        <w:rPr>
          <w:rFonts w:ascii="Book Antiqua" w:hAnsi="Book Antiqua" w:cs="Arial"/>
          <w:b/>
        </w:rPr>
      </w:pPr>
    </w:p>
    <w:p w:rsidR="00A10684" w:rsidRPr="00800967" w:rsidRDefault="00004C3B" w:rsidP="00ED7C3A">
      <w:pPr>
        <w:tabs>
          <w:tab w:val="left" w:pos="2520"/>
        </w:tabs>
        <w:jc w:val="center"/>
        <w:outlineLvl w:val="0"/>
        <w:rPr>
          <w:rFonts w:ascii="Book Antiqua" w:hAnsi="Book Antiqua" w:cs="Arial"/>
          <w:b/>
          <w:u w:val="single"/>
        </w:rPr>
      </w:pPr>
      <w:r>
        <w:rPr>
          <w:rFonts w:ascii="Book Antiqua" w:hAnsi="Book Antiqua" w:cs="Arial"/>
          <w:b/>
          <w:u w:val="single"/>
        </w:rPr>
        <w:t>DETERMINATION AND REASONS</w:t>
      </w:r>
    </w:p>
    <w:p w:rsidR="008133F6" w:rsidRPr="00BB0BED" w:rsidRDefault="008133F6" w:rsidP="00503887">
      <w:pPr>
        <w:tabs>
          <w:tab w:val="left" w:pos="2520"/>
        </w:tabs>
        <w:ind w:right="567"/>
        <w:jc w:val="both"/>
        <w:rPr>
          <w:rFonts w:ascii="Book Antiqua" w:hAnsi="Book Antiqua" w:cs="Arial"/>
        </w:rPr>
      </w:pPr>
    </w:p>
    <w:p w:rsidR="00BF21EB" w:rsidRDefault="00004C3B" w:rsidP="00C26016">
      <w:pPr>
        <w:numPr>
          <w:ilvl w:val="0"/>
          <w:numId w:val="1"/>
        </w:numPr>
        <w:tabs>
          <w:tab w:val="left" w:pos="567"/>
        </w:tabs>
        <w:ind w:left="567" w:right="567"/>
        <w:jc w:val="both"/>
        <w:rPr>
          <w:rFonts w:ascii="Book Antiqua" w:hAnsi="Book Antiqua" w:cs="Arial"/>
        </w:rPr>
      </w:pPr>
      <w:r>
        <w:rPr>
          <w:rFonts w:ascii="Book Antiqua" w:hAnsi="Book Antiqua" w:cs="Arial"/>
        </w:rPr>
        <w:t>The App</w:t>
      </w:r>
      <w:r w:rsidR="00BF21EB">
        <w:rPr>
          <w:rFonts w:ascii="Book Antiqua" w:hAnsi="Book Antiqua" w:cs="Arial"/>
        </w:rPr>
        <w:t>ellant is a national of India</w:t>
      </w:r>
      <w:r>
        <w:rPr>
          <w:rFonts w:ascii="Book Antiqua" w:hAnsi="Book Antiqua" w:cs="Arial"/>
        </w:rPr>
        <w:t xml:space="preserve"> born o</w:t>
      </w:r>
      <w:r w:rsidR="0062352D">
        <w:rPr>
          <w:rFonts w:ascii="Book Antiqua" w:hAnsi="Book Antiqua" w:cs="Arial"/>
        </w:rPr>
        <w:t xml:space="preserve">n </w:t>
      </w:r>
      <w:r>
        <w:rPr>
          <w:rFonts w:ascii="Book Antiqua" w:hAnsi="Book Antiqua" w:cs="Arial"/>
        </w:rPr>
        <w:t xml:space="preserve">the </w:t>
      </w:r>
      <w:r w:rsidR="00BF21EB">
        <w:rPr>
          <w:rFonts w:ascii="Book Antiqua" w:hAnsi="Book Antiqua" w:cs="Arial"/>
        </w:rPr>
        <w:t>6</w:t>
      </w:r>
      <w:r w:rsidRPr="00004C3B">
        <w:rPr>
          <w:rFonts w:ascii="Book Antiqua" w:hAnsi="Book Antiqua" w:cs="Arial"/>
          <w:vertAlign w:val="superscript"/>
        </w:rPr>
        <w:t>th</w:t>
      </w:r>
      <w:r>
        <w:rPr>
          <w:rFonts w:ascii="Book Antiqua" w:hAnsi="Book Antiqua" w:cs="Arial"/>
        </w:rPr>
        <w:t xml:space="preserve"> </w:t>
      </w:r>
      <w:r w:rsidR="00BF21EB">
        <w:rPr>
          <w:rFonts w:ascii="Book Antiqua" w:hAnsi="Book Antiqua" w:cs="Arial"/>
        </w:rPr>
        <w:t>March 1958</w:t>
      </w:r>
      <w:r>
        <w:rPr>
          <w:rFonts w:ascii="Book Antiqua" w:hAnsi="Book Antiqua" w:cs="Arial"/>
        </w:rPr>
        <w:t xml:space="preserve">. He </w:t>
      </w:r>
      <w:r w:rsidR="00BF21EB">
        <w:rPr>
          <w:rFonts w:ascii="Book Antiqua" w:hAnsi="Book Antiqua" w:cs="Arial"/>
        </w:rPr>
        <w:t>has lived in this country since at least 1999. He was granted Indefinite Leave to Remain in 2001, but on the 3</w:t>
      </w:r>
      <w:r w:rsidR="00BF21EB" w:rsidRPr="00BF21EB">
        <w:rPr>
          <w:rFonts w:ascii="Book Antiqua" w:hAnsi="Book Antiqua" w:cs="Arial"/>
          <w:vertAlign w:val="superscript"/>
        </w:rPr>
        <w:t>rd</w:t>
      </w:r>
      <w:r w:rsidR="00BF21EB">
        <w:rPr>
          <w:rFonts w:ascii="Book Antiqua" w:hAnsi="Book Antiqua" w:cs="Arial"/>
        </w:rPr>
        <w:t xml:space="preserve"> August 2017 the Respondent made a decision to deport him, on the grounds that his removal from the United Kingdom would be conducive to the public good. On the 23</w:t>
      </w:r>
      <w:r w:rsidR="00BF21EB" w:rsidRPr="00BF21EB">
        <w:rPr>
          <w:rFonts w:ascii="Book Antiqua" w:hAnsi="Book Antiqua" w:cs="Arial"/>
          <w:vertAlign w:val="superscript"/>
        </w:rPr>
        <w:t>rd</w:t>
      </w:r>
      <w:r w:rsidR="00BF21EB">
        <w:rPr>
          <w:rFonts w:ascii="Book Antiqua" w:hAnsi="Book Antiqua" w:cs="Arial"/>
        </w:rPr>
        <w:t xml:space="preserve"> November 2017 the First-tier Tribunal (Judge Telford) dismissed the Appellant’s appeal against that decision. The Appellant </w:t>
      </w:r>
      <w:r w:rsidR="00BF21EB">
        <w:rPr>
          <w:rFonts w:ascii="Book Antiqua" w:hAnsi="Book Antiqua" w:cs="Arial"/>
        </w:rPr>
        <w:lastRenderedPageBreak/>
        <w:t>now has permission to appeal, granted by Upper Tribunal Judge Perkins on the 25</w:t>
      </w:r>
      <w:r w:rsidR="00BF21EB" w:rsidRPr="00BF21EB">
        <w:rPr>
          <w:rFonts w:ascii="Book Antiqua" w:hAnsi="Book Antiqua" w:cs="Arial"/>
          <w:vertAlign w:val="superscript"/>
        </w:rPr>
        <w:t>th</w:t>
      </w:r>
      <w:r w:rsidR="00BF21EB">
        <w:rPr>
          <w:rFonts w:ascii="Book Antiqua" w:hAnsi="Book Antiqua" w:cs="Arial"/>
        </w:rPr>
        <w:t xml:space="preserve"> January 2018.</w:t>
      </w:r>
    </w:p>
    <w:p w:rsidR="00BF21EB" w:rsidRDefault="00BF21EB" w:rsidP="00BF21EB">
      <w:pPr>
        <w:tabs>
          <w:tab w:val="left" w:pos="567"/>
        </w:tabs>
        <w:ind w:left="567" w:right="567"/>
        <w:jc w:val="both"/>
        <w:rPr>
          <w:rFonts w:ascii="Book Antiqua" w:hAnsi="Book Antiqua" w:cs="Arial"/>
        </w:rPr>
      </w:pPr>
    </w:p>
    <w:p w:rsidR="00BF21EB" w:rsidRPr="00BF21EB" w:rsidRDefault="00BF21EB" w:rsidP="00BF21EB">
      <w:pPr>
        <w:tabs>
          <w:tab w:val="left" w:pos="567"/>
        </w:tabs>
        <w:ind w:left="567" w:right="567"/>
        <w:jc w:val="both"/>
        <w:rPr>
          <w:rFonts w:ascii="Book Antiqua" w:hAnsi="Book Antiqua" w:cs="Arial"/>
          <w:b/>
        </w:rPr>
      </w:pPr>
      <w:r w:rsidRPr="00BF21EB">
        <w:rPr>
          <w:rFonts w:ascii="Book Antiqua" w:hAnsi="Book Antiqua" w:cs="Arial"/>
          <w:b/>
        </w:rPr>
        <w:t xml:space="preserve">The Decision to Deport </w:t>
      </w:r>
    </w:p>
    <w:p w:rsidR="00BF21EB" w:rsidRDefault="00BF21EB" w:rsidP="00BF21EB">
      <w:pPr>
        <w:tabs>
          <w:tab w:val="left" w:pos="567"/>
        </w:tabs>
        <w:ind w:left="567" w:right="567"/>
        <w:jc w:val="both"/>
        <w:rPr>
          <w:rFonts w:ascii="Book Antiqua" w:hAnsi="Book Antiqua" w:cs="Arial"/>
        </w:rPr>
      </w:pPr>
    </w:p>
    <w:p w:rsidR="00BF21EB" w:rsidRDefault="00BF21EB" w:rsidP="00C26016">
      <w:pPr>
        <w:numPr>
          <w:ilvl w:val="0"/>
          <w:numId w:val="1"/>
        </w:numPr>
        <w:tabs>
          <w:tab w:val="left" w:pos="567"/>
        </w:tabs>
        <w:ind w:left="567" w:right="567"/>
        <w:jc w:val="both"/>
        <w:rPr>
          <w:rFonts w:ascii="Book Antiqua" w:hAnsi="Book Antiqua" w:cs="Arial"/>
        </w:rPr>
      </w:pPr>
      <w:r>
        <w:rPr>
          <w:rFonts w:ascii="Book Antiqua" w:hAnsi="Book Antiqua" w:cs="Arial"/>
        </w:rPr>
        <w:t>The Appellant has been convicted of the following criminal offences:</w:t>
      </w:r>
    </w:p>
    <w:p w:rsidR="00BF21EB" w:rsidRDefault="00BF21EB" w:rsidP="00BF21EB">
      <w:pPr>
        <w:tabs>
          <w:tab w:val="left" w:pos="567"/>
        </w:tabs>
        <w:ind w:left="567" w:right="567"/>
        <w:jc w:val="both"/>
        <w:rPr>
          <w:rFonts w:ascii="Book Antiqua" w:hAnsi="Book Antiqua" w:cs="Arial"/>
        </w:rPr>
      </w:pPr>
    </w:p>
    <w:p w:rsidR="00105612" w:rsidRDefault="00105612" w:rsidP="004C7D68">
      <w:pPr>
        <w:numPr>
          <w:ilvl w:val="0"/>
          <w:numId w:val="22"/>
        </w:numPr>
        <w:tabs>
          <w:tab w:val="left" w:pos="567"/>
        </w:tabs>
        <w:ind w:right="567"/>
        <w:jc w:val="both"/>
        <w:rPr>
          <w:rFonts w:ascii="Book Antiqua" w:hAnsi="Book Antiqua" w:cs="Arial"/>
        </w:rPr>
      </w:pPr>
      <w:r>
        <w:rPr>
          <w:rFonts w:ascii="Book Antiqua" w:hAnsi="Book Antiqua" w:cs="Arial"/>
        </w:rPr>
        <w:t>11</w:t>
      </w:r>
      <w:r w:rsidRPr="00105612">
        <w:rPr>
          <w:rFonts w:ascii="Book Antiqua" w:hAnsi="Book Antiqua" w:cs="Arial"/>
          <w:vertAlign w:val="superscript"/>
        </w:rPr>
        <w:t>th</w:t>
      </w:r>
      <w:r>
        <w:rPr>
          <w:rFonts w:ascii="Book Antiqua" w:hAnsi="Book Antiqua" w:cs="Arial"/>
        </w:rPr>
        <w:t xml:space="preserve"> August 2006 – driving with excess alcohol. Disqualified for 16 months, fined and £400 fine.</w:t>
      </w:r>
    </w:p>
    <w:p w:rsidR="00105612" w:rsidRDefault="00105612" w:rsidP="00105612">
      <w:pPr>
        <w:tabs>
          <w:tab w:val="left" w:pos="567"/>
        </w:tabs>
        <w:ind w:left="1440" w:right="567"/>
        <w:jc w:val="both"/>
        <w:rPr>
          <w:rFonts w:ascii="Book Antiqua" w:hAnsi="Book Antiqua" w:cs="Arial"/>
        </w:rPr>
      </w:pPr>
    </w:p>
    <w:p w:rsidR="00105612" w:rsidRDefault="00105612" w:rsidP="004C7D68">
      <w:pPr>
        <w:numPr>
          <w:ilvl w:val="0"/>
          <w:numId w:val="22"/>
        </w:numPr>
        <w:tabs>
          <w:tab w:val="left" w:pos="567"/>
        </w:tabs>
        <w:ind w:right="567"/>
        <w:jc w:val="both"/>
        <w:rPr>
          <w:rFonts w:ascii="Book Antiqua" w:hAnsi="Book Antiqua" w:cs="Arial"/>
        </w:rPr>
      </w:pPr>
      <w:r>
        <w:rPr>
          <w:rFonts w:ascii="Book Antiqua" w:hAnsi="Book Antiqua" w:cs="Arial"/>
        </w:rPr>
        <w:t>13</w:t>
      </w:r>
      <w:r w:rsidRPr="00105612">
        <w:rPr>
          <w:rFonts w:ascii="Book Antiqua" w:hAnsi="Book Antiqua" w:cs="Arial"/>
          <w:vertAlign w:val="superscript"/>
        </w:rPr>
        <w:t>th</w:t>
      </w:r>
      <w:r>
        <w:rPr>
          <w:rFonts w:ascii="Book Antiqua" w:hAnsi="Book Antiqua" w:cs="Arial"/>
        </w:rPr>
        <w:t xml:space="preserve"> August 2012 – driving with excess alcohol. Later sentenced to 6 weeks imprisonment to be served concurrently.</w:t>
      </w:r>
    </w:p>
    <w:p w:rsidR="00105612" w:rsidRDefault="00105612" w:rsidP="00105612">
      <w:pPr>
        <w:pStyle w:val="ListParagraph"/>
        <w:rPr>
          <w:rFonts w:ascii="Book Antiqua" w:hAnsi="Book Antiqua" w:cs="Arial"/>
        </w:rPr>
      </w:pPr>
    </w:p>
    <w:p w:rsidR="00105612" w:rsidRDefault="00105612" w:rsidP="004C7D68">
      <w:pPr>
        <w:numPr>
          <w:ilvl w:val="0"/>
          <w:numId w:val="22"/>
        </w:numPr>
        <w:tabs>
          <w:tab w:val="left" w:pos="567"/>
        </w:tabs>
        <w:ind w:right="567"/>
        <w:jc w:val="both"/>
        <w:rPr>
          <w:rFonts w:ascii="Book Antiqua" w:hAnsi="Book Antiqua" w:cs="Arial"/>
        </w:rPr>
      </w:pPr>
      <w:r>
        <w:rPr>
          <w:rFonts w:ascii="Book Antiqua" w:hAnsi="Book Antiqua" w:cs="Arial"/>
        </w:rPr>
        <w:t>20</w:t>
      </w:r>
      <w:r w:rsidRPr="00105612">
        <w:rPr>
          <w:rFonts w:ascii="Book Antiqua" w:hAnsi="Book Antiqua" w:cs="Arial"/>
          <w:vertAlign w:val="superscript"/>
        </w:rPr>
        <w:t>th</w:t>
      </w:r>
      <w:r>
        <w:rPr>
          <w:rFonts w:ascii="Book Antiqua" w:hAnsi="Book Antiqua" w:cs="Arial"/>
        </w:rPr>
        <w:t xml:space="preserve"> September 2012 – 2 counts of battery. 24 weeks imprisonment.</w:t>
      </w:r>
    </w:p>
    <w:p w:rsidR="00105612" w:rsidRDefault="00105612" w:rsidP="00105612">
      <w:pPr>
        <w:tabs>
          <w:tab w:val="left" w:pos="567"/>
        </w:tabs>
        <w:ind w:left="1440" w:right="567"/>
        <w:jc w:val="both"/>
        <w:rPr>
          <w:rFonts w:ascii="Book Antiqua" w:hAnsi="Book Antiqua" w:cs="Arial"/>
        </w:rPr>
      </w:pPr>
    </w:p>
    <w:p w:rsidR="00105612" w:rsidRDefault="00105612" w:rsidP="004C7D68">
      <w:pPr>
        <w:numPr>
          <w:ilvl w:val="0"/>
          <w:numId w:val="22"/>
        </w:numPr>
        <w:tabs>
          <w:tab w:val="left" w:pos="567"/>
        </w:tabs>
        <w:ind w:right="567"/>
        <w:jc w:val="both"/>
        <w:rPr>
          <w:rFonts w:ascii="Book Antiqua" w:hAnsi="Book Antiqua" w:cs="Arial"/>
        </w:rPr>
      </w:pPr>
      <w:r>
        <w:rPr>
          <w:rFonts w:ascii="Book Antiqua" w:hAnsi="Book Antiqua" w:cs="Arial"/>
        </w:rPr>
        <w:t>6</w:t>
      </w:r>
      <w:r w:rsidRPr="00105612">
        <w:rPr>
          <w:rFonts w:ascii="Book Antiqua" w:hAnsi="Book Antiqua" w:cs="Arial"/>
          <w:vertAlign w:val="superscript"/>
        </w:rPr>
        <w:t>th</w:t>
      </w:r>
      <w:r>
        <w:rPr>
          <w:rFonts w:ascii="Book Antiqua" w:hAnsi="Book Antiqua" w:cs="Arial"/>
        </w:rPr>
        <w:t xml:space="preserve"> August 2013 – breach of a non-molestation order. 26 weeks imprisonment.</w:t>
      </w:r>
    </w:p>
    <w:p w:rsidR="00105612" w:rsidRDefault="00105612" w:rsidP="00105612">
      <w:pPr>
        <w:pStyle w:val="ListParagraph"/>
        <w:rPr>
          <w:rFonts w:ascii="Book Antiqua" w:hAnsi="Book Antiqua" w:cs="Arial"/>
        </w:rPr>
      </w:pPr>
    </w:p>
    <w:p w:rsidR="00105612" w:rsidRDefault="00105612" w:rsidP="004C7D68">
      <w:pPr>
        <w:numPr>
          <w:ilvl w:val="0"/>
          <w:numId w:val="22"/>
        </w:numPr>
        <w:tabs>
          <w:tab w:val="left" w:pos="567"/>
        </w:tabs>
        <w:ind w:right="567"/>
        <w:jc w:val="both"/>
        <w:rPr>
          <w:rFonts w:ascii="Book Antiqua" w:hAnsi="Book Antiqua" w:cs="Arial"/>
        </w:rPr>
      </w:pPr>
      <w:r>
        <w:rPr>
          <w:rFonts w:ascii="Book Antiqua" w:hAnsi="Book Antiqua" w:cs="Arial"/>
        </w:rPr>
        <w:t>3</w:t>
      </w:r>
      <w:r w:rsidRPr="00105612">
        <w:rPr>
          <w:rFonts w:ascii="Book Antiqua" w:hAnsi="Book Antiqua" w:cs="Arial"/>
          <w:vertAlign w:val="superscript"/>
        </w:rPr>
        <w:t>rd</w:t>
      </w:r>
      <w:r>
        <w:rPr>
          <w:rFonts w:ascii="Book Antiqua" w:hAnsi="Book Antiqua" w:cs="Arial"/>
        </w:rPr>
        <w:t xml:space="preserve"> February 2015 – breach of non-molestation order. Supervision and community order.</w:t>
      </w:r>
    </w:p>
    <w:p w:rsidR="00105612" w:rsidRDefault="00105612" w:rsidP="00105612">
      <w:pPr>
        <w:pStyle w:val="ListParagraph"/>
        <w:rPr>
          <w:rFonts w:ascii="Book Antiqua" w:hAnsi="Book Antiqua" w:cs="Arial"/>
        </w:rPr>
      </w:pPr>
    </w:p>
    <w:p w:rsidR="00105612" w:rsidRDefault="00105612" w:rsidP="004C7D68">
      <w:pPr>
        <w:numPr>
          <w:ilvl w:val="0"/>
          <w:numId w:val="22"/>
        </w:numPr>
        <w:tabs>
          <w:tab w:val="left" w:pos="567"/>
        </w:tabs>
        <w:ind w:right="567"/>
        <w:jc w:val="both"/>
        <w:rPr>
          <w:rFonts w:ascii="Book Antiqua" w:hAnsi="Book Antiqua" w:cs="Arial"/>
        </w:rPr>
      </w:pPr>
      <w:r>
        <w:rPr>
          <w:rFonts w:ascii="Book Antiqua" w:hAnsi="Book Antiqua" w:cs="Arial"/>
        </w:rPr>
        <w:t>14</w:t>
      </w:r>
      <w:r w:rsidRPr="00105612">
        <w:rPr>
          <w:rFonts w:ascii="Book Antiqua" w:hAnsi="Book Antiqua" w:cs="Arial"/>
          <w:vertAlign w:val="superscript"/>
        </w:rPr>
        <w:t>th</w:t>
      </w:r>
      <w:r>
        <w:rPr>
          <w:rFonts w:ascii="Book Antiqua" w:hAnsi="Book Antiqua" w:cs="Arial"/>
        </w:rPr>
        <w:t xml:space="preserve"> August 2015 – breach of non-molestation order.</w:t>
      </w:r>
    </w:p>
    <w:p w:rsidR="00105612" w:rsidRDefault="00105612" w:rsidP="00105612">
      <w:pPr>
        <w:pStyle w:val="ListParagraph"/>
        <w:rPr>
          <w:rFonts w:ascii="Book Antiqua" w:hAnsi="Book Antiqua" w:cs="Arial"/>
        </w:rPr>
      </w:pPr>
    </w:p>
    <w:p w:rsidR="00105612" w:rsidRDefault="00105612" w:rsidP="004C7D68">
      <w:pPr>
        <w:numPr>
          <w:ilvl w:val="0"/>
          <w:numId w:val="22"/>
        </w:numPr>
        <w:tabs>
          <w:tab w:val="left" w:pos="567"/>
        </w:tabs>
        <w:ind w:right="567"/>
        <w:jc w:val="both"/>
        <w:rPr>
          <w:rFonts w:ascii="Book Antiqua" w:hAnsi="Book Antiqua" w:cs="Arial"/>
        </w:rPr>
      </w:pPr>
      <w:r>
        <w:rPr>
          <w:rFonts w:ascii="Book Antiqua" w:hAnsi="Book Antiqua" w:cs="Arial"/>
        </w:rPr>
        <w:t>3</w:t>
      </w:r>
      <w:r w:rsidRPr="00105612">
        <w:rPr>
          <w:rFonts w:ascii="Book Antiqua" w:hAnsi="Book Antiqua" w:cs="Arial"/>
          <w:vertAlign w:val="superscript"/>
        </w:rPr>
        <w:t>rd</w:t>
      </w:r>
      <w:r>
        <w:rPr>
          <w:rFonts w:ascii="Book Antiqua" w:hAnsi="Book Antiqua" w:cs="Arial"/>
        </w:rPr>
        <w:t xml:space="preserve"> November 2015 – battery. 18 weeks imprisonment, restraining order.</w:t>
      </w:r>
    </w:p>
    <w:p w:rsidR="00105612" w:rsidRDefault="00105612" w:rsidP="00105612">
      <w:pPr>
        <w:pStyle w:val="ListParagraph"/>
        <w:rPr>
          <w:rFonts w:ascii="Book Antiqua" w:hAnsi="Book Antiqua" w:cs="Arial"/>
        </w:rPr>
      </w:pPr>
    </w:p>
    <w:p w:rsidR="00BF21EB" w:rsidRDefault="00105612" w:rsidP="00C26016">
      <w:pPr>
        <w:numPr>
          <w:ilvl w:val="0"/>
          <w:numId w:val="1"/>
        </w:numPr>
        <w:tabs>
          <w:tab w:val="left" w:pos="567"/>
        </w:tabs>
        <w:ind w:left="567" w:right="567"/>
        <w:jc w:val="both"/>
        <w:rPr>
          <w:rFonts w:ascii="Book Antiqua" w:hAnsi="Book Antiqua" w:cs="Arial"/>
        </w:rPr>
      </w:pPr>
      <w:r>
        <w:rPr>
          <w:rFonts w:ascii="Book Antiqua" w:hAnsi="Book Antiqua" w:cs="Arial"/>
        </w:rPr>
        <w:t>The offences of battery, and the breaches of non-molestation orders, all arise from assaults by the Appellant on his former partner and the mother of his children.</w:t>
      </w:r>
    </w:p>
    <w:p w:rsidR="00105612" w:rsidRDefault="00105612" w:rsidP="00105612">
      <w:pPr>
        <w:tabs>
          <w:tab w:val="left" w:pos="567"/>
        </w:tabs>
        <w:ind w:left="567" w:right="567"/>
        <w:jc w:val="both"/>
        <w:rPr>
          <w:rFonts w:ascii="Book Antiqua" w:hAnsi="Book Antiqua" w:cs="Arial"/>
        </w:rPr>
      </w:pPr>
    </w:p>
    <w:p w:rsidR="00105612" w:rsidRDefault="00105612" w:rsidP="00C26016">
      <w:pPr>
        <w:numPr>
          <w:ilvl w:val="0"/>
          <w:numId w:val="1"/>
        </w:numPr>
        <w:tabs>
          <w:tab w:val="left" w:pos="567"/>
        </w:tabs>
        <w:ind w:left="567" w:right="567"/>
        <w:jc w:val="both"/>
        <w:rPr>
          <w:rFonts w:ascii="Book Antiqua" w:hAnsi="Book Antiqua" w:cs="Arial"/>
        </w:rPr>
      </w:pPr>
      <w:r>
        <w:rPr>
          <w:rFonts w:ascii="Book Antiqua" w:hAnsi="Book Antiqua" w:cs="Arial"/>
        </w:rPr>
        <w:t>The Respondent concluded that the Appellant is a persistent offender who has shown a particular disregard for the law. As such his deportation is conducive to the public good.</w:t>
      </w:r>
    </w:p>
    <w:p w:rsidR="00105612" w:rsidRDefault="00105612" w:rsidP="00BF21EB">
      <w:pPr>
        <w:pStyle w:val="ListParagraph"/>
        <w:rPr>
          <w:rFonts w:ascii="Book Antiqua" w:hAnsi="Book Antiqua" w:cs="Arial"/>
        </w:rPr>
      </w:pPr>
    </w:p>
    <w:p w:rsidR="00BF21EB" w:rsidRPr="00BF21EB" w:rsidRDefault="00BF21EB" w:rsidP="00BF21EB">
      <w:pPr>
        <w:tabs>
          <w:tab w:val="left" w:pos="567"/>
        </w:tabs>
        <w:ind w:left="567" w:right="567"/>
        <w:jc w:val="both"/>
        <w:rPr>
          <w:rFonts w:ascii="Book Antiqua" w:hAnsi="Book Antiqua" w:cs="Arial"/>
          <w:b/>
        </w:rPr>
      </w:pPr>
      <w:r w:rsidRPr="00BF21EB">
        <w:rPr>
          <w:rFonts w:ascii="Book Antiqua" w:hAnsi="Book Antiqua" w:cs="Arial"/>
          <w:b/>
        </w:rPr>
        <w:t>The Appeal to the First-tier Tribunal</w:t>
      </w:r>
    </w:p>
    <w:p w:rsidR="00BF21EB" w:rsidRDefault="00BF21EB" w:rsidP="00BF21EB">
      <w:pPr>
        <w:tabs>
          <w:tab w:val="left" w:pos="567"/>
        </w:tabs>
        <w:ind w:left="567" w:right="567"/>
        <w:jc w:val="both"/>
        <w:rPr>
          <w:rFonts w:ascii="Book Antiqua" w:hAnsi="Book Antiqua" w:cs="Arial"/>
        </w:rPr>
      </w:pPr>
    </w:p>
    <w:p w:rsidR="00BF21EB" w:rsidRDefault="00004C3B"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BF21EB">
        <w:rPr>
          <w:rFonts w:ascii="Book Antiqua" w:hAnsi="Book Antiqua" w:cs="Arial"/>
        </w:rPr>
        <w:t xml:space="preserve">Appellant was unrepresented before the First-tier Tribunal, as he is </w:t>
      </w:r>
      <w:r w:rsidR="00105612">
        <w:rPr>
          <w:rFonts w:ascii="Book Antiqua" w:hAnsi="Book Antiqua" w:cs="Arial"/>
        </w:rPr>
        <w:t>before me.</w:t>
      </w:r>
    </w:p>
    <w:p w:rsidR="00624BF2" w:rsidRDefault="00624BF2" w:rsidP="00624BF2">
      <w:pPr>
        <w:tabs>
          <w:tab w:val="left" w:pos="567"/>
        </w:tabs>
        <w:ind w:left="567" w:right="567"/>
        <w:jc w:val="both"/>
        <w:rPr>
          <w:rFonts w:ascii="Book Antiqua" w:hAnsi="Book Antiqua" w:cs="Arial"/>
        </w:rPr>
      </w:pPr>
    </w:p>
    <w:p w:rsidR="00105612" w:rsidRDefault="00105612"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He told Judge Telford that </w:t>
      </w:r>
      <w:r w:rsidR="00624BF2">
        <w:rPr>
          <w:rFonts w:ascii="Book Antiqua" w:hAnsi="Book Antiqua" w:cs="Arial"/>
        </w:rPr>
        <w:t xml:space="preserve">he should not be deported because he enjoys an Article 8 family life in the UK, with his partner </w:t>
      </w:r>
      <w:r w:rsidR="002C14A6">
        <w:rPr>
          <w:rFonts w:ascii="Book Antiqua" w:hAnsi="Book Antiqua" w:cs="Arial"/>
        </w:rPr>
        <w:t>[</w:t>
      </w:r>
      <w:r w:rsidR="00624BF2">
        <w:rPr>
          <w:rFonts w:ascii="Book Antiqua" w:hAnsi="Book Antiqua" w:cs="Arial"/>
        </w:rPr>
        <w:t>GK</w:t>
      </w:r>
      <w:r w:rsidR="002C14A6">
        <w:rPr>
          <w:rFonts w:ascii="Book Antiqua" w:hAnsi="Book Antiqua" w:cs="Arial"/>
        </w:rPr>
        <w:t>]</w:t>
      </w:r>
      <w:r w:rsidR="00624BF2">
        <w:rPr>
          <w:rFonts w:ascii="Book Antiqua" w:hAnsi="Book Antiqua" w:cs="Arial"/>
        </w:rPr>
        <w:t>, and their two children.</w:t>
      </w:r>
    </w:p>
    <w:p w:rsidR="00624BF2" w:rsidRDefault="00624BF2" w:rsidP="00624BF2">
      <w:pPr>
        <w:pStyle w:val="ListParagraph"/>
        <w:rPr>
          <w:rFonts w:ascii="Book Antiqua" w:hAnsi="Book Antiqua" w:cs="Arial"/>
        </w:rPr>
      </w:pPr>
    </w:p>
    <w:p w:rsidR="00EB252E" w:rsidRDefault="00624BF2"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Judge Telford was not satisfied that the relationship with Ms </w:t>
      </w:r>
      <w:r w:rsidR="002C14A6">
        <w:rPr>
          <w:rFonts w:ascii="Book Antiqua" w:hAnsi="Book Antiqua" w:cs="Arial"/>
        </w:rPr>
        <w:t>[</w:t>
      </w:r>
      <w:r>
        <w:rPr>
          <w:rFonts w:ascii="Book Antiqua" w:hAnsi="Book Antiqua" w:cs="Arial"/>
        </w:rPr>
        <w:t>K</w:t>
      </w:r>
      <w:r w:rsidR="002C14A6">
        <w:rPr>
          <w:rFonts w:ascii="Book Antiqua" w:hAnsi="Book Antiqua" w:cs="Arial"/>
        </w:rPr>
        <w:t xml:space="preserve">] </w:t>
      </w:r>
      <w:r>
        <w:rPr>
          <w:rFonts w:ascii="Book Antiqua" w:hAnsi="Book Antiqua" w:cs="Arial"/>
        </w:rPr>
        <w:t xml:space="preserve">was subsisting. He found that the crimes for which the Appellant has been convicted are “allied to his other reprehensible actions towards her during an unhappy marriage in which he regularly maltreated her and assaulted her both physically and mentally”. The Judge found no support for the Appellant’s claims that the marriage was subsisting, and found the Appellant’s insistence of referring to her </w:t>
      </w:r>
      <w:r>
        <w:rPr>
          <w:rFonts w:ascii="Book Antiqua" w:hAnsi="Book Antiqua" w:cs="Arial"/>
        </w:rPr>
        <w:lastRenderedPageBreak/>
        <w:t xml:space="preserve">as “his” wife to be chilling, given the clear indication that Ms </w:t>
      </w:r>
      <w:r w:rsidR="002C14A6">
        <w:rPr>
          <w:rFonts w:ascii="Book Antiqua" w:hAnsi="Book Antiqua" w:cs="Arial"/>
        </w:rPr>
        <w:t>[</w:t>
      </w:r>
      <w:r>
        <w:rPr>
          <w:rFonts w:ascii="Book Antiqua" w:hAnsi="Book Antiqua" w:cs="Arial"/>
        </w:rPr>
        <w:t>K</w:t>
      </w:r>
      <w:r w:rsidR="002C14A6">
        <w:rPr>
          <w:rFonts w:ascii="Book Antiqua" w:hAnsi="Book Antiqua" w:cs="Arial"/>
        </w:rPr>
        <w:t xml:space="preserve">] </w:t>
      </w:r>
      <w:r>
        <w:rPr>
          <w:rFonts w:ascii="Book Antiqua" w:hAnsi="Book Antiqua" w:cs="Arial"/>
        </w:rPr>
        <w:t xml:space="preserve">was now his ex-wife and wanted nothing more to do with him. </w:t>
      </w:r>
      <w:r w:rsidR="00EB252E">
        <w:rPr>
          <w:rFonts w:ascii="Book Antiqua" w:hAnsi="Book Antiqua" w:cs="Arial"/>
        </w:rPr>
        <w:t>Judge Telford was evidently unimpressed by the Appellant’s claim that he continues to “go around to see” his wife: “in reality he is peeved at the UK marriage provisions which provide for wife and children to have a roof over their heads. The house they purchased together he thinks is entirely his. She lives in it. He cannot contemplate her enjoying it as he sees matters, at his expense”.</w:t>
      </w:r>
    </w:p>
    <w:p w:rsidR="00EB252E" w:rsidRDefault="00EB252E" w:rsidP="00EB252E">
      <w:pPr>
        <w:pStyle w:val="ListParagraph"/>
        <w:rPr>
          <w:rFonts w:ascii="Book Antiqua" w:hAnsi="Book Antiqua" w:cs="Arial"/>
        </w:rPr>
      </w:pPr>
    </w:p>
    <w:p w:rsidR="00EB252E" w:rsidRDefault="00624BF2"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As to his ‘children’ there was no evidence that either, now in fact both adults, were prepared to support the appeal.  </w:t>
      </w:r>
      <w:r w:rsidR="00EB252E">
        <w:rPr>
          <w:rFonts w:ascii="Book Antiqua" w:hAnsi="Book Antiqua" w:cs="Arial"/>
        </w:rPr>
        <w:t>Those children had grown up witnessing their father’s violent and abusive attitude towards their mother.</w:t>
      </w:r>
    </w:p>
    <w:p w:rsidR="00EB252E" w:rsidRDefault="00EB252E" w:rsidP="00EB252E">
      <w:pPr>
        <w:pStyle w:val="ListParagraph"/>
        <w:rPr>
          <w:rFonts w:ascii="Book Antiqua" w:hAnsi="Book Antiqua" w:cs="Arial"/>
        </w:rPr>
      </w:pPr>
    </w:p>
    <w:p w:rsidR="00EB252E" w:rsidRDefault="00EB252E" w:rsidP="00C26016">
      <w:pPr>
        <w:numPr>
          <w:ilvl w:val="0"/>
          <w:numId w:val="1"/>
        </w:numPr>
        <w:tabs>
          <w:tab w:val="left" w:pos="567"/>
        </w:tabs>
        <w:ind w:left="567" w:right="567"/>
        <w:jc w:val="both"/>
        <w:rPr>
          <w:rFonts w:ascii="Book Antiqua" w:hAnsi="Book Antiqua" w:cs="Arial"/>
        </w:rPr>
      </w:pPr>
      <w:r>
        <w:rPr>
          <w:rFonts w:ascii="Book Antiqua" w:hAnsi="Book Antiqua" w:cs="Arial"/>
        </w:rPr>
        <w:t>Judge Telford added for good measure that the Appellant had shown no remorse or insight into his offending, denying before the Tribunal that he had been guilty of offences which the record plainly showed he had been convicted of, and in fact had pleaded guilty to. Judge Telford found that the Appellant had shown no understanding of the dangers of drink driving or the carnage that this offence can cause.</w:t>
      </w:r>
    </w:p>
    <w:p w:rsidR="00EB252E" w:rsidRDefault="00EB252E" w:rsidP="00EB252E">
      <w:pPr>
        <w:pStyle w:val="ListParagraph"/>
        <w:rPr>
          <w:rFonts w:ascii="Book Antiqua" w:hAnsi="Book Antiqua" w:cs="Arial"/>
        </w:rPr>
      </w:pPr>
    </w:p>
    <w:p w:rsidR="00624BF2" w:rsidRDefault="00624BF2" w:rsidP="00C26016">
      <w:pPr>
        <w:numPr>
          <w:ilvl w:val="0"/>
          <w:numId w:val="1"/>
        </w:numPr>
        <w:tabs>
          <w:tab w:val="left" w:pos="567"/>
        </w:tabs>
        <w:ind w:left="567" w:right="567"/>
        <w:jc w:val="both"/>
        <w:rPr>
          <w:rFonts w:ascii="Book Antiqua" w:hAnsi="Book Antiqua" w:cs="Arial"/>
        </w:rPr>
      </w:pPr>
      <w:r>
        <w:rPr>
          <w:rFonts w:ascii="Book Antiqua" w:hAnsi="Book Antiqua" w:cs="Arial"/>
        </w:rPr>
        <w:t>The clear import of these findings is that the Judge did not accept that the Appellant had the remotest chance of succeeding in his appeal with reference to either ‘exception’ in paragrap</w:t>
      </w:r>
      <w:r w:rsidR="000A1D46">
        <w:rPr>
          <w:rFonts w:ascii="Book Antiqua" w:hAnsi="Book Antiqua" w:cs="Arial"/>
        </w:rPr>
        <w:t>h 399</w:t>
      </w:r>
      <w:r>
        <w:rPr>
          <w:rFonts w:ascii="Book Antiqua" w:hAnsi="Book Antiqua" w:cs="Arial"/>
        </w:rPr>
        <w:t xml:space="preserve"> of the Immigration Rules. Nor, it is implicit in his findings, did he believe there to be any exceptional circumstances such that deportation would nevertheless be contrary to the UKs obligations under the ECHR.  </w:t>
      </w:r>
    </w:p>
    <w:p w:rsidR="00624BF2" w:rsidRDefault="00624BF2" w:rsidP="00624BF2">
      <w:pPr>
        <w:tabs>
          <w:tab w:val="left" w:pos="567"/>
        </w:tabs>
        <w:ind w:left="567" w:right="567"/>
        <w:jc w:val="both"/>
        <w:rPr>
          <w:rFonts w:ascii="Book Antiqua" w:hAnsi="Book Antiqua" w:cs="Arial"/>
        </w:rPr>
      </w:pPr>
    </w:p>
    <w:p w:rsidR="00624BF2" w:rsidRDefault="00624BF2"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I say ‘implicit’ because having made those </w:t>
      </w:r>
      <w:r w:rsidR="00EB252E">
        <w:rPr>
          <w:rFonts w:ascii="Book Antiqua" w:hAnsi="Book Antiqua" w:cs="Arial"/>
        </w:rPr>
        <w:t xml:space="preserve">clear and robust </w:t>
      </w:r>
      <w:r>
        <w:rPr>
          <w:rFonts w:ascii="Book Antiqua" w:hAnsi="Book Antiqua" w:cs="Arial"/>
        </w:rPr>
        <w:t>findings, the First-tier Tribunal does not go on to reach conclusions on this case. From paragraph</w:t>
      </w:r>
      <w:r w:rsidR="00B56FFB">
        <w:rPr>
          <w:rFonts w:ascii="Book Antiqua" w:hAnsi="Book Antiqua" w:cs="Arial"/>
        </w:rPr>
        <w:t>s</w:t>
      </w:r>
      <w:r>
        <w:rPr>
          <w:rFonts w:ascii="Book Antiqua" w:hAnsi="Book Antiqua" w:cs="Arial"/>
        </w:rPr>
        <w:t xml:space="preserve"> </w:t>
      </w:r>
      <w:r w:rsidR="00B56FFB">
        <w:rPr>
          <w:rFonts w:ascii="Book Antiqua" w:hAnsi="Book Antiqua" w:cs="Arial"/>
        </w:rPr>
        <w:t>24 to 30</w:t>
      </w:r>
      <w:r>
        <w:rPr>
          <w:rFonts w:ascii="Book Antiqua" w:hAnsi="Book Antiqua" w:cs="Arial"/>
        </w:rPr>
        <w:t xml:space="preserve"> the determination relates to a completely different case, one apparently involving a female Tier 4 Migrant who had not passed her English language test. It was for this reason, and this reason alone, that Judge Perkins was prepared to grant permission to appeal.</w:t>
      </w:r>
    </w:p>
    <w:p w:rsidR="0023337B" w:rsidRDefault="0023337B" w:rsidP="00624BF2">
      <w:pPr>
        <w:tabs>
          <w:tab w:val="left" w:pos="567"/>
        </w:tabs>
        <w:ind w:left="567" w:right="567"/>
        <w:jc w:val="both"/>
        <w:rPr>
          <w:rFonts w:ascii="Book Antiqua" w:hAnsi="Book Antiqua" w:cs="Arial"/>
        </w:rPr>
      </w:pPr>
    </w:p>
    <w:p w:rsidR="00624BF2" w:rsidRPr="00EB252E" w:rsidRDefault="00624BF2" w:rsidP="00624BF2">
      <w:pPr>
        <w:tabs>
          <w:tab w:val="left" w:pos="567"/>
        </w:tabs>
        <w:ind w:left="567" w:right="567"/>
        <w:jc w:val="both"/>
        <w:rPr>
          <w:rFonts w:ascii="Book Antiqua" w:hAnsi="Book Antiqua" w:cs="Arial"/>
          <w:b/>
        </w:rPr>
      </w:pPr>
      <w:r w:rsidRPr="00EB252E">
        <w:rPr>
          <w:rFonts w:ascii="Book Antiqua" w:hAnsi="Book Antiqua" w:cs="Arial"/>
          <w:b/>
        </w:rPr>
        <w:t>Error of Law</w:t>
      </w:r>
    </w:p>
    <w:p w:rsidR="00624BF2" w:rsidRDefault="00624BF2" w:rsidP="00624BF2">
      <w:pPr>
        <w:pStyle w:val="ListParagraph"/>
        <w:rPr>
          <w:rFonts w:ascii="Book Antiqua" w:hAnsi="Book Antiqua" w:cs="Arial"/>
        </w:rPr>
      </w:pPr>
    </w:p>
    <w:p w:rsidR="00EB252E" w:rsidRDefault="00624BF2" w:rsidP="00C26016">
      <w:pPr>
        <w:numPr>
          <w:ilvl w:val="0"/>
          <w:numId w:val="1"/>
        </w:numPr>
        <w:tabs>
          <w:tab w:val="left" w:pos="567"/>
        </w:tabs>
        <w:ind w:left="567" w:right="567"/>
        <w:jc w:val="both"/>
        <w:rPr>
          <w:rFonts w:ascii="Book Antiqua" w:hAnsi="Book Antiqua" w:cs="Arial"/>
        </w:rPr>
      </w:pPr>
      <w:r>
        <w:rPr>
          <w:rFonts w:ascii="Book Antiqua" w:hAnsi="Book Antiqua" w:cs="Arial"/>
        </w:rPr>
        <w:t>Before me Mr Mills agreed that the inclusion of these paragraphs in the de</w:t>
      </w:r>
      <w:r w:rsidR="00EB252E">
        <w:rPr>
          <w:rFonts w:ascii="Book Antiqua" w:hAnsi="Book Antiqua" w:cs="Arial"/>
        </w:rPr>
        <w:t>cision was an error.   He invited me to re-make the decision, leaving the reasoning at paragraphs 1-23 of the decision intact and replacing the conclusions on Article 8 with my own assessment, drawn from Judge Telford’s clear findings.</w:t>
      </w:r>
      <w:r w:rsidR="00DB6ADF">
        <w:rPr>
          <w:rFonts w:ascii="Book Antiqua" w:hAnsi="Book Antiqua" w:cs="Arial"/>
        </w:rPr>
        <w:t xml:space="preserve">  I agree that to be the appropriate disposal.</w:t>
      </w:r>
    </w:p>
    <w:p w:rsidR="00DB6ADF" w:rsidRDefault="00DB6ADF" w:rsidP="00EB252E">
      <w:pPr>
        <w:tabs>
          <w:tab w:val="left" w:pos="567"/>
        </w:tabs>
        <w:ind w:left="567" w:right="567"/>
        <w:jc w:val="both"/>
        <w:rPr>
          <w:rFonts w:ascii="Book Antiqua" w:hAnsi="Book Antiqua" w:cs="Arial"/>
        </w:rPr>
      </w:pPr>
    </w:p>
    <w:p w:rsidR="00624BF2" w:rsidRPr="004A595D" w:rsidRDefault="00EB252E" w:rsidP="00EB252E">
      <w:pPr>
        <w:tabs>
          <w:tab w:val="left" w:pos="567"/>
        </w:tabs>
        <w:ind w:left="567" w:right="567"/>
        <w:jc w:val="both"/>
        <w:rPr>
          <w:rFonts w:ascii="Book Antiqua" w:hAnsi="Book Antiqua" w:cs="Arial"/>
          <w:b/>
        </w:rPr>
      </w:pPr>
      <w:r w:rsidRPr="004A595D">
        <w:rPr>
          <w:rFonts w:ascii="Book Antiqua" w:hAnsi="Book Antiqua" w:cs="Arial"/>
          <w:b/>
        </w:rPr>
        <w:t xml:space="preserve">The Re-Made Decision </w:t>
      </w:r>
    </w:p>
    <w:p w:rsidR="00624BF2" w:rsidRDefault="00624BF2" w:rsidP="00624BF2">
      <w:pPr>
        <w:pStyle w:val="ListParagraph"/>
        <w:rPr>
          <w:rFonts w:ascii="Book Antiqua" w:hAnsi="Book Antiqua" w:cs="Arial"/>
        </w:rPr>
      </w:pPr>
    </w:p>
    <w:p w:rsidR="004A595D" w:rsidRDefault="00EB252E"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has been convicted on 7 occasions of 8 offences, including 3 convictions for battery against his wife for which he was sent to prison. He has </w:t>
      </w:r>
      <w:r w:rsidR="004A595D">
        <w:rPr>
          <w:rFonts w:ascii="Book Antiqua" w:hAnsi="Book Antiqua" w:cs="Arial"/>
        </w:rPr>
        <w:t xml:space="preserve">two convictions for driving whilst drunk.  His flagrant disregard for the work of </w:t>
      </w:r>
      <w:r w:rsidR="004A595D">
        <w:rPr>
          <w:rFonts w:ascii="Book Antiqua" w:hAnsi="Book Antiqua" w:cs="Arial"/>
        </w:rPr>
        <w:lastRenderedPageBreak/>
        <w:t>the police and courts has seen him repeatedly breach non-molestation orders, with the result that he had to be returned to prison. By any measure the Appellant is a “persistent offender” within the meaning of the Rules.</w:t>
      </w:r>
    </w:p>
    <w:p w:rsidR="004A595D" w:rsidRDefault="004A595D" w:rsidP="004A595D">
      <w:pPr>
        <w:tabs>
          <w:tab w:val="left" w:pos="567"/>
        </w:tabs>
        <w:ind w:left="567" w:right="567"/>
        <w:jc w:val="both"/>
        <w:rPr>
          <w:rFonts w:ascii="Book Antiqua" w:hAnsi="Book Antiqua" w:cs="Arial"/>
        </w:rPr>
      </w:pPr>
    </w:p>
    <w:p w:rsidR="00624BF2" w:rsidRDefault="004A595D" w:rsidP="00C26016">
      <w:pPr>
        <w:numPr>
          <w:ilvl w:val="0"/>
          <w:numId w:val="1"/>
        </w:numPr>
        <w:tabs>
          <w:tab w:val="left" w:pos="567"/>
        </w:tabs>
        <w:ind w:left="567" w:right="567"/>
        <w:jc w:val="both"/>
        <w:rPr>
          <w:rFonts w:ascii="Book Antiqua" w:hAnsi="Book Antiqua" w:cs="Arial"/>
        </w:rPr>
      </w:pPr>
      <w:r>
        <w:rPr>
          <w:rFonts w:ascii="Book Antiqua" w:hAnsi="Book Antiqua" w:cs="Arial"/>
        </w:rPr>
        <w:t>The operative rules for consideration of the Appellant’s human rights appeal are paragraphs 398 and 399:</w:t>
      </w:r>
    </w:p>
    <w:p w:rsidR="004A595D" w:rsidRPr="004A595D" w:rsidRDefault="004A595D" w:rsidP="00B56FFB">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398. Where a person claims that their deportation would be contrary to the UK’s obligations under Article 8 of the Human Rights Convention, and</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(a) the deportation of the person from the UK is conducive to the public good and in the public interest because they have been convicted of an offence for which they have been sentenced to a period of imprisonment of at least 4 years;</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(b) the deportation of the person from the UK is conducive to the public good and in the public interest because they have been convicted of an offence for which they have been sentenced to a period of imprisonment of less than 4 years but at least 12 months; or</w:t>
      </w:r>
    </w:p>
    <w:p w:rsidR="004A595D" w:rsidRPr="004A595D" w:rsidRDefault="004A595D" w:rsidP="00B56FFB">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 xml:space="preserve">(c) </w:t>
      </w:r>
      <w:r w:rsidRPr="004A595D">
        <w:rPr>
          <w:rFonts w:ascii="Book Antiqua" w:eastAsia="Times New Roman" w:hAnsi="Book Antiqua"/>
          <w:b/>
          <w:sz w:val="20"/>
          <w:szCs w:val="20"/>
          <w:lang w:val="en"/>
        </w:rPr>
        <w:t>the deportation of the person from the UK is conducive to the public good and in the public interest because, in the view of the Secretary of State, their offending has caused serious harm or they are a persistent offender who shows a particular disregard for the law, 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r w:rsidRPr="004A595D">
        <w:rPr>
          <w:rFonts w:ascii="Book Antiqua" w:eastAsia="Times New Roman" w:hAnsi="Book Antiqua"/>
          <w:sz w:val="20"/>
          <w:szCs w:val="20"/>
          <w:lang w:val="en"/>
        </w:rPr>
        <w:t>.</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399. This paragraph applies where paragraph 398 (b) or (c) applies if –</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 xml:space="preserve">(a) </w:t>
      </w:r>
      <w:r w:rsidRPr="004A595D">
        <w:rPr>
          <w:rFonts w:ascii="Book Antiqua" w:eastAsia="Times New Roman" w:hAnsi="Book Antiqua"/>
          <w:b/>
          <w:sz w:val="20"/>
          <w:szCs w:val="20"/>
          <w:lang w:val="en"/>
        </w:rPr>
        <w:t>the person has a genuine and subsisting parental relationship with a child under the age of 18 years who is in the UK</w:t>
      </w:r>
      <w:r w:rsidRPr="004A595D">
        <w:rPr>
          <w:rFonts w:ascii="Book Antiqua" w:eastAsia="Times New Roman" w:hAnsi="Book Antiqua"/>
          <w:sz w:val="20"/>
          <w:szCs w:val="20"/>
          <w:lang w:val="en"/>
        </w:rPr>
        <w:t>, and</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w:t>
      </w:r>
      <w:proofErr w:type="spellStart"/>
      <w:r w:rsidRPr="004A595D">
        <w:rPr>
          <w:rFonts w:ascii="Book Antiqua" w:eastAsia="Times New Roman" w:hAnsi="Book Antiqua"/>
          <w:sz w:val="20"/>
          <w:szCs w:val="20"/>
          <w:lang w:val="en"/>
        </w:rPr>
        <w:t>i</w:t>
      </w:r>
      <w:proofErr w:type="spellEnd"/>
      <w:r w:rsidRPr="004A595D">
        <w:rPr>
          <w:rFonts w:ascii="Book Antiqua" w:eastAsia="Times New Roman" w:hAnsi="Book Antiqua"/>
          <w:sz w:val="20"/>
          <w:szCs w:val="20"/>
          <w:lang w:val="en"/>
        </w:rPr>
        <w:t>) the child is a British Citizen; or</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(ii) the child has lived in the UK continuously for at least the 7 years immediately preceding the date of the immigration decision; and in either case</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(a) it would be unduly harsh for the child to live in the country to which the person is to be deported; and</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 xml:space="preserve">(b) it would be unduly harsh for the child to remain in the UK without the person who is to be deported; or </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 xml:space="preserve">(b) </w:t>
      </w:r>
      <w:r w:rsidRPr="004A595D">
        <w:rPr>
          <w:rFonts w:ascii="Book Antiqua" w:eastAsia="Times New Roman" w:hAnsi="Book Antiqua"/>
          <w:b/>
          <w:sz w:val="20"/>
          <w:szCs w:val="20"/>
          <w:lang w:val="en"/>
        </w:rPr>
        <w:t>the person has a genuine and subsisting relationship with a partner who is in the UK and is a British Citizen or settled in the UK</w:t>
      </w:r>
      <w:r w:rsidRPr="004A595D">
        <w:rPr>
          <w:rFonts w:ascii="Book Antiqua" w:eastAsia="Times New Roman" w:hAnsi="Book Antiqua"/>
          <w:sz w:val="20"/>
          <w:szCs w:val="20"/>
          <w:lang w:val="en"/>
        </w:rPr>
        <w:t>, and</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w:t>
      </w:r>
      <w:proofErr w:type="spellStart"/>
      <w:r w:rsidRPr="004A595D">
        <w:rPr>
          <w:rFonts w:ascii="Book Antiqua" w:eastAsia="Times New Roman" w:hAnsi="Book Antiqua"/>
          <w:sz w:val="20"/>
          <w:szCs w:val="20"/>
          <w:lang w:val="en"/>
        </w:rPr>
        <w:t>i</w:t>
      </w:r>
      <w:proofErr w:type="spellEnd"/>
      <w:r w:rsidRPr="004A595D">
        <w:rPr>
          <w:rFonts w:ascii="Book Antiqua" w:eastAsia="Times New Roman" w:hAnsi="Book Antiqua"/>
          <w:sz w:val="20"/>
          <w:szCs w:val="20"/>
          <w:lang w:val="en"/>
        </w:rPr>
        <w:t>) the relationship was formed at a time when the person (deportee) was in the UK lawfully and their immigration status was not precarious; and</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lastRenderedPageBreak/>
        <w:t>(ii) it would be unduly harsh for that partner to live in the country to which the person is to be deported, because of compelling circumstances over and above those described in paragraph EX.2. of Appendix FM; and</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(iii) it would be unduly harsh for that partner to remain in the UK without the person who is to be deported.</w:t>
      </w:r>
    </w:p>
    <w:p w:rsidR="004A595D" w:rsidRPr="004A595D" w:rsidRDefault="004A595D" w:rsidP="004A595D">
      <w:pPr>
        <w:spacing w:before="100" w:beforeAutospacing="1" w:after="100" w:afterAutospacing="1"/>
        <w:ind w:left="1494" w:right="1134"/>
        <w:rPr>
          <w:rFonts w:ascii="Book Antiqua" w:eastAsia="Times New Roman" w:hAnsi="Book Antiqua"/>
          <w:sz w:val="20"/>
          <w:szCs w:val="20"/>
          <w:lang w:val="en"/>
        </w:rPr>
      </w:pPr>
      <w:r w:rsidRPr="004A595D">
        <w:rPr>
          <w:rFonts w:ascii="Book Antiqua" w:eastAsia="Times New Roman" w:hAnsi="Book Antiqua"/>
          <w:sz w:val="20"/>
          <w:szCs w:val="20"/>
          <w:lang w:val="en"/>
        </w:rPr>
        <w:t>399A. This paragraph applies where paragraph 398(b) or (c) applies if –</w:t>
      </w:r>
    </w:p>
    <w:p w:rsidR="004A595D" w:rsidRPr="004A595D" w:rsidRDefault="004A595D" w:rsidP="004A595D">
      <w:pPr>
        <w:spacing w:before="100" w:beforeAutospacing="1" w:after="100" w:afterAutospacing="1"/>
        <w:ind w:left="1134" w:right="1134" w:firstLine="306"/>
        <w:rPr>
          <w:rFonts w:ascii="Book Antiqua" w:eastAsia="Times New Roman" w:hAnsi="Book Antiqua"/>
          <w:sz w:val="20"/>
          <w:szCs w:val="20"/>
          <w:lang w:val="en"/>
        </w:rPr>
      </w:pPr>
      <w:r w:rsidRPr="004A595D">
        <w:rPr>
          <w:rFonts w:ascii="Book Antiqua" w:eastAsia="Times New Roman" w:hAnsi="Book Antiqua"/>
          <w:sz w:val="20"/>
          <w:szCs w:val="20"/>
          <w:lang w:val="en"/>
        </w:rPr>
        <w:t xml:space="preserve">(a) </w:t>
      </w:r>
      <w:r w:rsidRPr="004A595D">
        <w:rPr>
          <w:rFonts w:ascii="Book Antiqua" w:eastAsia="Times New Roman" w:hAnsi="Book Antiqua"/>
          <w:b/>
          <w:sz w:val="20"/>
          <w:szCs w:val="20"/>
          <w:lang w:val="en"/>
        </w:rPr>
        <w:t>the person has been lawfully resident in the UK for most of his life</w:t>
      </w:r>
      <w:r w:rsidRPr="004A595D">
        <w:rPr>
          <w:rFonts w:ascii="Book Antiqua" w:eastAsia="Times New Roman" w:hAnsi="Book Antiqua"/>
          <w:sz w:val="20"/>
          <w:szCs w:val="20"/>
          <w:lang w:val="en"/>
        </w:rPr>
        <w:t>; and</w:t>
      </w:r>
    </w:p>
    <w:p w:rsidR="004A595D" w:rsidRPr="004A595D" w:rsidRDefault="004A595D" w:rsidP="00CB5605">
      <w:pPr>
        <w:spacing w:before="100" w:beforeAutospacing="1" w:after="100" w:afterAutospacing="1"/>
        <w:ind w:left="1134" w:right="1134" w:firstLine="306"/>
        <w:rPr>
          <w:rFonts w:ascii="Book Antiqua" w:eastAsia="Times New Roman" w:hAnsi="Book Antiqua"/>
          <w:sz w:val="20"/>
          <w:szCs w:val="20"/>
          <w:lang w:val="en"/>
        </w:rPr>
      </w:pPr>
      <w:r w:rsidRPr="004A595D">
        <w:rPr>
          <w:rFonts w:ascii="Book Antiqua" w:eastAsia="Times New Roman" w:hAnsi="Book Antiqua"/>
          <w:sz w:val="20"/>
          <w:szCs w:val="20"/>
          <w:lang w:val="en"/>
        </w:rPr>
        <w:t xml:space="preserve">(b) </w:t>
      </w:r>
      <w:r w:rsidRPr="004A595D">
        <w:rPr>
          <w:rFonts w:ascii="Book Antiqua" w:eastAsia="Times New Roman" w:hAnsi="Book Antiqua"/>
          <w:b/>
          <w:sz w:val="20"/>
          <w:szCs w:val="20"/>
          <w:lang w:val="en"/>
        </w:rPr>
        <w:t>he is socially and culturally integrated in the UK</w:t>
      </w:r>
      <w:r w:rsidRPr="004A595D">
        <w:rPr>
          <w:rFonts w:ascii="Book Antiqua" w:eastAsia="Times New Roman" w:hAnsi="Book Antiqua"/>
          <w:sz w:val="20"/>
          <w:szCs w:val="20"/>
          <w:lang w:val="en"/>
        </w:rPr>
        <w:t xml:space="preserve">; and </w:t>
      </w:r>
    </w:p>
    <w:p w:rsidR="004A595D" w:rsidRPr="004A595D" w:rsidRDefault="004A595D" w:rsidP="004A595D">
      <w:pPr>
        <w:spacing w:before="100" w:beforeAutospacing="1" w:after="100" w:afterAutospacing="1"/>
        <w:ind w:left="1440" w:right="1134"/>
        <w:rPr>
          <w:rFonts w:ascii="Book Antiqua" w:eastAsia="Times New Roman" w:hAnsi="Book Antiqua"/>
          <w:sz w:val="20"/>
          <w:szCs w:val="20"/>
          <w:lang w:val="en"/>
        </w:rPr>
      </w:pPr>
      <w:r w:rsidRPr="004A595D">
        <w:rPr>
          <w:rFonts w:ascii="Book Antiqua" w:eastAsia="Times New Roman" w:hAnsi="Book Antiqua"/>
          <w:sz w:val="20"/>
          <w:szCs w:val="20"/>
          <w:lang w:val="en"/>
        </w:rPr>
        <w:t xml:space="preserve">(c) </w:t>
      </w:r>
      <w:r w:rsidRPr="004A595D">
        <w:rPr>
          <w:rFonts w:ascii="Book Antiqua" w:eastAsia="Times New Roman" w:hAnsi="Book Antiqua"/>
          <w:b/>
          <w:sz w:val="20"/>
          <w:szCs w:val="20"/>
          <w:lang w:val="en"/>
        </w:rPr>
        <w:t>there would be very significant obstacles to hi</w:t>
      </w:r>
      <w:r w:rsidRPr="00CB5605">
        <w:rPr>
          <w:rFonts w:ascii="Book Antiqua" w:eastAsia="Times New Roman" w:hAnsi="Book Antiqua"/>
          <w:b/>
          <w:sz w:val="20"/>
          <w:szCs w:val="20"/>
          <w:lang w:val="en"/>
        </w:rPr>
        <w:t>s integration into the country t</w:t>
      </w:r>
      <w:r w:rsidRPr="004A595D">
        <w:rPr>
          <w:rFonts w:ascii="Book Antiqua" w:eastAsia="Times New Roman" w:hAnsi="Book Antiqua"/>
          <w:b/>
          <w:sz w:val="20"/>
          <w:szCs w:val="20"/>
          <w:lang w:val="en"/>
        </w:rPr>
        <w:t>o which it is proposed he is deported</w:t>
      </w:r>
      <w:r w:rsidRPr="004A595D">
        <w:rPr>
          <w:rFonts w:ascii="Book Antiqua" w:eastAsia="Times New Roman" w:hAnsi="Book Antiqua"/>
          <w:sz w:val="20"/>
          <w:szCs w:val="20"/>
          <w:lang w:val="en"/>
        </w:rPr>
        <w:t>.</w:t>
      </w:r>
    </w:p>
    <w:p w:rsidR="00CB5605" w:rsidRDefault="004A595D"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first two ‘exceptions’ set out in these provisions are concerned with any Article 8 family life that the Appellant might enjoy with a partner or minor children. The Appellant does not currently have a partner. Nor does he have any minor children. </w:t>
      </w:r>
      <w:r w:rsidR="00CB5605">
        <w:rPr>
          <w:rFonts w:ascii="Book Antiqua" w:hAnsi="Book Antiqua" w:cs="Arial"/>
        </w:rPr>
        <w:t xml:space="preserve">  He cannot therefore resist deportation on either of these grounds.</w:t>
      </w:r>
    </w:p>
    <w:p w:rsidR="00CB5605" w:rsidRDefault="00CB5605" w:rsidP="00CB5605">
      <w:pPr>
        <w:tabs>
          <w:tab w:val="left" w:pos="567"/>
        </w:tabs>
        <w:ind w:left="567" w:right="567"/>
        <w:jc w:val="both"/>
        <w:rPr>
          <w:rFonts w:ascii="Book Antiqua" w:hAnsi="Book Antiqua" w:cs="Arial"/>
        </w:rPr>
      </w:pPr>
    </w:p>
    <w:p w:rsidR="004A595D" w:rsidRDefault="004A595D"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third ‘exception’ is concerned with </w:t>
      </w:r>
      <w:r w:rsidR="00CB5605">
        <w:rPr>
          <w:rFonts w:ascii="Book Antiqua" w:hAnsi="Book Antiqua" w:cs="Arial"/>
        </w:rPr>
        <w:t>private life and the first requirement</w:t>
      </w:r>
      <w:r w:rsidR="00B56FFB">
        <w:rPr>
          <w:rFonts w:ascii="Book Antiqua" w:hAnsi="Book Antiqua" w:cs="Arial"/>
        </w:rPr>
        <w:t xml:space="preserve"> under paragraph 399A</w:t>
      </w:r>
      <w:r w:rsidR="00CB5605">
        <w:rPr>
          <w:rFonts w:ascii="Book Antiqua" w:hAnsi="Book Antiqua" w:cs="Arial"/>
        </w:rPr>
        <w:t xml:space="preserve"> is that the Appellant has been lawfully resident in the UK for most of his life. The Appellant has just turned 60. He claims to have arrived in this country in 1986. If that is true that would mean that he has spent the first 28 years of his life in India, and the next 32 in the UK. Was it with lawful leave? Mr Mills </w:t>
      </w:r>
      <w:r w:rsidR="008262DD">
        <w:rPr>
          <w:rFonts w:ascii="Book Antiqua" w:hAnsi="Book Antiqua" w:cs="Arial"/>
        </w:rPr>
        <w:t xml:space="preserve">confirmed the Home Office position remains that the Appellant only had lawful leave from 1999. Prior to that he was living in the UK unlawfully. Before me Mr Singh acknowledged that he had no evidence to show that he had any leave prior to that date. He was working, but candidly admitted that </w:t>
      </w:r>
      <w:r w:rsidR="00D14867">
        <w:rPr>
          <w:rFonts w:ascii="Book Antiqua" w:hAnsi="Book Antiqua" w:cs="Arial"/>
        </w:rPr>
        <w:t>he had “paid someone” for the National I</w:t>
      </w:r>
      <w:r w:rsidR="008262DD">
        <w:rPr>
          <w:rFonts w:ascii="Book Antiqua" w:hAnsi="Book Antiqua" w:cs="Arial"/>
        </w:rPr>
        <w:t>nsurance number he used to ob</w:t>
      </w:r>
      <w:r w:rsidR="00D14867">
        <w:rPr>
          <w:rFonts w:ascii="Book Antiqua" w:hAnsi="Book Antiqua" w:cs="Arial"/>
        </w:rPr>
        <w:t xml:space="preserve">tain that work.   I am not therefore satisfied that Mr Singh could meet the </w:t>
      </w:r>
      <w:r w:rsidR="00B56FFB">
        <w:rPr>
          <w:rFonts w:ascii="Book Antiqua" w:hAnsi="Book Antiqua" w:cs="Arial"/>
        </w:rPr>
        <w:t>requirement at</w:t>
      </w:r>
      <w:r w:rsidR="00D14867">
        <w:rPr>
          <w:rFonts w:ascii="Book Antiqua" w:hAnsi="Book Antiqua" w:cs="Arial"/>
        </w:rPr>
        <w:t xml:space="preserve"> paragraph 399A</w:t>
      </w:r>
      <w:r w:rsidR="00B56FFB">
        <w:rPr>
          <w:rFonts w:ascii="Book Antiqua" w:hAnsi="Book Antiqua" w:cs="Arial"/>
        </w:rPr>
        <w:t>(a)</w:t>
      </w:r>
      <w:r w:rsidR="00D14867">
        <w:rPr>
          <w:rFonts w:ascii="Book Antiqua" w:hAnsi="Book Antiqua" w:cs="Arial"/>
        </w:rPr>
        <w:t>. I would note for the</w:t>
      </w:r>
      <w:r w:rsidR="00B56FFB">
        <w:rPr>
          <w:rFonts w:ascii="Book Antiqua" w:hAnsi="Book Antiqua" w:cs="Arial"/>
        </w:rPr>
        <w:t xml:space="preserve"> sake of completeness that Mr Singh has, on his own admission, his parents and six siblings living in India</w:t>
      </w:r>
      <w:r w:rsidR="00B56FFB">
        <w:rPr>
          <w:rStyle w:val="FootnoteReference"/>
          <w:rFonts w:ascii="Book Antiqua" w:hAnsi="Book Antiqua"/>
        </w:rPr>
        <w:footnoteReference w:id="2"/>
      </w:r>
      <w:r w:rsidR="00B56FFB">
        <w:rPr>
          <w:rFonts w:ascii="Book Antiqua" w:hAnsi="Book Antiqua" w:cs="Arial"/>
        </w:rPr>
        <w:t xml:space="preserve">. He lived there well into adulthood. Notwithstanding his very long residence in this country </w:t>
      </w:r>
      <w:r w:rsidR="00B60514">
        <w:rPr>
          <w:rFonts w:ascii="Book Antiqua" w:hAnsi="Book Antiqua" w:cs="Arial"/>
        </w:rPr>
        <w:t xml:space="preserve">on his own evidence he is not able to speak even basic </w:t>
      </w:r>
      <w:r w:rsidR="00B56FFB">
        <w:rPr>
          <w:rFonts w:ascii="Book Antiqua" w:hAnsi="Book Antiqua" w:cs="Arial"/>
        </w:rPr>
        <w:t>English, informing me t</w:t>
      </w:r>
      <w:r w:rsidR="00B60514">
        <w:rPr>
          <w:rFonts w:ascii="Book Antiqua" w:hAnsi="Book Antiqua" w:cs="Arial"/>
        </w:rPr>
        <w:t xml:space="preserve">hat he could only say “a </w:t>
      </w:r>
      <w:r w:rsidR="00B56FFB">
        <w:rPr>
          <w:rFonts w:ascii="Book Antiqua" w:hAnsi="Book Antiqua" w:cs="Arial"/>
        </w:rPr>
        <w:t>little” and requiring the services of the court interpreter. He told me that he had not managed to learn English because everyone where he worked spoke Punjabi. On these facts I am satisfied that the Appellant would further be unable to meet the requirement at 399A(c). As to whether he could meet the requirements at (b) this is therefore moot, but given his offences, the attitude displayed in his evidence before Judge Telford and his very limited ability to speak English, it may also have been difficult for him to show cultural and social integration in the UK.</w:t>
      </w:r>
    </w:p>
    <w:p w:rsidR="00B56FFB" w:rsidRDefault="00B56FFB" w:rsidP="00B56FFB">
      <w:pPr>
        <w:tabs>
          <w:tab w:val="left" w:pos="567"/>
        </w:tabs>
        <w:ind w:left="567" w:right="567"/>
        <w:jc w:val="both"/>
        <w:rPr>
          <w:rFonts w:ascii="Book Antiqua" w:hAnsi="Book Antiqua" w:cs="Arial"/>
        </w:rPr>
      </w:pPr>
    </w:p>
    <w:p w:rsidR="00B56FFB" w:rsidRDefault="00B56FFB" w:rsidP="00C26016">
      <w:pPr>
        <w:numPr>
          <w:ilvl w:val="0"/>
          <w:numId w:val="1"/>
        </w:numPr>
        <w:tabs>
          <w:tab w:val="left" w:pos="567"/>
        </w:tabs>
        <w:ind w:left="567" w:right="567"/>
        <w:jc w:val="both"/>
        <w:rPr>
          <w:rFonts w:ascii="Book Antiqua" w:hAnsi="Book Antiqua" w:cs="Arial"/>
        </w:rPr>
      </w:pPr>
      <w:r>
        <w:rPr>
          <w:rFonts w:ascii="Book Antiqua" w:hAnsi="Book Antiqua" w:cs="Arial"/>
        </w:rPr>
        <w:lastRenderedPageBreak/>
        <w:t>Unable to show that he falls under any of the ‘exceptions’ in paragraphs 399 or 399A it is for the Appellant to show that there are in his case some very compelling circumstances over and above those described in those rules. Mr Singh emphasised that he has been in this country a very long time and that he has worked very hard. His wife never worked and he always did. He has bought homes for his family and has always paid tax and provided for them. He continues to have relationships with family members in the UK and he wants to be here for his children. He has not committed any other criminal offences.  He has not been to India for a long time.  I have taken all of those factors into account but cannot be satisfied that even taken cumulatively they amount to the kind of exceptional circumstances capable of outweighing the public intere</w:t>
      </w:r>
      <w:r w:rsidR="00DB6ADF">
        <w:rPr>
          <w:rFonts w:ascii="Book Antiqua" w:hAnsi="Book Antiqua" w:cs="Arial"/>
        </w:rPr>
        <w:t xml:space="preserve">st in deportation in this case.  His private life will undergo substantial disruption, and he will need to re-establish himself in India, but that level of interference cannot be said to be disproportionate in the circumstances where the Appellant has repeatedly offended in the manner that he has. </w:t>
      </w:r>
      <w:r>
        <w:rPr>
          <w:rFonts w:ascii="Book Antiqua" w:hAnsi="Book Antiqua" w:cs="Arial"/>
        </w:rPr>
        <w:t xml:space="preserve"> </w:t>
      </w:r>
    </w:p>
    <w:p w:rsidR="00F15CA1" w:rsidRDefault="00F15CA1" w:rsidP="00F15CA1">
      <w:pPr>
        <w:tabs>
          <w:tab w:val="left" w:pos="567"/>
        </w:tabs>
        <w:ind w:right="567"/>
        <w:jc w:val="both"/>
        <w:rPr>
          <w:rFonts w:ascii="Book Antiqua" w:hAnsi="Book Antiqua" w:cs="Arial"/>
        </w:rPr>
      </w:pPr>
    </w:p>
    <w:p w:rsidR="00B72AE2" w:rsidRPr="00C75051" w:rsidRDefault="00B72AE2" w:rsidP="00B72AE2">
      <w:pPr>
        <w:tabs>
          <w:tab w:val="left" w:pos="567"/>
        </w:tabs>
        <w:ind w:left="567" w:right="567"/>
        <w:jc w:val="both"/>
        <w:rPr>
          <w:rFonts w:ascii="Book Antiqua" w:hAnsi="Book Antiqua" w:cs="Arial"/>
          <w:b/>
        </w:rPr>
      </w:pPr>
      <w:r w:rsidRPr="00C75051">
        <w:rPr>
          <w:rFonts w:ascii="Book Antiqua" w:hAnsi="Book Antiqua" w:cs="Arial"/>
          <w:b/>
        </w:rPr>
        <w:t xml:space="preserve">Decisions </w:t>
      </w:r>
    </w:p>
    <w:p w:rsidR="00B72AE2" w:rsidRDefault="00B72AE2" w:rsidP="00B72AE2">
      <w:pPr>
        <w:pStyle w:val="ListParagraph"/>
        <w:rPr>
          <w:rFonts w:ascii="Book Antiqua" w:hAnsi="Book Antiqua" w:cs="Arial"/>
        </w:rPr>
      </w:pPr>
    </w:p>
    <w:p w:rsidR="00B93485" w:rsidRPr="0023337B" w:rsidRDefault="00B93485" w:rsidP="00B72AE2">
      <w:pPr>
        <w:numPr>
          <w:ilvl w:val="0"/>
          <w:numId w:val="1"/>
        </w:numPr>
        <w:tabs>
          <w:tab w:val="left" w:pos="567"/>
        </w:tabs>
        <w:ind w:left="567" w:right="567"/>
        <w:jc w:val="both"/>
        <w:rPr>
          <w:rFonts w:ascii="Book Antiqua" w:hAnsi="Book Antiqua" w:cs="Arial"/>
          <w:strike/>
        </w:rPr>
      </w:pPr>
      <w:r w:rsidRPr="0023337B">
        <w:rPr>
          <w:rFonts w:ascii="Book Antiqua" w:hAnsi="Book Antiqua" w:cs="Arial"/>
          <w:strike/>
        </w:rPr>
        <w:t>The decision of the First-tier Tribunal contains a</w:t>
      </w:r>
      <w:r w:rsidR="00C75051" w:rsidRPr="0023337B">
        <w:rPr>
          <w:rFonts w:ascii="Book Antiqua" w:hAnsi="Book Antiqua" w:cs="Arial"/>
          <w:strike/>
        </w:rPr>
        <w:t>n</w:t>
      </w:r>
      <w:r w:rsidRPr="0023337B">
        <w:rPr>
          <w:rFonts w:ascii="Book Antiqua" w:hAnsi="Book Antiqua" w:cs="Arial"/>
          <w:strike/>
        </w:rPr>
        <w:t xml:space="preserve"> error of law such that</w:t>
      </w:r>
      <w:r w:rsidR="00B72AE2" w:rsidRPr="0023337B">
        <w:rPr>
          <w:rFonts w:ascii="Book Antiqua" w:hAnsi="Book Antiqua" w:cs="Arial"/>
          <w:strike/>
        </w:rPr>
        <w:t xml:space="preserve"> the decision must be set aside to the extent identified above.</w:t>
      </w:r>
    </w:p>
    <w:p w:rsidR="00B72AE2" w:rsidRPr="0023337B" w:rsidRDefault="00B72AE2" w:rsidP="00B72AE2">
      <w:pPr>
        <w:tabs>
          <w:tab w:val="left" w:pos="567"/>
        </w:tabs>
        <w:ind w:left="567" w:right="567"/>
        <w:jc w:val="both"/>
        <w:rPr>
          <w:rFonts w:ascii="Book Antiqua" w:hAnsi="Book Antiqua" w:cs="Arial"/>
          <w:strike/>
        </w:rPr>
      </w:pPr>
    </w:p>
    <w:p w:rsidR="00B72AE2" w:rsidRPr="0023337B" w:rsidRDefault="00B72AE2" w:rsidP="00B72AE2">
      <w:pPr>
        <w:numPr>
          <w:ilvl w:val="0"/>
          <w:numId w:val="1"/>
        </w:numPr>
        <w:tabs>
          <w:tab w:val="left" w:pos="567"/>
        </w:tabs>
        <w:ind w:left="567" w:right="567"/>
        <w:jc w:val="both"/>
        <w:rPr>
          <w:rFonts w:ascii="Book Antiqua" w:hAnsi="Book Antiqua" w:cs="Arial"/>
          <w:strike/>
        </w:rPr>
      </w:pPr>
      <w:r w:rsidRPr="0023337B">
        <w:rPr>
          <w:rFonts w:ascii="Book Antiqua" w:hAnsi="Book Antiqua" w:cs="Arial"/>
          <w:strike/>
        </w:rPr>
        <w:t>The decision will be remade following a resumed hearing.</w:t>
      </w:r>
    </w:p>
    <w:p w:rsidR="00B72AE2" w:rsidRPr="0023337B" w:rsidRDefault="00B72AE2" w:rsidP="00B72AE2">
      <w:pPr>
        <w:pStyle w:val="ListParagraph"/>
        <w:rPr>
          <w:rFonts w:ascii="Book Antiqua" w:hAnsi="Book Antiqua" w:cs="Arial"/>
          <w:strike/>
        </w:rPr>
      </w:pPr>
    </w:p>
    <w:p w:rsidR="00B93485" w:rsidRDefault="00B93485" w:rsidP="00B72AE2">
      <w:pPr>
        <w:numPr>
          <w:ilvl w:val="0"/>
          <w:numId w:val="1"/>
        </w:numPr>
        <w:tabs>
          <w:tab w:val="left" w:pos="567"/>
        </w:tabs>
        <w:ind w:left="567" w:right="567"/>
        <w:jc w:val="both"/>
        <w:rPr>
          <w:rFonts w:ascii="Book Antiqua" w:hAnsi="Book Antiqua" w:cs="Arial"/>
          <w:strike/>
        </w:rPr>
      </w:pPr>
      <w:r w:rsidRPr="0023337B">
        <w:rPr>
          <w:rFonts w:ascii="Book Antiqua" w:hAnsi="Book Antiqua" w:cs="Arial"/>
          <w:strike/>
        </w:rPr>
        <w:t>There is an order for anonymity.</w:t>
      </w:r>
    </w:p>
    <w:p w:rsidR="0023337B" w:rsidRDefault="0023337B" w:rsidP="0023337B">
      <w:pPr>
        <w:pStyle w:val="ListParagraph"/>
        <w:rPr>
          <w:rFonts w:ascii="Book Antiqua" w:hAnsi="Book Antiqua" w:cs="Arial"/>
          <w:strike/>
        </w:rPr>
      </w:pPr>
    </w:p>
    <w:p w:rsidR="0023337B" w:rsidRPr="0023337B" w:rsidRDefault="0023337B" w:rsidP="00B72AE2">
      <w:pPr>
        <w:numPr>
          <w:ilvl w:val="0"/>
          <w:numId w:val="1"/>
        </w:numPr>
        <w:tabs>
          <w:tab w:val="left" w:pos="567"/>
        </w:tabs>
        <w:ind w:left="567" w:right="567"/>
        <w:jc w:val="both"/>
        <w:rPr>
          <w:rFonts w:ascii="Book Antiqua" w:hAnsi="Book Antiqua" w:cs="Arial"/>
        </w:rPr>
      </w:pPr>
      <w:r w:rsidRPr="0023337B">
        <w:rPr>
          <w:rFonts w:ascii="Book Antiqua" w:hAnsi="Book Antiqua" w:cs="Arial"/>
        </w:rPr>
        <w:t>Paragraphs 18-20 above</w:t>
      </w:r>
      <w:r>
        <w:rPr>
          <w:rFonts w:ascii="Book Antiqua" w:hAnsi="Book Antiqua" w:cs="Arial"/>
        </w:rPr>
        <w:t>,</w:t>
      </w:r>
      <w:r w:rsidRPr="0023337B">
        <w:rPr>
          <w:rFonts w:ascii="Book Antiqua" w:hAnsi="Book Antiqua" w:cs="Arial"/>
        </w:rPr>
        <w:t xml:space="preserve"> included in error in the decision of the 25</w:t>
      </w:r>
      <w:r w:rsidRPr="0023337B">
        <w:rPr>
          <w:rFonts w:ascii="Book Antiqua" w:hAnsi="Book Antiqua" w:cs="Arial"/>
          <w:vertAlign w:val="superscript"/>
        </w:rPr>
        <w:t>th</w:t>
      </w:r>
      <w:r w:rsidRPr="0023337B">
        <w:rPr>
          <w:rFonts w:ascii="Book Antiqua" w:hAnsi="Book Antiqua" w:cs="Arial"/>
        </w:rPr>
        <w:t xml:space="preserve"> May 2018</w:t>
      </w:r>
      <w:r>
        <w:rPr>
          <w:rFonts w:ascii="Book Antiqua" w:hAnsi="Book Antiqua" w:cs="Arial"/>
        </w:rPr>
        <w:t>,</w:t>
      </w:r>
      <w:r w:rsidRPr="0023337B">
        <w:rPr>
          <w:rFonts w:ascii="Book Antiqua" w:hAnsi="Book Antiqua" w:cs="Arial"/>
        </w:rPr>
        <w:t xml:space="preserve"> are deleted </w:t>
      </w:r>
      <w:r>
        <w:rPr>
          <w:rFonts w:ascii="Book Antiqua" w:hAnsi="Book Antiqua" w:cs="Arial"/>
        </w:rPr>
        <w:t>pursuant to Rule 42 of the Tribunal Procedure (Upper Tribunal) Rules 2008.</w:t>
      </w:r>
    </w:p>
    <w:p w:rsidR="0023337B" w:rsidRDefault="0023337B" w:rsidP="0023337B">
      <w:pPr>
        <w:pStyle w:val="ListParagraph"/>
        <w:rPr>
          <w:rFonts w:ascii="Book Antiqua" w:hAnsi="Book Antiqua" w:cs="Arial"/>
          <w:strike/>
        </w:rPr>
      </w:pPr>
    </w:p>
    <w:p w:rsidR="0023337B" w:rsidRPr="0023337B" w:rsidRDefault="0023337B" w:rsidP="00B72AE2">
      <w:pPr>
        <w:numPr>
          <w:ilvl w:val="0"/>
          <w:numId w:val="1"/>
        </w:numPr>
        <w:tabs>
          <w:tab w:val="left" w:pos="567"/>
        </w:tabs>
        <w:ind w:left="567" w:right="567"/>
        <w:jc w:val="both"/>
        <w:rPr>
          <w:rFonts w:ascii="Book Antiqua" w:hAnsi="Book Antiqua" w:cs="Arial"/>
        </w:rPr>
      </w:pPr>
      <w:r w:rsidRPr="0023337B">
        <w:rPr>
          <w:rFonts w:ascii="Book Antiqua" w:hAnsi="Book Antiqua" w:cs="Arial"/>
        </w:rPr>
        <w:t>The decision of the First-tier Tribunal contains an error of law and it is set aside.</w:t>
      </w:r>
    </w:p>
    <w:p w:rsidR="0023337B" w:rsidRPr="0023337B" w:rsidRDefault="0023337B" w:rsidP="0023337B">
      <w:pPr>
        <w:pStyle w:val="ListParagraph"/>
        <w:rPr>
          <w:rFonts w:ascii="Book Antiqua" w:hAnsi="Book Antiqua" w:cs="Arial"/>
        </w:rPr>
      </w:pPr>
    </w:p>
    <w:p w:rsidR="0023337B" w:rsidRPr="0023337B" w:rsidRDefault="0023337B" w:rsidP="00B72AE2">
      <w:pPr>
        <w:numPr>
          <w:ilvl w:val="0"/>
          <w:numId w:val="1"/>
        </w:numPr>
        <w:tabs>
          <w:tab w:val="left" w:pos="567"/>
        </w:tabs>
        <w:ind w:left="567" w:right="567"/>
        <w:jc w:val="both"/>
        <w:rPr>
          <w:rFonts w:ascii="Book Antiqua" w:hAnsi="Book Antiqua" w:cs="Arial"/>
        </w:rPr>
      </w:pPr>
      <w:r w:rsidRPr="0023337B">
        <w:rPr>
          <w:rFonts w:ascii="Book Antiqua" w:hAnsi="Book Antiqua" w:cs="Arial"/>
        </w:rPr>
        <w:t>The decision in the appeal is re-made as follows: the appeal is dismissed</w:t>
      </w:r>
    </w:p>
    <w:p w:rsidR="0023337B" w:rsidRPr="0023337B" w:rsidRDefault="0023337B" w:rsidP="0023337B">
      <w:pPr>
        <w:pStyle w:val="ListParagraph"/>
        <w:rPr>
          <w:rFonts w:ascii="Book Antiqua" w:hAnsi="Book Antiqua" w:cs="Arial"/>
        </w:rPr>
      </w:pPr>
    </w:p>
    <w:p w:rsidR="0023337B" w:rsidRPr="0023337B" w:rsidRDefault="0023337B" w:rsidP="00B72AE2">
      <w:pPr>
        <w:numPr>
          <w:ilvl w:val="0"/>
          <w:numId w:val="1"/>
        </w:numPr>
        <w:tabs>
          <w:tab w:val="left" w:pos="567"/>
        </w:tabs>
        <w:ind w:left="567" w:right="567"/>
        <w:jc w:val="both"/>
        <w:rPr>
          <w:rFonts w:ascii="Book Antiqua" w:hAnsi="Book Antiqua" w:cs="Arial"/>
        </w:rPr>
      </w:pPr>
      <w:r w:rsidRPr="0023337B">
        <w:rPr>
          <w:rFonts w:ascii="Book Antiqua" w:hAnsi="Book Antiqua" w:cs="Arial"/>
        </w:rPr>
        <w:t>There is no order for anonymity.</w:t>
      </w:r>
    </w:p>
    <w:p w:rsidR="00F66F55" w:rsidRDefault="00F66F55" w:rsidP="00F66F55">
      <w:pPr>
        <w:pStyle w:val="ListParagraph"/>
        <w:rPr>
          <w:rFonts w:ascii="Book Antiqua" w:hAnsi="Book Antiqua" w:cs="Arial"/>
        </w:rPr>
      </w:pPr>
    </w:p>
    <w:p w:rsidR="00F62C83" w:rsidRDefault="00F62C83" w:rsidP="00F62C83">
      <w:pPr>
        <w:tabs>
          <w:tab w:val="left" w:pos="567"/>
        </w:tabs>
        <w:ind w:left="567" w:right="567"/>
        <w:jc w:val="both"/>
        <w:rPr>
          <w:rFonts w:ascii="Book Antiqua" w:hAnsi="Book Antiqua" w:cs="Arial"/>
        </w:rPr>
      </w:pPr>
    </w:p>
    <w:p w:rsidR="003B6D0E" w:rsidRPr="00B1620C" w:rsidRDefault="003B6D0E" w:rsidP="00F62C83">
      <w:pPr>
        <w:tabs>
          <w:tab w:val="left" w:pos="567"/>
        </w:tabs>
        <w:ind w:left="567" w:right="567"/>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EE5C41" w:rsidRPr="000F5243">
        <w:rPr>
          <w:noProof/>
        </w:rPr>
        <w:drawing>
          <wp:inline distT="0" distB="0" distL="0" distR="0">
            <wp:extent cx="1536700" cy="8191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6700" cy="819150"/>
                    </a:xfrm>
                    <a:prstGeom prst="rect">
                      <a:avLst/>
                    </a:prstGeom>
                    <a:noFill/>
                    <a:ln>
                      <a:noFill/>
                    </a:ln>
                  </pic:spPr>
                </pic:pic>
              </a:graphicData>
            </a:graphic>
          </wp:inline>
        </w:drawing>
      </w:r>
    </w:p>
    <w:p w:rsidR="00F62C83" w:rsidRPr="009D3482" w:rsidRDefault="00F62C83" w:rsidP="00F62C83">
      <w:pPr>
        <w:tabs>
          <w:tab w:val="left" w:pos="567"/>
        </w:tabs>
        <w:ind w:left="567" w:right="567"/>
        <w:jc w:val="both"/>
        <w:rPr>
          <w:rFonts w:ascii="Book Antiqua" w:hAnsi="Book Antiqua"/>
        </w:rPr>
      </w:pP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C75051">
        <w:rPr>
          <w:rFonts w:ascii="Book Antiqua" w:hAnsi="Book Antiqua" w:cs="Arial"/>
        </w:rPr>
        <w:t xml:space="preserve">    </w:t>
      </w:r>
      <w:r w:rsidR="0023337B">
        <w:rPr>
          <w:rFonts w:ascii="Book Antiqua" w:hAnsi="Book Antiqua" w:cs="Arial"/>
        </w:rPr>
        <w:t>2</w:t>
      </w:r>
      <w:r w:rsidR="0023337B" w:rsidRPr="0023337B">
        <w:rPr>
          <w:rFonts w:ascii="Book Antiqua" w:hAnsi="Book Antiqua" w:cs="Arial"/>
          <w:vertAlign w:val="superscript"/>
        </w:rPr>
        <w:t>nd</w:t>
      </w:r>
      <w:r w:rsidR="0023337B">
        <w:rPr>
          <w:rFonts w:ascii="Book Antiqua" w:hAnsi="Book Antiqua" w:cs="Arial"/>
        </w:rPr>
        <w:t xml:space="preserve"> July </w:t>
      </w:r>
      <w:r w:rsidR="00846230">
        <w:rPr>
          <w:rFonts w:ascii="Book Antiqua" w:hAnsi="Book Antiqua" w:cs="Arial"/>
        </w:rPr>
        <w:t>2018</w:t>
      </w:r>
    </w:p>
    <w:sectPr w:rsidR="00D219F1" w:rsidSect="00256F9B">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562" w:rsidRDefault="00CD2562">
      <w:r>
        <w:separator/>
      </w:r>
    </w:p>
  </w:endnote>
  <w:endnote w:type="continuationSeparator" w:id="0">
    <w:p w:rsidR="00CD2562" w:rsidRDefault="00CD2562">
      <w:r>
        <w:continuationSeparator/>
      </w:r>
    </w:p>
  </w:endnote>
  <w:endnote w:type="continuationNotice" w:id="1">
    <w:p w:rsidR="00CD2562" w:rsidRDefault="00CD25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31" w:rsidRPr="00593795" w:rsidRDefault="007E1D31"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71720">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31" w:rsidRPr="00090CF9" w:rsidRDefault="007E1D31"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562" w:rsidRDefault="00CD2562">
      <w:r>
        <w:separator/>
      </w:r>
    </w:p>
  </w:footnote>
  <w:footnote w:type="continuationSeparator" w:id="0">
    <w:p w:rsidR="00CD2562" w:rsidRDefault="00CD2562">
      <w:r>
        <w:continuationSeparator/>
      </w:r>
    </w:p>
  </w:footnote>
  <w:footnote w:type="continuationNotice" w:id="1">
    <w:p w:rsidR="00CD2562" w:rsidRDefault="00CD2562"/>
  </w:footnote>
  <w:footnote w:id="2">
    <w:p w:rsidR="007E1D31" w:rsidRDefault="007E1D31">
      <w:pPr>
        <w:pStyle w:val="FootnoteText"/>
      </w:pPr>
      <w:r>
        <w:rPr>
          <w:rStyle w:val="FootnoteReference"/>
        </w:rPr>
        <w:footnoteRef/>
      </w:r>
      <w:r>
        <w:t xml:space="preserve"> OASys report page 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31" w:rsidRPr="00FE1BCE" w:rsidRDefault="007E1D31"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r>
    <w:r w:rsidR="009D3482">
      <w:rPr>
        <w:rFonts w:ascii="Book Antiqua" w:hAnsi="Book Antiqua" w:cs="Arial"/>
        <w:color w:val="000000"/>
        <w:sz w:val="20"/>
        <w:szCs w:val="20"/>
      </w:rPr>
      <w:t xml:space="preserve">Appeal number: </w:t>
    </w:r>
    <w:r>
      <w:rPr>
        <w:rFonts w:ascii="Book Antiqua" w:hAnsi="Book Antiqua" w:cs="Arial"/>
        <w:color w:val="000000"/>
        <w:sz w:val="20"/>
        <w:szCs w:val="20"/>
      </w:rPr>
      <w:t>HU/09724/</w:t>
    </w:r>
    <w:r w:rsidR="00D82F54">
      <w:rPr>
        <w:rFonts w:ascii="Book Antiqua" w:hAnsi="Book Antiqua" w:cs="Arial"/>
        <w:color w:val="000000"/>
        <w:sz w:val="20"/>
        <w:szCs w:val="20"/>
      </w:rPr>
      <w:t>20</w:t>
    </w:r>
    <w:r>
      <w:rPr>
        <w:rFonts w:ascii="Book Antiqua" w:hAnsi="Book Antiqua" w:cs="Arial"/>
        <w:color w:val="000000"/>
        <w:sz w:val="20"/>
        <w:szCs w:val="20"/>
      </w:rPr>
      <w:t>17</w:t>
    </w:r>
  </w:p>
  <w:p w:rsidR="007E1D31" w:rsidRPr="00D25E1A" w:rsidRDefault="007E1D31" w:rsidP="00FE1BCE">
    <w:pPr>
      <w:pStyle w:val="Header"/>
      <w:rPr>
        <w:rFonts w:ascii="Book Antiqua" w:hAnsi="Book Antiqua"/>
        <w:sz w:val="20"/>
        <w:szCs w:val="20"/>
      </w:rPr>
    </w:pPr>
  </w:p>
  <w:p w:rsidR="007E1D31" w:rsidRPr="00850A1F" w:rsidRDefault="007E1D31" w:rsidP="00850A1F">
    <w:pPr>
      <w:pStyle w:val="Header"/>
      <w:jc w:val="right"/>
      <w:rPr>
        <w:rFonts w:ascii="Book Antiqua" w:hAnsi="Book Antiqua"/>
        <w:sz w:val="16"/>
        <w:szCs w:val="16"/>
      </w:rPr>
    </w:pPr>
  </w:p>
  <w:p w:rsidR="007E1D31" w:rsidRPr="003C5CE5" w:rsidRDefault="007E1D31"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31" w:rsidRPr="00FE1BCE" w:rsidRDefault="007E1D31"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7E1D31" w:rsidRPr="00D25E1A" w:rsidRDefault="007E1D31"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2"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56540"/>
    <w:multiLevelType w:val="multilevel"/>
    <w:tmpl w:val="0EFC2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6"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6D15F5"/>
    <w:multiLevelType w:val="multilevel"/>
    <w:tmpl w:val="170C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3A882C4C"/>
    <w:multiLevelType w:val="hybridMultilevel"/>
    <w:tmpl w:val="5C8023E2"/>
    <w:lvl w:ilvl="0" w:tplc="3B20B28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3"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4"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D3782"/>
    <w:multiLevelType w:val="hybridMultilevel"/>
    <w:tmpl w:val="A0D48EBA"/>
    <w:lvl w:ilvl="0" w:tplc="F98AB38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CDF2B70"/>
    <w:multiLevelType w:val="hybridMultilevel"/>
    <w:tmpl w:val="99FE482E"/>
    <w:lvl w:ilvl="0" w:tplc="163A2DC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9"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1" w15:restartNumberingAfterBreak="0">
    <w:nsid w:val="6AFF000E"/>
    <w:multiLevelType w:val="multilevel"/>
    <w:tmpl w:val="9C6EB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3"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8"/>
  </w:num>
  <w:num w:numId="2">
    <w:abstractNumId w:val="20"/>
  </w:num>
  <w:num w:numId="3">
    <w:abstractNumId w:val="9"/>
  </w:num>
  <w:num w:numId="4">
    <w:abstractNumId w:val="13"/>
  </w:num>
  <w:num w:numId="5">
    <w:abstractNumId w:val="6"/>
  </w:num>
  <w:num w:numId="6">
    <w:abstractNumId w:val="23"/>
  </w:num>
  <w:num w:numId="7">
    <w:abstractNumId w:val="0"/>
  </w:num>
  <w:num w:numId="8">
    <w:abstractNumId w:val="3"/>
  </w:num>
  <w:num w:numId="9">
    <w:abstractNumId w:val="16"/>
  </w:num>
  <w:num w:numId="10">
    <w:abstractNumId w:val="19"/>
  </w:num>
  <w:num w:numId="11">
    <w:abstractNumId w:val="14"/>
  </w:num>
  <w:num w:numId="12">
    <w:abstractNumId w:val="22"/>
  </w:num>
  <w:num w:numId="13">
    <w:abstractNumId w:val="2"/>
  </w:num>
  <w:num w:numId="14">
    <w:abstractNumId w:val="10"/>
  </w:num>
  <w:num w:numId="15">
    <w:abstractNumId w:val="5"/>
  </w:num>
  <w:num w:numId="16">
    <w:abstractNumId w:val="1"/>
  </w:num>
  <w:num w:numId="17">
    <w:abstractNumId w:val="15"/>
  </w:num>
  <w:num w:numId="18">
    <w:abstractNumId w:val="12"/>
  </w:num>
  <w:num w:numId="19">
    <w:abstractNumId w:val="18"/>
  </w:num>
  <w:num w:numId="20">
    <w:abstractNumId w:val="21"/>
  </w:num>
  <w:num w:numId="21">
    <w:abstractNumId w:val="11"/>
  </w:num>
  <w:num w:numId="22">
    <w:abstractNumId w:val="17"/>
  </w:num>
  <w:num w:numId="23">
    <w:abstractNumId w:val="4"/>
  </w:num>
  <w:num w:numId="2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04C3B"/>
    <w:rsid w:val="00010F16"/>
    <w:rsid w:val="0001157F"/>
    <w:rsid w:val="0001581F"/>
    <w:rsid w:val="0001755E"/>
    <w:rsid w:val="00026010"/>
    <w:rsid w:val="000272C1"/>
    <w:rsid w:val="000303CD"/>
    <w:rsid w:val="000306E4"/>
    <w:rsid w:val="00030A29"/>
    <w:rsid w:val="000314AA"/>
    <w:rsid w:val="00031577"/>
    <w:rsid w:val="00031EE3"/>
    <w:rsid w:val="000359E1"/>
    <w:rsid w:val="000367D1"/>
    <w:rsid w:val="00041F27"/>
    <w:rsid w:val="00044C0B"/>
    <w:rsid w:val="000456D9"/>
    <w:rsid w:val="0005475F"/>
    <w:rsid w:val="000573C1"/>
    <w:rsid w:val="000603B5"/>
    <w:rsid w:val="00061881"/>
    <w:rsid w:val="00061A71"/>
    <w:rsid w:val="00061DAB"/>
    <w:rsid w:val="00062F11"/>
    <w:rsid w:val="00063897"/>
    <w:rsid w:val="000709A6"/>
    <w:rsid w:val="000724F8"/>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1D46"/>
    <w:rsid w:val="000A227E"/>
    <w:rsid w:val="000A4723"/>
    <w:rsid w:val="000A48CD"/>
    <w:rsid w:val="000B544C"/>
    <w:rsid w:val="000B62F5"/>
    <w:rsid w:val="000C2A47"/>
    <w:rsid w:val="000C4611"/>
    <w:rsid w:val="000C4C40"/>
    <w:rsid w:val="000E1274"/>
    <w:rsid w:val="000E2DE4"/>
    <w:rsid w:val="000F53DF"/>
    <w:rsid w:val="00105612"/>
    <w:rsid w:val="001072D3"/>
    <w:rsid w:val="00107AFB"/>
    <w:rsid w:val="00107DD5"/>
    <w:rsid w:val="0011297E"/>
    <w:rsid w:val="00114635"/>
    <w:rsid w:val="00114FC1"/>
    <w:rsid w:val="00115B62"/>
    <w:rsid w:val="00120ACC"/>
    <w:rsid w:val="00121965"/>
    <w:rsid w:val="00122360"/>
    <w:rsid w:val="00125F39"/>
    <w:rsid w:val="00127055"/>
    <w:rsid w:val="001343F7"/>
    <w:rsid w:val="00135F51"/>
    <w:rsid w:val="00137136"/>
    <w:rsid w:val="00144D94"/>
    <w:rsid w:val="0014562B"/>
    <w:rsid w:val="001463BD"/>
    <w:rsid w:val="0014764F"/>
    <w:rsid w:val="00150B50"/>
    <w:rsid w:val="001515D9"/>
    <w:rsid w:val="001526BE"/>
    <w:rsid w:val="0015610E"/>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4A2B"/>
    <w:rsid w:val="001F0771"/>
    <w:rsid w:val="001F1C8A"/>
    <w:rsid w:val="001F2745"/>
    <w:rsid w:val="001F2D22"/>
    <w:rsid w:val="001F5A49"/>
    <w:rsid w:val="00200B97"/>
    <w:rsid w:val="00201EDB"/>
    <w:rsid w:val="00202103"/>
    <w:rsid w:val="00206BBA"/>
    <w:rsid w:val="0021355E"/>
    <w:rsid w:val="0021520B"/>
    <w:rsid w:val="00230487"/>
    <w:rsid w:val="0023337B"/>
    <w:rsid w:val="00233627"/>
    <w:rsid w:val="00234616"/>
    <w:rsid w:val="0023493B"/>
    <w:rsid w:val="00237E82"/>
    <w:rsid w:val="002438F7"/>
    <w:rsid w:val="0024659B"/>
    <w:rsid w:val="00250646"/>
    <w:rsid w:val="0025455C"/>
    <w:rsid w:val="00254594"/>
    <w:rsid w:val="00256F9B"/>
    <w:rsid w:val="002621B2"/>
    <w:rsid w:val="0026298A"/>
    <w:rsid w:val="002641D7"/>
    <w:rsid w:val="002648D3"/>
    <w:rsid w:val="00264B7B"/>
    <w:rsid w:val="00266A8E"/>
    <w:rsid w:val="00270B84"/>
    <w:rsid w:val="00270E3C"/>
    <w:rsid w:val="00271175"/>
    <w:rsid w:val="0029559E"/>
    <w:rsid w:val="002965A3"/>
    <w:rsid w:val="002967D3"/>
    <w:rsid w:val="002A2EA9"/>
    <w:rsid w:val="002A363E"/>
    <w:rsid w:val="002A37A8"/>
    <w:rsid w:val="002A4453"/>
    <w:rsid w:val="002A75C1"/>
    <w:rsid w:val="002B4614"/>
    <w:rsid w:val="002B591E"/>
    <w:rsid w:val="002B5A2B"/>
    <w:rsid w:val="002B649D"/>
    <w:rsid w:val="002B781C"/>
    <w:rsid w:val="002C0DB8"/>
    <w:rsid w:val="002C14A6"/>
    <w:rsid w:val="002C30EF"/>
    <w:rsid w:val="002C3376"/>
    <w:rsid w:val="002C6905"/>
    <w:rsid w:val="002C703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31032"/>
    <w:rsid w:val="00333EEE"/>
    <w:rsid w:val="00334C01"/>
    <w:rsid w:val="00337B01"/>
    <w:rsid w:val="00342564"/>
    <w:rsid w:val="00343950"/>
    <w:rsid w:val="003447F8"/>
    <w:rsid w:val="00344B71"/>
    <w:rsid w:val="00346DB0"/>
    <w:rsid w:val="00352A26"/>
    <w:rsid w:val="00353CF1"/>
    <w:rsid w:val="003554AD"/>
    <w:rsid w:val="00357D45"/>
    <w:rsid w:val="00362425"/>
    <w:rsid w:val="00363022"/>
    <w:rsid w:val="003631B2"/>
    <w:rsid w:val="00363205"/>
    <w:rsid w:val="003657EB"/>
    <w:rsid w:val="00365F83"/>
    <w:rsid w:val="00372DE9"/>
    <w:rsid w:val="0037354C"/>
    <w:rsid w:val="00373D18"/>
    <w:rsid w:val="0037541C"/>
    <w:rsid w:val="00380BB4"/>
    <w:rsid w:val="003816CC"/>
    <w:rsid w:val="003839E0"/>
    <w:rsid w:val="00385D5C"/>
    <w:rsid w:val="003874F8"/>
    <w:rsid w:val="0039024C"/>
    <w:rsid w:val="00390BCC"/>
    <w:rsid w:val="003950D6"/>
    <w:rsid w:val="00396522"/>
    <w:rsid w:val="00396E14"/>
    <w:rsid w:val="003A781E"/>
    <w:rsid w:val="003B04BA"/>
    <w:rsid w:val="003B1ADF"/>
    <w:rsid w:val="003B3386"/>
    <w:rsid w:val="003B41AD"/>
    <w:rsid w:val="003B6D0E"/>
    <w:rsid w:val="003C565F"/>
    <w:rsid w:val="003C5CE5"/>
    <w:rsid w:val="003D0A31"/>
    <w:rsid w:val="003D0A9F"/>
    <w:rsid w:val="003D0CC1"/>
    <w:rsid w:val="003D49C9"/>
    <w:rsid w:val="003D6C95"/>
    <w:rsid w:val="003E0238"/>
    <w:rsid w:val="003E0433"/>
    <w:rsid w:val="003F1EF2"/>
    <w:rsid w:val="003F25C0"/>
    <w:rsid w:val="003F26D9"/>
    <w:rsid w:val="003F3816"/>
    <w:rsid w:val="003F6281"/>
    <w:rsid w:val="003F796A"/>
    <w:rsid w:val="004055F5"/>
    <w:rsid w:val="004057CB"/>
    <w:rsid w:val="00414BBF"/>
    <w:rsid w:val="00425740"/>
    <w:rsid w:val="00430F12"/>
    <w:rsid w:val="00435CF3"/>
    <w:rsid w:val="004371A8"/>
    <w:rsid w:val="0044120F"/>
    <w:rsid w:val="00445B82"/>
    <w:rsid w:val="00447E1B"/>
    <w:rsid w:val="00455650"/>
    <w:rsid w:val="00456174"/>
    <w:rsid w:val="00461BBB"/>
    <w:rsid w:val="00466720"/>
    <w:rsid w:val="00466992"/>
    <w:rsid w:val="00466FED"/>
    <w:rsid w:val="00473C4B"/>
    <w:rsid w:val="0048104E"/>
    <w:rsid w:val="00485CCA"/>
    <w:rsid w:val="00490BF0"/>
    <w:rsid w:val="00490CEC"/>
    <w:rsid w:val="0049288D"/>
    <w:rsid w:val="00494224"/>
    <w:rsid w:val="004A0A2C"/>
    <w:rsid w:val="004A1354"/>
    <w:rsid w:val="004A595D"/>
    <w:rsid w:val="004C7D68"/>
    <w:rsid w:val="004D12F7"/>
    <w:rsid w:val="004D34E4"/>
    <w:rsid w:val="004E180C"/>
    <w:rsid w:val="004E3787"/>
    <w:rsid w:val="004E5313"/>
    <w:rsid w:val="004F0D19"/>
    <w:rsid w:val="004F60D7"/>
    <w:rsid w:val="00500FFF"/>
    <w:rsid w:val="00503887"/>
    <w:rsid w:val="00503D82"/>
    <w:rsid w:val="00505059"/>
    <w:rsid w:val="0050522D"/>
    <w:rsid w:val="00512E56"/>
    <w:rsid w:val="005136B9"/>
    <w:rsid w:val="005145ED"/>
    <w:rsid w:val="00515521"/>
    <w:rsid w:val="005156F2"/>
    <w:rsid w:val="00516791"/>
    <w:rsid w:val="00524664"/>
    <w:rsid w:val="0052675F"/>
    <w:rsid w:val="00533FBE"/>
    <w:rsid w:val="005371B6"/>
    <w:rsid w:val="00555309"/>
    <w:rsid w:val="00555389"/>
    <w:rsid w:val="00557D4B"/>
    <w:rsid w:val="00560249"/>
    <w:rsid w:val="00565414"/>
    <w:rsid w:val="0056622B"/>
    <w:rsid w:val="00570AF5"/>
    <w:rsid w:val="0058247C"/>
    <w:rsid w:val="005856F3"/>
    <w:rsid w:val="0058575E"/>
    <w:rsid w:val="005871F4"/>
    <w:rsid w:val="005925A3"/>
    <w:rsid w:val="0059261D"/>
    <w:rsid w:val="00592BE6"/>
    <w:rsid w:val="00593795"/>
    <w:rsid w:val="00593EE8"/>
    <w:rsid w:val="00594CEF"/>
    <w:rsid w:val="005A4826"/>
    <w:rsid w:val="005A7B23"/>
    <w:rsid w:val="005B5104"/>
    <w:rsid w:val="005B67E3"/>
    <w:rsid w:val="005B74F3"/>
    <w:rsid w:val="005B75C6"/>
    <w:rsid w:val="005C6730"/>
    <w:rsid w:val="005D3C8B"/>
    <w:rsid w:val="005D53CE"/>
    <w:rsid w:val="005E48A7"/>
    <w:rsid w:val="005E51B0"/>
    <w:rsid w:val="005F4182"/>
    <w:rsid w:val="005F69C1"/>
    <w:rsid w:val="00600892"/>
    <w:rsid w:val="006033D6"/>
    <w:rsid w:val="00604B27"/>
    <w:rsid w:val="00604B2F"/>
    <w:rsid w:val="00611A62"/>
    <w:rsid w:val="00614229"/>
    <w:rsid w:val="00615376"/>
    <w:rsid w:val="006167D5"/>
    <w:rsid w:val="006170AF"/>
    <w:rsid w:val="0062352D"/>
    <w:rsid w:val="00624BF2"/>
    <w:rsid w:val="0062792F"/>
    <w:rsid w:val="006358B6"/>
    <w:rsid w:val="00643514"/>
    <w:rsid w:val="00651814"/>
    <w:rsid w:val="00653FE6"/>
    <w:rsid w:val="006576AB"/>
    <w:rsid w:val="00662B43"/>
    <w:rsid w:val="00667A06"/>
    <w:rsid w:val="00680FC9"/>
    <w:rsid w:val="00681497"/>
    <w:rsid w:val="006825A2"/>
    <w:rsid w:val="00682704"/>
    <w:rsid w:val="00686518"/>
    <w:rsid w:val="00687454"/>
    <w:rsid w:val="006946B1"/>
    <w:rsid w:val="00694C65"/>
    <w:rsid w:val="006A17DA"/>
    <w:rsid w:val="006A5B71"/>
    <w:rsid w:val="006B14FA"/>
    <w:rsid w:val="006B153F"/>
    <w:rsid w:val="006B6095"/>
    <w:rsid w:val="006C1A0A"/>
    <w:rsid w:val="006C6F7B"/>
    <w:rsid w:val="006D3255"/>
    <w:rsid w:val="006D375C"/>
    <w:rsid w:val="006D51E0"/>
    <w:rsid w:val="006E4494"/>
    <w:rsid w:val="006E5178"/>
    <w:rsid w:val="006E555E"/>
    <w:rsid w:val="006E5FBE"/>
    <w:rsid w:val="006F04C5"/>
    <w:rsid w:val="006F4E5F"/>
    <w:rsid w:val="006F514D"/>
    <w:rsid w:val="006F54E4"/>
    <w:rsid w:val="006F5F52"/>
    <w:rsid w:val="006F6311"/>
    <w:rsid w:val="006F67CA"/>
    <w:rsid w:val="0070210A"/>
    <w:rsid w:val="00703916"/>
    <w:rsid w:val="00705639"/>
    <w:rsid w:val="007065FA"/>
    <w:rsid w:val="00706926"/>
    <w:rsid w:val="00706FF6"/>
    <w:rsid w:val="00707913"/>
    <w:rsid w:val="007406E4"/>
    <w:rsid w:val="00742C45"/>
    <w:rsid w:val="007453E2"/>
    <w:rsid w:val="007536DE"/>
    <w:rsid w:val="00756B08"/>
    <w:rsid w:val="007574AC"/>
    <w:rsid w:val="00760441"/>
    <w:rsid w:val="0076387F"/>
    <w:rsid w:val="00764A18"/>
    <w:rsid w:val="00765AD5"/>
    <w:rsid w:val="00766F15"/>
    <w:rsid w:val="00770400"/>
    <w:rsid w:val="0077136A"/>
    <w:rsid w:val="007724F2"/>
    <w:rsid w:val="00773D2E"/>
    <w:rsid w:val="00773FBC"/>
    <w:rsid w:val="00782B90"/>
    <w:rsid w:val="00784A12"/>
    <w:rsid w:val="0078605C"/>
    <w:rsid w:val="00787920"/>
    <w:rsid w:val="007906E1"/>
    <w:rsid w:val="007923D1"/>
    <w:rsid w:val="00792770"/>
    <w:rsid w:val="0079546D"/>
    <w:rsid w:val="00795F95"/>
    <w:rsid w:val="007977D5"/>
    <w:rsid w:val="007A1944"/>
    <w:rsid w:val="007A22FF"/>
    <w:rsid w:val="007A71DA"/>
    <w:rsid w:val="007B110F"/>
    <w:rsid w:val="007B30C6"/>
    <w:rsid w:val="007B4090"/>
    <w:rsid w:val="007C081E"/>
    <w:rsid w:val="007C3E9C"/>
    <w:rsid w:val="007C6EC2"/>
    <w:rsid w:val="007D2AD0"/>
    <w:rsid w:val="007D2C89"/>
    <w:rsid w:val="007D6EA5"/>
    <w:rsid w:val="007E1D31"/>
    <w:rsid w:val="007E2269"/>
    <w:rsid w:val="007E389D"/>
    <w:rsid w:val="007E3E26"/>
    <w:rsid w:val="007E4B90"/>
    <w:rsid w:val="007E7D61"/>
    <w:rsid w:val="007F42AD"/>
    <w:rsid w:val="007F5B43"/>
    <w:rsid w:val="007F6FD2"/>
    <w:rsid w:val="00800967"/>
    <w:rsid w:val="00803F4C"/>
    <w:rsid w:val="0080500E"/>
    <w:rsid w:val="008057DE"/>
    <w:rsid w:val="008059F9"/>
    <w:rsid w:val="0080705C"/>
    <w:rsid w:val="00807669"/>
    <w:rsid w:val="008133F6"/>
    <w:rsid w:val="00816297"/>
    <w:rsid w:val="00822B6E"/>
    <w:rsid w:val="008231B9"/>
    <w:rsid w:val="00824023"/>
    <w:rsid w:val="008262DD"/>
    <w:rsid w:val="00827F21"/>
    <w:rsid w:val="00835D03"/>
    <w:rsid w:val="00841009"/>
    <w:rsid w:val="00841C15"/>
    <w:rsid w:val="00842F69"/>
    <w:rsid w:val="00843020"/>
    <w:rsid w:val="00846230"/>
    <w:rsid w:val="00847DAC"/>
    <w:rsid w:val="00850A1F"/>
    <w:rsid w:val="00853044"/>
    <w:rsid w:val="00857867"/>
    <w:rsid w:val="00862503"/>
    <w:rsid w:val="00863892"/>
    <w:rsid w:val="0086511A"/>
    <w:rsid w:val="00865602"/>
    <w:rsid w:val="00865722"/>
    <w:rsid w:val="00871720"/>
    <w:rsid w:val="0087176C"/>
    <w:rsid w:val="00872C6C"/>
    <w:rsid w:val="00875182"/>
    <w:rsid w:val="00880492"/>
    <w:rsid w:val="008819F7"/>
    <w:rsid w:val="00883BC7"/>
    <w:rsid w:val="00883D7A"/>
    <w:rsid w:val="00887DBA"/>
    <w:rsid w:val="00890AC6"/>
    <w:rsid w:val="00890DFD"/>
    <w:rsid w:val="0089340E"/>
    <w:rsid w:val="008951EA"/>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3E13"/>
    <w:rsid w:val="008E7314"/>
    <w:rsid w:val="008F1984"/>
    <w:rsid w:val="00901ED1"/>
    <w:rsid w:val="0090357B"/>
    <w:rsid w:val="00903D7E"/>
    <w:rsid w:val="009041D9"/>
    <w:rsid w:val="00915989"/>
    <w:rsid w:val="0093283E"/>
    <w:rsid w:val="00932CE3"/>
    <w:rsid w:val="009330F5"/>
    <w:rsid w:val="00940FF9"/>
    <w:rsid w:val="00941832"/>
    <w:rsid w:val="009468E7"/>
    <w:rsid w:val="00946F89"/>
    <w:rsid w:val="009521DF"/>
    <w:rsid w:val="00955193"/>
    <w:rsid w:val="0096131A"/>
    <w:rsid w:val="00961BCE"/>
    <w:rsid w:val="00963BE5"/>
    <w:rsid w:val="009641FD"/>
    <w:rsid w:val="00967518"/>
    <w:rsid w:val="009705A4"/>
    <w:rsid w:val="00971AC9"/>
    <w:rsid w:val="00972A0B"/>
    <w:rsid w:val="00980249"/>
    <w:rsid w:val="0098660F"/>
    <w:rsid w:val="00992AA1"/>
    <w:rsid w:val="009A0C65"/>
    <w:rsid w:val="009A229B"/>
    <w:rsid w:val="009A33E5"/>
    <w:rsid w:val="009A4981"/>
    <w:rsid w:val="009A6A20"/>
    <w:rsid w:val="009B0E5C"/>
    <w:rsid w:val="009B7E6D"/>
    <w:rsid w:val="009C08B5"/>
    <w:rsid w:val="009C7831"/>
    <w:rsid w:val="009C7D5E"/>
    <w:rsid w:val="009D3482"/>
    <w:rsid w:val="009E27B2"/>
    <w:rsid w:val="009E53A1"/>
    <w:rsid w:val="009F0244"/>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32AF9"/>
    <w:rsid w:val="00A32F65"/>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86510"/>
    <w:rsid w:val="00A936B9"/>
    <w:rsid w:val="00A95CE6"/>
    <w:rsid w:val="00AA3BE8"/>
    <w:rsid w:val="00AA7821"/>
    <w:rsid w:val="00AB176C"/>
    <w:rsid w:val="00AB2694"/>
    <w:rsid w:val="00AB2D1A"/>
    <w:rsid w:val="00AB7E32"/>
    <w:rsid w:val="00AB7E58"/>
    <w:rsid w:val="00AC4DD4"/>
    <w:rsid w:val="00AC5228"/>
    <w:rsid w:val="00AC694F"/>
    <w:rsid w:val="00AC7467"/>
    <w:rsid w:val="00AC7984"/>
    <w:rsid w:val="00AD29BD"/>
    <w:rsid w:val="00AD44AB"/>
    <w:rsid w:val="00AD5EC2"/>
    <w:rsid w:val="00AD620F"/>
    <w:rsid w:val="00AE3221"/>
    <w:rsid w:val="00AE78CA"/>
    <w:rsid w:val="00AF598A"/>
    <w:rsid w:val="00B02B9C"/>
    <w:rsid w:val="00B15B31"/>
    <w:rsid w:val="00B1620C"/>
    <w:rsid w:val="00B16743"/>
    <w:rsid w:val="00B169D7"/>
    <w:rsid w:val="00B205E2"/>
    <w:rsid w:val="00B20C29"/>
    <w:rsid w:val="00B2408F"/>
    <w:rsid w:val="00B24E03"/>
    <w:rsid w:val="00B32EE4"/>
    <w:rsid w:val="00B3406D"/>
    <w:rsid w:val="00B341E5"/>
    <w:rsid w:val="00B358B7"/>
    <w:rsid w:val="00B35D97"/>
    <w:rsid w:val="00B401CC"/>
    <w:rsid w:val="00B444E9"/>
    <w:rsid w:val="00B4492F"/>
    <w:rsid w:val="00B44AE1"/>
    <w:rsid w:val="00B5019A"/>
    <w:rsid w:val="00B555FE"/>
    <w:rsid w:val="00B55D14"/>
    <w:rsid w:val="00B56FFB"/>
    <w:rsid w:val="00B60514"/>
    <w:rsid w:val="00B630C0"/>
    <w:rsid w:val="00B65EBB"/>
    <w:rsid w:val="00B66576"/>
    <w:rsid w:val="00B70C1A"/>
    <w:rsid w:val="00B72AE2"/>
    <w:rsid w:val="00B740FB"/>
    <w:rsid w:val="00B84E76"/>
    <w:rsid w:val="00B8776D"/>
    <w:rsid w:val="00B908CC"/>
    <w:rsid w:val="00B92DD8"/>
    <w:rsid w:val="00B93485"/>
    <w:rsid w:val="00B93D0B"/>
    <w:rsid w:val="00B942E3"/>
    <w:rsid w:val="00B958AC"/>
    <w:rsid w:val="00B96348"/>
    <w:rsid w:val="00BA1997"/>
    <w:rsid w:val="00BA601E"/>
    <w:rsid w:val="00BB0BED"/>
    <w:rsid w:val="00BB536A"/>
    <w:rsid w:val="00BC3EF5"/>
    <w:rsid w:val="00BC7132"/>
    <w:rsid w:val="00BC7D84"/>
    <w:rsid w:val="00BD31C7"/>
    <w:rsid w:val="00BE1923"/>
    <w:rsid w:val="00BE2005"/>
    <w:rsid w:val="00BE3664"/>
    <w:rsid w:val="00BE3DFF"/>
    <w:rsid w:val="00BF21EB"/>
    <w:rsid w:val="00C03009"/>
    <w:rsid w:val="00C07D2D"/>
    <w:rsid w:val="00C11930"/>
    <w:rsid w:val="00C141C5"/>
    <w:rsid w:val="00C15791"/>
    <w:rsid w:val="00C15B27"/>
    <w:rsid w:val="00C20821"/>
    <w:rsid w:val="00C2165D"/>
    <w:rsid w:val="00C21AC1"/>
    <w:rsid w:val="00C22F56"/>
    <w:rsid w:val="00C2313A"/>
    <w:rsid w:val="00C24189"/>
    <w:rsid w:val="00C2469A"/>
    <w:rsid w:val="00C2553B"/>
    <w:rsid w:val="00C25708"/>
    <w:rsid w:val="00C26016"/>
    <w:rsid w:val="00C32979"/>
    <w:rsid w:val="00C32DD1"/>
    <w:rsid w:val="00C33717"/>
    <w:rsid w:val="00C36DDB"/>
    <w:rsid w:val="00C4038C"/>
    <w:rsid w:val="00C419C9"/>
    <w:rsid w:val="00C4400E"/>
    <w:rsid w:val="00C565B6"/>
    <w:rsid w:val="00C5744C"/>
    <w:rsid w:val="00C66600"/>
    <w:rsid w:val="00C736F2"/>
    <w:rsid w:val="00C75051"/>
    <w:rsid w:val="00C763F5"/>
    <w:rsid w:val="00C837D6"/>
    <w:rsid w:val="00C8535C"/>
    <w:rsid w:val="00C85E53"/>
    <w:rsid w:val="00C87BD2"/>
    <w:rsid w:val="00C924BC"/>
    <w:rsid w:val="00C93F86"/>
    <w:rsid w:val="00C94463"/>
    <w:rsid w:val="00C9596E"/>
    <w:rsid w:val="00C97347"/>
    <w:rsid w:val="00CA25CA"/>
    <w:rsid w:val="00CA53B7"/>
    <w:rsid w:val="00CA7A46"/>
    <w:rsid w:val="00CB0A42"/>
    <w:rsid w:val="00CB5605"/>
    <w:rsid w:val="00CB7EA2"/>
    <w:rsid w:val="00CC71E2"/>
    <w:rsid w:val="00CD1205"/>
    <w:rsid w:val="00CD2141"/>
    <w:rsid w:val="00CD2562"/>
    <w:rsid w:val="00CD3D71"/>
    <w:rsid w:val="00CD7808"/>
    <w:rsid w:val="00CD7A85"/>
    <w:rsid w:val="00CE4856"/>
    <w:rsid w:val="00CE5C5B"/>
    <w:rsid w:val="00CE6DB2"/>
    <w:rsid w:val="00CF00A1"/>
    <w:rsid w:val="00CF325C"/>
    <w:rsid w:val="00CF334F"/>
    <w:rsid w:val="00CF3D62"/>
    <w:rsid w:val="00CF47E7"/>
    <w:rsid w:val="00CF4F17"/>
    <w:rsid w:val="00D01F79"/>
    <w:rsid w:val="00D038BD"/>
    <w:rsid w:val="00D1099C"/>
    <w:rsid w:val="00D1200E"/>
    <w:rsid w:val="00D1415A"/>
    <w:rsid w:val="00D14867"/>
    <w:rsid w:val="00D219F1"/>
    <w:rsid w:val="00D25E1A"/>
    <w:rsid w:val="00D30A1B"/>
    <w:rsid w:val="00D346B2"/>
    <w:rsid w:val="00D35454"/>
    <w:rsid w:val="00D40585"/>
    <w:rsid w:val="00D42933"/>
    <w:rsid w:val="00D43B57"/>
    <w:rsid w:val="00D466BC"/>
    <w:rsid w:val="00D51CE6"/>
    <w:rsid w:val="00D57C07"/>
    <w:rsid w:val="00D600E0"/>
    <w:rsid w:val="00D61E5A"/>
    <w:rsid w:val="00D66004"/>
    <w:rsid w:val="00D66941"/>
    <w:rsid w:val="00D676BC"/>
    <w:rsid w:val="00D716F5"/>
    <w:rsid w:val="00D743A4"/>
    <w:rsid w:val="00D74572"/>
    <w:rsid w:val="00D7462C"/>
    <w:rsid w:val="00D80370"/>
    <w:rsid w:val="00D806C5"/>
    <w:rsid w:val="00D82F54"/>
    <w:rsid w:val="00D873D6"/>
    <w:rsid w:val="00D9427B"/>
    <w:rsid w:val="00DA0272"/>
    <w:rsid w:val="00DA454A"/>
    <w:rsid w:val="00DA6A1C"/>
    <w:rsid w:val="00DA77D9"/>
    <w:rsid w:val="00DB6ADF"/>
    <w:rsid w:val="00DC3931"/>
    <w:rsid w:val="00DC4D33"/>
    <w:rsid w:val="00DC536C"/>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74ED"/>
    <w:rsid w:val="00E20AE6"/>
    <w:rsid w:val="00E31F3E"/>
    <w:rsid w:val="00E32DD6"/>
    <w:rsid w:val="00E33B66"/>
    <w:rsid w:val="00E33EA4"/>
    <w:rsid w:val="00E352E3"/>
    <w:rsid w:val="00E40B2C"/>
    <w:rsid w:val="00E41A12"/>
    <w:rsid w:val="00E421CF"/>
    <w:rsid w:val="00E536DD"/>
    <w:rsid w:val="00E5377D"/>
    <w:rsid w:val="00E55787"/>
    <w:rsid w:val="00E62B62"/>
    <w:rsid w:val="00E658C6"/>
    <w:rsid w:val="00E65A68"/>
    <w:rsid w:val="00E71723"/>
    <w:rsid w:val="00E7302F"/>
    <w:rsid w:val="00E75986"/>
    <w:rsid w:val="00E82D8A"/>
    <w:rsid w:val="00E84985"/>
    <w:rsid w:val="00E91542"/>
    <w:rsid w:val="00E91D95"/>
    <w:rsid w:val="00E97964"/>
    <w:rsid w:val="00EA0D2F"/>
    <w:rsid w:val="00EA778D"/>
    <w:rsid w:val="00EB19CE"/>
    <w:rsid w:val="00EB252E"/>
    <w:rsid w:val="00EB3D21"/>
    <w:rsid w:val="00EC13DF"/>
    <w:rsid w:val="00EC35B3"/>
    <w:rsid w:val="00EC5FA8"/>
    <w:rsid w:val="00ED1A87"/>
    <w:rsid w:val="00ED2509"/>
    <w:rsid w:val="00ED7C3A"/>
    <w:rsid w:val="00EE237B"/>
    <w:rsid w:val="00EE5C41"/>
    <w:rsid w:val="00EF1AE3"/>
    <w:rsid w:val="00EF2367"/>
    <w:rsid w:val="00EF40EB"/>
    <w:rsid w:val="00EF43A6"/>
    <w:rsid w:val="00F032E8"/>
    <w:rsid w:val="00F03917"/>
    <w:rsid w:val="00F03F51"/>
    <w:rsid w:val="00F118DE"/>
    <w:rsid w:val="00F13D9C"/>
    <w:rsid w:val="00F1518B"/>
    <w:rsid w:val="00F15CA1"/>
    <w:rsid w:val="00F205B2"/>
    <w:rsid w:val="00F22B04"/>
    <w:rsid w:val="00F2314D"/>
    <w:rsid w:val="00F257EE"/>
    <w:rsid w:val="00F2600D"/>
    <w:rsid w:val="00F26576"/>
    <w:rsid w:val="00F27330"/>
    <w:rsid w:val="00F33EF9"/>
    <w:rsid w:val="00F3749E"/>
    <w:rsid w:val="00F42483"/>
    <w:rsid w:val="00F43936"/>
    <w:rsid w:val="00F504EE"/>
    <w:rsid w:val="00F60618"/>
    <w:rsid w:val="00F62C83"/>
    <w:rsid w:val="00F66F55"/>
    <w:rsid w:val="00F6716F"/>
    <w:rsid w:val="00F74D65"/>
    <w:rsid w:val="00F754CD"/>
    <w:rsid w:val="00F81530"/>
    <w:rsid w:val="00F81CDF"/>
    <w:rsid w:val="00F8447E"/>
    <w:rsid w:val="00F86DF2"/>
    <w:rsid w:val="00F94A95"/>
    <w:rsid w:val="00F97369"/>
    <w:rsid w:val="00FA48BD"/>
    <w:rsid w:val="00FB537F"/>
    <w:rsid w:val="00FB6EEF"/>
    <w:rsid w:val="00FB7FFE"/>
    <w:rsid w:val="00FC1FDF"/>
    <w:rsid w:val="00FC3B5B"/>
    <w:rsid w:val="00FC3D7C"/>
    <w:rsid w:val="00FD0696"/>
    <w:rsid w:val="00FD2B63"/>
    <w:rsid w:val="00FD43C3"/>
    <w:rsid w:val="00FD6447"/>
    <w:rsid w:val="00FD71BF"/>
    <w:rsid w:val="00FE0310"/>
    <w:rsid w:val="00FE1BCE"/>
    <w:rsid w:val="00FF0844"/>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23848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71912">
      <w:bodyDiv w:val="1"/>
      <w:marLeft w:val="0"/>
      <w:marRight w:val="0"/>
      <w:marTop w:val="0"/>
      <w:marBottom w:val="0"/>
      <w:divBdr>
        <w:top w:val="none" w:sz="0" w:space="0" w:color="auto"/>
        <w:left w:val="none" w:sz="0" w:space="0" w:color="auto"/>
        <w:bottom w:val="none" w:sz="0" w:space="0" w:color="auto"/>
        <w:right w:val="none" w:sz="0" w:space="0" w:color="auto"/>
      </w:divBdr>
      <w:divsChild>
        <w:div w:id="787969950">
          <w:marLeft w:val="0"/>
          <w:marRight w:val="0"/>
          <w:marTop w:val="0"/>
          <w:marBottom w:val="0"/>
          <w:divBdr>
            <w:top w:val="none" w:sz="0" w:space="0" w:color="auto"/>
            <w:left w:val="none" w:sz="0" w:space="0" w:color="auto"/>
            <w:bottom w:val="none" w:sz="0" w:space="0" w:color="auto"/>
            <w:right w:val="none" w:sz="0" w:space="0" w:color="auto"/>
          </w:divBdr>
          <w:divsChild>
            <w:div w:id="1927808538">
              <w:marLeft w:val="0"/>
              <w:marRight w:val="0"/>
              <w:marTop w:val="0"/>
              <w:marBottom w:val="0"/>
              <w:divBdr>
                <w:top w:val="none" w:sz="0" w:space="0" w:color="auto"/>
                <w:left w:val="none" w:sz="0" w:space="0" w:color="auto"/>
                <w:bottom w:val="none" w:sz="0" w:space="0" w:color="auto"/>
                <w:right w:val="none" w:sz="0" w:space="0" w:color="auto"/>
              </w:divBdr>
              <w:divsChild>
                <w:div w:id="1991714024">
                  <w:marLeft w:val="0"/>
                  <w:marRight w:val="0"/>
                  <w:marTop w:val="0"/>
                  <w:marBottom w:val="0"/>
                  <w:divBdr>
                    <w:top w:val="none" w:sz="0" w:space="0" w:color="auto"/>
                    <w:left w:val="none" w:sz="0" w:space="0" w:color="auto"/>
                    <w:bottom w:val="none" w:sz="0" w:space="0" w:color="auto"/>
                    <w:right w:val="none" w:sz="0" w:space="0" w:color="auto"/>
                  </w:divBdr>
                  <w:divsChild>
                    <w:div w:id="764351642">
                      <w:marLeft w:val="0"/>
                      <w:marRight w:val="0"/>
                      <w:marTop w:val="0"/>
                      <w:marBottom w:val="0"/>
                      <w:divBdr>
                        <w:top w:val="none" w:sz="0" w:space="0" w:color="auto"/>
                        <w:left w:val="none" w:sz="0" w:space="0" w:color="auto"/>
                        <w:bottom w:val="none" w:sz="0" w:space="0" w:color="auto"/>
                        <w:right w:val="none" w:sz="0" w:space="0" w:color="auto"/>
                      </w:divBdr>
                      <w:divsChild>
                        <w:div w:id="302856080">
                          <w:marLeft w:val="0"/>
                          <w:marRight w:val="0"/>
                          <w:marTop w:val="0"/>
                          <w:marBottom w:val="0"/>
                          <w:divBdr>
                            <w:top w:val="none" w:sz="0" w:space="0" w:color="auto"/>
                            <w:left w:val="none" w:sz="0" w:space="0" w:color="auto"/>
                            <w:bottom w:val="none" w:sz="0" w:space="0" w:color="auto"/>
                            <w:right w:val="none" w:sz="0" w:space="0" w:color="auto"/>
                          </w:divBdr>
                          <w:divsChild>
                            <w:div w:id="897787377">
                              <w:marLeft w:val="0"/>
                              <w:marRight w:val="0"/>
                              <w:marTop w:val="0"/>
                              <w:marBottom w:val="0"/>
                              <w:divBdr>
                                <w:top w:val="none" w:sz="0" w:space="0" w:color="auto"/>
                                <w:left w:val="none" w:sz="0" w:space="0" w:color="auto"/>
                                <w:bottom w:val="none" w:sz="0" w:space="0" w:color="auto"/>
                                <w:right w:val="none" w:sz="0" w:space="0" w:color="auto"/>
                              </w:divBdr>
                              <w:divsChild>
                                <w:div w:id="408190165">
                                  <w:marLeft w:val="0"/>
                                  <w:marRight w:val="0"/>
                                  <w:marTop w:val="0"/>
                                  <w:marBottom w:val="0"/>
                                  <w:divBdr>
                                    <w:top w:val="none" w:sz="0" w:space="0" w:color="auto"/>
                                    <w:left w:val="none" w:sz="0" w:space="0" w:color="auto"/>
                                    <w:bottom w:val="none" w:sz="0" w:space="0" w:color="auto"/>
                                    <w:right w:val="none" w:sz="0" w:space="0" w:color="auto"/>
                                  </w:divBdr>
                                  <w:divsChild>
                                    <w:div w:id="20116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8849">
      <w:bodyDiv w:val="1"/>
      <w:marLeft w:val="0"/>
      <w:marRight w:val="0"/>
      <w:marTop w:val="0"/>
      <w:marBottom w:val="0"/>
      <w:divBdr>
        <w:top w:val="none" w:sz="0" w:space="0" w:color="auto"/>
        <w:left w:val="none" w:sz="0" w:space="0" w:color="auto"/>
        <w:bottom w:val="none" w:sz="0" w:space="0" w:color="auto"/>
        <w:right w:val="none" w:sz="0" w:space="0" w:color="auto"/>
      </w:divBdr>
      <w:divsChild>
        <w:div w:id="589974361">
          <w:marLeft w:val="0"/>
          <w:marRight w:val="0"/>
          <w:marTop w:val="0"/>
          <w:marBottom w:val="0"/>
          <w:divBdr>
            <w:top w:val="none" w:sz="0" w:space="0" w:color="auto"/>
            <w:left w:val="none" w:sz="0" w:space="0" w:color="auto"/>
            <w:bottom w:val="none" w:sz="0" w:space="0" w:color="auto"/>
            <w:right w:val="none" w:sz="0" w:space="0" w:color="auto"/>
          </w:divBdr>
          <w:divsChild>
            <w:div w:id="1878200796">
              <w:marLeft w:val="0"/>
              <w:marRight w:val="0"/>
              <w:marTop w:val="0"/>
              <w:marBottom w:val="0"/>
              <w:divBdr>
                <w:top w:val="none" w:sz="0" w:space="0" w:color="auto"/>
                <w:left w:val="none" w:sz="0" w:space="0" w:color="auto"/>
                <w:bottom w:val="none" w:sz="0" w:space="0" w:color="auto"/>
                <w:right w:val="none" w:sz="0" w:space="0" w:color="auto"/>
              </w:divBdr>
              <w:divsChild>
                <w:div w:id="151525397">
                  <w:marLeft w:val="0"/>
                  <w:marRight w:val="0"/>
                  <w:marTop w:val="0"/>
                  <w:marBottom w:val="0"/>
                  <w:divBdr>
                    <w:top w:val="none" w:sz="0" w:space="0" w:color="auto"/>
                    <w:left w:val="none" w:sz="0" w:space="0" w:color="auto"/>
                    <w:bottom w:val="none" w:sz="0" w:space="0" w:color="auto"/>
                    <w:right w:val="none" w:sz="0" w:space="0" w:color="auto"/>
                  </w:divBdr>
                  <w:divsChild>
                    <w:div w:id="340591626">
                      <w:marLeft w:val="0"/>
                      <w:marRight w:val="0"/>
                      <w:marTop w:val="0"/>
                      <w:marBottom w:val="0"/>
                      <w:divBdr>
                        <w:top w:val="none" w:sz="0" w:space="0" w:color="auto"/>
                        <w:left w:val="none" w:sz="0" w:space="0" w:color="auto"/>
                        <w:bottom w:val="none" w:sz="0" w:space="0" w:color="auto"/>
                        <w:right w:val="none" w:sz="0" w:space="0" w:color="auto"/>
                      </w:divBdr>
                      <w:divsChild>
                        <w:div w:id="926308065">
                          <w:marLeft w:val="0"/>
                          <w:marRight w:val="0"/>
                          <w:marTop w:val="0"/>
                          <w:marBottom w:val="0"/>
                          <w:divBdr>
                            <w:top w:val="none" w:sz="0" w:space="0" w:color="auto"/>
                            <w:left w:val="none" w:sz="0" w:space="0" w:color="auto"/>
                            <w:bottom w:val="none" w:sz="0" w:space="0" w:color="auto"/>
                            <w:right w:val="none" w:sz="0" w:space="0" w:color="auto"/>
                          </w:divBdr>
                          <w:divsChild>
                            <w:div w:id="1078407690">
                              <w:marLeft w:val="0"/>
                              <w:marRight w:val="0"/>
                              <w:marTop w:val="0"/>
                              <w:marBottom w:val="0"/>
                              <w:divBdr>
                                <w:top w:val="none" w:sz="0" w:space="0" w:color="auto"/>
                                <w:left w:val="none" w:sz="0" w:space="0" w:color="auto"/>
                                <w:bottom w:val="none" w:sz="0" w:space="0" w:color="auto"/>
                                <w:right w:val="none" w:sz="0" w:space="0" w:color="auto"/>
                              </w:divBdr>
                              <w:divsChild>
                                <w:div w:id="412170462">
                                  <w:marLeft w:val="0"/>
                                  <w:marRight w:val="0"/>
                                  <w:marTop w:val="0"/>
                                  <w:marBottom w:val="0"/>
                                  <w:divBdr>
                                    <w:top w:val="none" w:sz="0" w:space="0" w:color="auto"/>
                                    <w:left w:val="none" w:sz="0" w:space="0" w:color="auto"/>
                                    <w:bottom w:val="none" w:sz="0" w:space="0" w:color="auto"/>
                                    <w:right w:val="none" w:sz="0" w:space="0" w:color="auto"/>
                                  </w:divBdr>
                                  <w:divsChild>
                                    <w:div w:id="19533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15219">
      <w:bodyDiv w:val="1"/>
      <w:marLeft w:val="0"/>
      <w:marRight w:val="0"/>
      <w:marTop w:val="0"/>
      <w:marBottom w:val="0"/>
      <w:divBdr>
        <w:top w:val="none" w:sz="0" w:space="0" w:color="auto"/>
        <w:left w:val="none" w:sz="0" w:space="0" w:color="auto"/>
        <w:bottom w:val="none" w:sz="0" w:space="0" w:color="auto"/>
        <w:right w:val="none" w:sz="0" w:space="0" w:color="auto"/>
      </w:divBdr>
      <w:divsChild>
        <w:div w:id="1998604601">
          <w:marLeft w:val="0"/>
          <w:marRight w:val="0"/>
          <w:marTop w:val="0"/>
          <w:marBottom w:val="0"/>
          <w:divBdr>
            <w:top w:val="none" w:sz="0" w:space="0" w:color="auto"/>
            <w:left w:val="none" w:sz="0" w:space="0" w:color="auto"/>
            <w:bottom w:val="none" w:sz="0" w:space="0" w:color="auto"/>
            <w:right w:val="none" w:sz="0" w:space="0" w:color="auto"/>
          </w:divBdr>
          <w:divsChild>
            <w:div w:id="1006396940">
              <w:marLeft w:val="0"/>
              <w:marRight w:val="0"/>
              <w:marTop w:val="0"/>
              <w:marBottom w:val="0"/>
              <w:divBdr>
                <w:top w:val="none" w:sz="0" w:space="0" w:color="auto"/>
                <w:left w:val="none" w:sz="0" w:space="0" w:color="auto"/>
                <w:bottom w:val="none" w:sz="0" w:space="0" w:color="auto"/>
                <w:right w:val="none" w:sz="0" w:space="0" w:color="auto"/>
              </w:divBdr>
              <w:divsChild>
                <w:div w:id="927272399">
                  <w:marLeft w:val="0"/>
                  <w:marRight w:val="0"/>
                  <w:marTop w:val="0"/>
                  <w:marBottom w:val="0"/>
                  <w:divBdr>
                    <w:top w:val="none" w:sz="0" w:space="0" w:color="auto"/>
                    <w:left w:val="none" w:sz="0" w:space="0" w:color="auto"/>
                    <w:bottom w:val="none" w:sz="0" w:space="0" w:color="auto"/>
                    <w:right w:val="none" w:sz="0" w:space="0" w:color="auto"/>
                  </w:divBdr>
                  <w:divsChild>
                    <w:div w:id="7023127">
                      <w:marLeft w:val="0"/>
                      <w:marRight w:val="0"/>
                      <w:marTop w:val="0"/>
                      <w:marBottom w:val="0"/>
                      <w:divBdr>
                        <w:top w:val="none" w:sz="0" w:space="0" w:color="auto"/>
                        <w:left w:val="none" w:sz="0" w:space="0" w:color="auto"/>
                        <w:bottom w:val="none" w:sz="0" w:space="0" w:color="auto"/>
                        <w:right w:val="none" w:sz="0" w:space="0" w:color="auto"/>
                      </w:divBdr>
                      <w:divsChild>
                        <w:div w:id="182209881">
                          <w:marLeft w:val="0"/>
                          <w:marRight w:val="0"/>
                          <w:marTop w:val="0"/>
                          <w:marBottom w:val="0"/>
                          <w:divBdr>
                            <w:top w:val="none" w:sz="0" w:space="0" w:color="auto"/>
                            <w:left w:val="none" w:sz="0" w:space="0" w:color="auto"/>
                            <w:bottom w:val="none" w:sz="0" w:space="0" w:color="auto"/>
                            <w:right w:val="none" w:sz="0" w:space="0" w:color="auto"/>
                          </w:divBdr>
                          <w:divsChild>
                            <w:div w:id="71123292">
                              <w:marLeft w:val="0"/>
                              <w:marRight w:val="0"/>
                              <w:marTop w:val="0"/>
                              <w:marBottom w:val="0"/>
                              <w:divBdr>
                                <w:top w:val="none" w:sz="0" w:space="0" w:color="auto"/>
                                <w:left w:val="none" w:sz="0" w:space="0" w:color="auto"/>
                                <w:bottom w:val="none" w:sz="0" w:space="0" w:color="auto"/>
                                <w:right w:val="none" w:sz="0" w:space="0" w:color="auto"/>
                              </w:divBdr>
                              <w:divsChild>
                                <w:div w:id="1108963015">
                                  <w:marLeft w:val="0"/>
                                  <w:marRight w:val="0"/>
                                  <w:marTop w:val="0"/>
                                  <w:marBottom w:val="0"/>
                                  <w:divBdr>
                                    <w:top w:val="none" w:sz="0" w:space="0" w:color="auto"/>
                                    <w:left w:val="none" w:sz="0" w:space="0" w:color="auto"/>
                                    <w:bottom w:val="none" w:sz="0" w:space="0" w:color="auto"/>
                                    <w:right w:val="none" w:sz="0" w:space="0" w:color="auto"/>
                                  </w:divBdr>
                                  <w:divsChild>
                                    <w:div w:id="14600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234323">
      <w:bodyDiv w:val="1"/>
      <w:marLeft w:val="0"/>
      <w:marRight w:val="0"/>
      <w:marTop w:val="0"/>
      <w:marBottom w:val="0"/>
      <w:divBdr>
        <w:top w:val="none" w:sz="0" w:space="0" w:color="auto"/>
        <w:left w:val="none" w:sz="0" w:space="0" w:color="auto"/>
        <w:bottom w:val="none" w:sz="0" w:space="0" w:color="auto"/>
        <w:right w:val="none" w:sz="0" w:space="0" w:color="auto"/>
      </w:divBdr>
      <w:divsChild>
        <w:div w:id="1086462702">
          <w:marLeft w:val="0"/>
          <w:marRight w:val="0"/>
          <w:marTop w:val="0"/>
          <w:marBottom w:val="0"/>
          <w:divBdr>
            <w:top w:val="none" w:sz="0" w:space="0" w:color="auto"/>
            <w:left w:val="none" w:sz="0" w:space="0" w:color="auto"/>
            <w:bottom w:val="none" w:sz="0" w:space="0" w:color="auto"/>
            <w:right w:val="none" w:sz="0" w:space="0" w:color="auto"/>
          </w:divBdr>
          <w:divsChild>
            <w:div w:id="1913077112">
              <w:marLeft w:val="0"/>
              <w:marRight w:val="0"/>
              <w:marTop w:val="0"/>
              <w:marBottom w:val="0"/>
              <w:divBdr>
                <w:top w:val="none" w:sz="0" w:space="0" w:color="auto"/>
                <w:left w:val="none" w:sz="0" w:space="0" w:color="auto"/>
                <w:bottom w:val="none" w:sz="0" w:space="0" w:color="auto"/>
                <w:right w:val="none" w:sz="0" w:space="0" w:color="auto"/>
              </w:divBdr>
              <w:divsChild>
                <w:div w:id="1090155721">
                  <w:marLeft w:val="0"/>
                  <w:marRight w:val="0"/>
                  <w:marTop w:val="0"/>
                  <w:marBottom w:val="0"/>
                  <w:divBdr>
                    <w:top w:val="none" w:sz="0" w:space="0" w:color="auto"/>
                    <w:left w:val="none" w:sz="0" w:space="0" w:color="auto"/>
                    <w:bottom w:val="none" w:sz="0" w:space="0" w:color="auto"/>
                    <w:right w:val="none" w:sz="0" w:space="0" w:color="auto"/>
                  </w:divBdr>
                  <w:divsChild>
                    <w:div w:id="2004358077">
                      <w:marLeft w:val="0"/>
                      <w:marRight w:val="0"/>
                      <w:marTop w:val="0"/>
                      <w:marBottom w:val="0"/>
                      <w:divBdr>
                        <w:top w:val="none" w:sz="0" w:space="0" w:color="auto"/>
                        <w:left w:val="none" w:sz="0" w:space="0" w:color="auto"/>
                        <w:bottom w:val="none" w:sz="0" w:space="0" w:color="auto"/>
                        <w:right w:val="none" w:sz="0" w:space="0" w:color="auto"/>
                      </w:divBdr>
                      <w:divsChild>
                        <w:div w:id="70738153">
                          <w:marLeft w:val="0"/>
                          <w:marRight w:val="0"/>
                          <w:marTop w:val="0"/>
                          <w:marBottom w:val="0"/>
                          <w:divBdr>
                            <w:top w:val="none" w:sz="0" w:space="0" w:color="auto"/>
                            <w:left w:val="none" w:sz="0" w:space="0" w:color="auto"/>
                            <w:bottom w:val="none" w:sz="0" w:space="0" w:color="auto"/>
                            <w:right w:val="none" w:sz="0" w:space="0" w:color="auto"/>
                          </w:divBdr>
                          <w:divsChild>
                            <w:div w:id="1097825579">
                              <w:marLeft w:val="0"/>
                              <w:marRight w:val="0"/>
                              <w:marTop w:val="0"/>
                              <w:marBottom w:val="0"/>
                              <w:divBdr>
                                <w:top w:val="none" w:sz="0" w:space="0" w:color="auto"/>
                                <w:left w:val="none" w:sz="0" w:space="0" w:color="auto"/>
                                <w:bottom w:val="none" w:sz="0" w:space="0" w:color="auto"/>
                                <w:right w:val="none" w:sz="0" w:space="0" w:color="auto"/>
                              </w:divBdr>
                              <w:divsChild>
                                <w:div w:id="1452242537">
                                  <w:marLeft w:val="0"/>
                                  <w:marRight w:val="0"/>
                                  <w:marTop w:val="0"/>
                                  <w:marBottom w:val="0"/>
                                  <w:divBdr>
                                    <w:top w:val="none" w:sz="0" w:space="0" w:color="auto"/>
                                    <w:left w:val="none" w:sz="0" w:space="0" w:color="auto"/>
                                    <w:bottom w:val="none" w:sz="0" w:space="0" w:color="auto"/>
                                    <w:right w:val="none" w:sz="0" w:space="0" w:color="auto"/>
                                  </w:divBdr>
                                  <w:divsChild>
                                    <w:div w:id="10827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9044">
      <w:bodyDiv w:val="1"/>
      <w:marLeft w:val="0"/>
      <w:marRight w:val="0"/>
      <w:marTop w:val="0"/>
      <w:marBottom w:val="0"/>
      <w:divBdr>
        <w:top w:val="none" w:sz="0" w:space="0" w:color="auto"/>
        <w:left w:val="none" w:sz="0" w:space="0" w:color="auto"/>
        <w:bottom w:val="none" w:sz="0" w:space="0" w:color="auto"/>
        <w:right w:val="none" w:sz="0" w:space="0" w:color="auto"/>
      </w:divBdr>
      <w:divsChild>
        <w:div w:id="624847529">
          <w:marLeft w:val="0"/>
          <w:marRight w:val="0"/>
          <w:marTop w:val="0"/>
          <w:marBottom w:val="0"/>
          <w:divBdr>
            <w:top w:val="none" w:sz="0" w:space="0" w:color="auto"/>
            <w:left w:val="none" w:sz="0" w:space="0" w:color="auto"/>
            <w:bottom w:val="none" w:sz="0" w:space="0" w:color="auto"/>
            <w:right w:val="none" w:sz="0" w:space="0" w:color="auto"/>
          </w:divBdr>
          <w:divsChild>
            <w:div w:id="604654561">
              <w:marLeft w:val="0"/>
              <w:marRight w:val="0"/>
              <w:marTop w:val="0"/>
              <w:marBottom w:val="0"/>
              <w:divBdr>
                <w:top w:val="none" w:sz="0" w:space="0" w:color="auto"/>
                <w:left w:val="none" w:sz="0" w:space="0" w:color="auto"/>
                <w:bottom w:val="none" w:sz="0" w:space="0" w:color="auto"/>
                <w:right w:val="none" w:sz="0" w:space="0" w:color="auto"/>
              </w:divBdr>
              <w:divsChild>
                <w:div w:id="1429930979">
                  <w:marLeft w:val="0"/>
                  <w:marRight w:val="0"/>
                  <w:marTop w:val="0"/>
                  <w:marBottom w:val="0"/>
                  <w:divBdr>
                    <w:top w:val="none" w:sz="0" w:space="0" w:color="auto"/>
                    <w:left w:val="none" w:sz="0" w:space="0" w:color="auto"/>
                    <w:bottom w:val="none" w:sz="0" w:space="0" w:color="auto"/>
                    <w:right w:val="none" w:sz="0" w:space="0" w:color="auto"/>
                  </w:divBdr>
                  <w:divsChild>
                    <w:div w:id="2131118778">
                      <w:marLeft w:val="0"/>
                      <w:marRight w:val="0"/>
                      <w:marTop w:val="0"/>
                      <w:marBottom w:val="0"/>
                      <w:divBdr>
                        <w:top w:val="none" w:sz="0" w:space="0" w:color="auto"/>
                        <w:left w:val="none" w:sz="0" w:space="0" w:color="auto"/>
                        <w:bottom w:val="none" w:sz="0" w:space="0" w:color="auto"/>
                        <w:right w:val="none" w:sz="0" w:space="0" w:color="auto"/>
                      </w:divBdr>
                      <w:divsChild>
                        <w:div w:id="1538619420">
                          <w:marLeft w:val="0"/>
                          <w:marRight w:val="0"/>
                          <w:marTop w:val="0"/>
                          <w:marBottom w:val="0"/>
                          <w:divBdr>
                            <w:top w:val="none" w:sz="0" w:space="0" w:color="auto"/>
                            <w:left w:val="none" w:sz="0" w:space="0" w:color="auto"/>
                            <w:bottom w:val="none" w:sz="0" w:space="0" w:color="auto"/>
                            <w:right w:val="none" w:sz="0" w:space="0" w:color="auto"/>
                          </w:divBdr>
                          <w:divsChild>
                            <w:div w:id="1418097281">
                              <w:marLeft w:val="0"/>
                              <w:marRight w:val="0"/>
                              <w:marTop w:val="0"/>
                              <w:marBottom w:val="0"/>
                              <w:divBdr>
                                <w:top w:val="none" w:sz="0" w:space="0" w:color="auto"/>
                                <w:left w:val="none" w:sz="0" w:space="0" w:color="auto"/>
                                <w:bottom w:val="none" w:sz="0" w:space="0" w:color="auto"/>
                                <w:right w:val="none" w:sz="0" w:space="0" w:color="auto"/>
                              </w:divBdr>
                              <w:divsChild>
                                <w:div w:id="988020858">
                                  <w:marLeft w:val="0"/>
                                  <w:marRight w:val="0"/>
                                  <w:marTop w:val="0"/>
                                  <w:marBottom w:val="0"/>
                                  <w:divBdr>
                                    <w:top w:val="none" w:sz="0" w:space="0" w:color="auto"/>
                                    <w:left w:val="none" w:sz="0" w:space="0" w:color="auto"/>
                                    <w:bottom w:val="none" w:sz="0" w:space="0" w:color="auto"/>
                                    <w:right w:val="none" w:sz="0" w:space="0" w:color="auto"/>
                                  </w:divBdr>
                                  <w:divsChild>
                                    <w:div w:id="2000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E0CD-5506-4980-97B1-34D8669E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2160</Words>
  <Characters>10336</Characters>
  <Application>Microsoft Office Word</Application>
  <DocSecurity>0</DocSecurity>
  <Lines>86</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2018-07-19T12:53:00Z</dcterms:created>
  <dcterms:modified xsi:type="dcterms:W3CDTF">2018-07-19T12:54:00Z</dcterms:modified>
</cp:coreProperties>
</file>