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FF17AF" w:rsidP="006B6451">
      <w:pPr>
        <w:jc w:val="center"/>
        <w:rPr>
          <w:rFonts w:ascii="Book Antiqua" w:hAnsi="Book Antiqua" w:cs="Arial"/>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175BCE" w:rsidRDefault="006B6451" w:rsidP="00B626FA">
      <w:pPr>
        <w:tabs>
          <w:tab w:val="right" w:pos="9639"/>
        </w:tabs>
        <w:rPr>
          <w:rFonts w:ascii="Book Antiqua" w:hAnsi="Book Antiqua" w:cs="Arial"/>
          <w:b/>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175BCE">
        <w:rPr>
          <w:rFonts w:ascii="Book Antiqua" w:hAnsi="Book Antiqua" w:cs="Arial"/>
          <w:b/>
        </w:rPr>
        <w:t xml:space="preserve">   </w:t>
      </w:r>
      <w:proofErr w:type="gramEnd"/>
      <w:r w:rsidR="00175BCE">
        <w:rPr>
          <w:rFonts w:ascii="Book Antiqua" w:hAnsi="Book Antiqua" w:cs="Arial"/>
          <w:b/>
        </w:rPr>
        <w:t xml:space="preserve">                     </w:t>
      </w:r>
      <w:r w:rsidR="00B3524D" w:rsidRPr="00175BCE">
        <w:rPr>
          <w:rFonts w:ascii="Book Antiqua" w:hAnsi="Book Antiqua" w:cs="Arial"/>
          <w:b/>
        </w:rPr>
        <w:t>Appeal Number</w:t>
      </w:r>
      <w:r w:rsidR="00D53769" w:rsidRPr="00175BCE">
        <w:rPr>
          <w:rFonts w:ascii="Book Antiqua" w:hAnsi="Book Antiqua" w:cs="Arial"/>
          <w:b/>
        </w:rPr>
        <w:t>:</w:t>
      </w:r>
      <w:r w:rsidR="00B3524D" w:rsidRPr="00175BCE">
        <w:rPr>
          <w:rFonts w:ascii="Book Antiqua" w:hAnsi="Book Antiqua" w:cs="Arial"/>
          <w:b/>
        </w:rPr>
        <w:t xml:space="preserve"> </w:t>
      </w:r>
      <w:r w:rsidR="00FF17AF" w:rsidRPr="00175BCE">
        <w:rPr>
          <w:rFonts w:ascii="Book Antiqua" w:hAnsi="Book Antiqua" w:cs="Arial"/>
          <w:b/>
          <w:caps/>
        </w:rPr>
        <w:t>hu/10219/2016</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C01D77" w:rsidTr="00175BCE">
        <w:tc>
          <w:tcPr>
            <w:tcW w:w="5245"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5D5A73">
              <w:rPr>
                <w:rFonts w:ascii="Book Antiqua" w:hAnsi="Book Antiqua" w:cs="Arial"/>
                <w:b/>
              </w:rPr>
              <w:t xml:space="preserve">Field House </w:t>
            </w:r>
          </w:p>
        </w:tc>
        <w:tc>
          <w:tcPr>
            <w:tcW w:w="4763" w:type="dxa"/>
          </w:tcPr>
          <w:p w:rsidR="00D22636" w:rsidRPr="00C01D77" w:rsidRDefault="00175BCE" w:rsidP="004A1848">
            <w:pPr>
              <w:jc w:val="both"/>
              <w:rPr>
                <w:rFonts w:ascii="Book Antiqua" w:hAnsi="Book Antiqua" w:cs="Arial"/>
                <w:b/>
              </w:rPr>
            </w:pPr>
            <w:r>
              <w:rPr>
                <w:rFonts w:ascii="Book Antiqua" w:hAnsi="Book Antiqua" w:cs="Arial"/>
                <w:b/>
              </w:rPr>
              <w:t xml:space="preserve"> </w:t>
            </w:r>
            <w:r w:rsidR="00073E80">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175BCE">
        <w:tc>
          <w:tcPr>
            <w:tcW w:w="5245"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18671D">
              <w:rPr>
                <w:rFonts w:ascii="Book Antiqua" w:hAnsi="Book Antiqua" w:cs="Arial"/>
                <w:b/>
              </w:rPr>
              <w:t>14</w:t>
            </w:r>
            <w:r w:rsidR="0018671D">
              <w:rPr>
                <w:rFonts w:ascii="Book Antiqua" w:hAnsi="Book Antiqua" w:cs="Arial"/>
                <w:b/>
                <w:vertAlign w:val="superscript"/>
              </w:rPr>
              <w:t xml:space="preserve">th </w:t>
            </w:r>
            <w:r w:rsidR="0018671D">
              <w:rPr>
                <w:rFonts w:ascii="Book Antiqua" w:hAnsi="Book Antiqua" w:cs="Arial"/>
                <w:b/>
              </w:rPr>
              <w:t>May 2018</w:t>
            </w:r>
          </w:p>
        </w:tc>
        <w:tc>
          <w:tcPr>
            <w:tcW w:w="4763" w:type="dxa"/>
          </w:tcPr>
          <w:p w:rsidR="00D22636" w:rsidRPr="00C01D77" w:rsidRDefault="00175BCE" w:rsidP="004A1848">
            <w:pPr>
              <w:jc w:val="both"/>
              <w:rPr>
                <w:rFonts w:ascii="Book Antiqua" w:hAnsi="Book Antiqua" w:cs="Arial"/>
                <w:b/>
              </w:rPr>
            </w:pPr>
            <w:r>
              <w:rPr>
                <w:rFonts w:ascii="Book Antiqua" w:hAnsi="Book Antiqua" w:cs="Arial"/>
                <w:b/>
              </w:rPr>
              <w:t xml:space="preserve"> </w:t>
            </w:r>
            <w:r w:rsidR="00EF4E8F">
              <w:rPr>
                <w:rFonts w:ascii="Book Antiqua" w:hAnsi="Book Antiqua" w:cs="Arial"/>
                <w:b/>
              </w:rPr>
              <w:t>On 22</w:t>
            </w:r>
            <w:r w:rsidR="00EF4E8F" w:rsidRPr="00EF4E8F">
              <w:rPr>
                <w:rFonts w:ascii="Book Antiqua" w:hAnsi="Book Antiqua" w:cs="Arial"/>
                <w:b/>
                <w:vertAlign w:val="superscript"/>
              </w:rPr>
              <w:t>nd</w:t>
            </w:r>
            <w:r w:rsidR="00EF4E8F">
              <w:rPr>
                <w:rFonts w:ascii="Book Antiqua" w:hAnsi="Book Antiqua" w:cs="Arial"/>
                <w:b/>
              </w:rPr>
              <w:t xml:space="preserve"> May 2018</w:t>
            </w:r>
          </w:p>
        </w:tc>
      </w:tr>
      <w:tr w:rsidR="00D22636" w:rsidRPr="00C01D77" w:rsidTr="00175BCE">
        <w:tc>
          <w:tcPr>
            <w:tcW w:w="5245" w:type="dxa"/>
          </w:tcPr>
          <w:p w:rsidR="00D22636" w:rsidRPr="00C01D77" w:rsidRDefault="00D22636" w:rsidP="004A1848">
            <w:pPr>
              <w:jc w:val="both"/>
              <w:rPr>
                <w:rFonts w:ascii="Book Antiqua" w:hAnsi="Book Antiqua" w:cs="Arial"/>
                <w:b/>
              </w:rPr>
            </w:pPr>
          </w:p>
        </w:tc>
        <w:tc>
          <w:tcPr>
            <w:tcW w:w="4763"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18671D" w:rsidP="00742A8D">
      <w:pPr>
        <w:jc w:val="center"/>
        <w:rPr>
          <w:rFonts w:ascii="Book Antiqua" w:hAnsi="Book Antiqua" w:cs="Arial"/>
          <w:b/>
          <w:caps/>
        </w:rPr>
      </w:pPr>
      <w:r>
        <w:rPr>
          <w:rFonts w:ascii="Book Antiqua" w:hAnsi="Book Antiqua" w:cs="Arial"/>
          <w:b/>
          <w:caps/>
        </w:rPr>
        <w:t>sabar ghani</w:t>
      </w:r>
    </w:p>
    <w:p w:rsidR="00073E80" w:rsidRPr="00175BCE" w:rsidRDefault="00073E80" w:rsidP="00073E80">
      <w:pPr>
        <w:jc w:val="center"/>
        <w:rPr>
          <w:rFonts w:ascii="Book Antiqua" w:hAnsi="Book Antiqua" w:cs="Arial"/>
          <w:caps/>
        </w:rPr>
      </w:pPr>
      <w:r w:rsidRPr="00175BCE">
        <w:rPr>
          <w:rFonts w:ascii="Book Antiqua" w:hAnsi="Book Antiqua" w:cs="Arial"/>
          <w:caps/>
        </w:rPr>
        <w:t xml:space="preserve">(ANONYMITY DIRECTION </w:t>
      </w:r>
      <w:r w:rsidR="000D416D" w:rsidRPr="00175BCE">
        <w:rPr>
          <w:rFonts w:ascii="Book Antiqua" w:hAnsi="Book Antiqua" w:cs="Arial"/>
          <w:caps/>
        </w:rPr>
        <w:t>not made</w:t>
      </w:r>
      <w:r w:rsidRPr="00175BCE">
        <w:rPr>
          <w:rFonts w:ascii="Book Antiqua" w:hAnsi="Book Antiqua" w:cs="Arial"/>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C01D77" w:rsidRDefault="00175BCE" w:rsidP="00704B61">
      <w:pPr>
        <w:jc w:val="center"/>
        <w:rPr>
          <w:rFonts w:ascii="Book Antiqua" w:hAnsi="Book Antiqua" w:cs="Arial"/>
          <w:b/>
          <w:caps/>
        </w:rPr>
      </w:pPr>
      <w:r>
        <w:rPr>
          <w:rFonts w:ascii="Book Antiqua" w:hAnsi="Book Antiqua" w:cs="Arial"/>
          <w:b/>
          <w:caps/>
        </w:rPr>
        <w:t>ENTRY CLEARANCE OFFICER</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18671D">
        <w:rPr>
          <w:rFonts w:ascii="Book Antiqua" w:hAnsi="Book Antiqua" w:cs="Arial"/>
        </w:rPr>
        <w:t xml:space="preserve">Mr D </w:t>
      </w:r>
      <w:proofErr w:type="spellStart"/>
      <w:r w:rsidR="0018671D">
        <w:rPr>
          <w:rFonts w:ascii="Book Antiqua" w:hAnsi="Book Antiqua" w:cs="Arial"/>
        </w:rPr>
        <w:t>Mold</w:t>
      </w:r>
      <w:proofErr w:type="spellEnd"/>
      <w:r w:rsidR="0018671D">
        <w:rPr>
          <w:rFonts w:ascii="Book Antiqua" w:hAnsi="Book Antiqua" w:cs="Arial"/>
        </w:rPr>
        <w:t xml:space="preserve"> of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372450">
        <w:rPr>
          <w:rFonts w:ascii="Book Antiqua" w:hAnsi="Book Antiqua" w:cs="Arial"/>
        </w:rPr>
        <w:t>Ms</w:t>
      </w:r>
      <w:r w:rsidR="0018671D">
        <w:rPr>
          <w:rFonts w:ascii="Book Antiqua" w:hAnsi="Book Antiqua" w:cs="Arial"/>
        </w:rPr>
        <w:t xml:space="preserve"> K Pal, Senior Home Office Presenting Officer</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073E80" w:rsidRPr="00C01D77" w:rsidRDefault="00073E80" w:rsidP="00402B9E">
      <w:pPr>
        <w:tabs>
          <w:tab w:val="left" w:pos="2520"/>
        </w:tabs>
        <w:jc w:val="both"/>
        <w:rPr>
          <w:rFonts w:ascii="Book Antiqua" w:hAnsi="Book Antiqua" w:cs="Arial"/>
        </w:rPr>
      </w:pPr>
    </w:p>
    <w:p w:rsidR="00E943B7" w:rsidRDefault="0018671D" w:rsidP="00E943B7">
      <w:pPr>
        <w:numPr>
          <w:ilvl w:val="0"/>
          <w:numId w:val="3"/>
        </w:numPr>
        <w:spacing w:before="240"/>
        <w:jc w:val="both"/>
        <w:rPr>
          <w:rFonts w:ascii="Book Antiqua" w:hAnsi="Book Antiqua" w:cs="Arial"/>
        </w:rPr>
      </w:pPr>
      <w:r>
        <w:rPr>
          <w:rFonts w:ascii="Book Antiqua" w:hAnsi="Book Antiqua" w:cs="Arial"/>
        </w:rPr>
        <w:t>The Appellant, a citizen of Pakistan born 7</w:t>
      </w:r>
      <w:r w:rsidRPr="0018671D">
        <w:rPr>
          <w:rFonts w:ascii="Book Antiqua" w:hAnsi="Book Antiqua" w:cs="Arial"/>
          <w:vertAlign w:val="superscript"/>
        </w:rPr>
        <w:t>th</w:t>
      </w:r>
      <w:r>
        <w:rPr>
          <w:rFonts w:ascii="Book Antiqua" w:hAnsi="Book Antiqua" w:cs="Arial"/>
        </w:rPr>
        <w:t xml:space="preserve"> November 1989, appeals with permission against the decision of Judge of the First-tier Tribunal Parkes, promulgated on 22</w:t>
      </w:r>
      <w:r w:rsidRPr="0018671D">
        <w:rPr>
          <w:rFonts w:ascii="Book Antiqua" w:hAnsi="Book Antiqua" w:cs="Arial"/>
          <w:vertAlign w:val="superscript"/>
        </w:rPr>
        <w:t>nd</w:t>
      </w:r>
      <w:r>
        <w:rPr>
          <w:rFonts w:ascii="Book Antiqua" w:hAnsi="Book Antiqua" w:cs="Arial"/>
        </w:rPr>
        <w:t> August 2017 in which he dismissed the Appellant’s appeal against the Entry Clearance Officer’s</w:t>
      </w:r>
      <w:r w:rsidR="00C72CDC">
        <w:rPr>
          <w:rFonts w:ascii="Book Antiqua" w:hAnsi="Book Antiqua" w:cs="Arial"/>
        </w:rPr>
        <w:t xml:space="preserve"> </w:t>
      </w:r>
      <w:r>
        <w:rPr>
          <w:rFonts w:ascii="Book Antiqua" w:hAnsi="Book Antiqua" w:cs="Arial"/>
        </w:rPr>
        <w:t>decision of 21</w:t>
      </w:r>
      <w:r w:rsidRPr="0018671D">
        <w:rPr>
          <w:rFonts w:ascii="Book Antiqua" w:hAnsi="Book Antiqua" w:cs="Arial"/>
          <w:vertAlign w:val="superscript"/>
        </w:rPr>
        <w:t>st</w:t>
      </w:r>
      <w:r w:rsidR="00C72CDC">
        <w:rPr>
          <w:rFonts w:ascii="Book Antiqua" w:hAnsi="Book Antiqua" w:cs="Arial"/>
        </w:rPr>
        <w:t xml:space="preserve"> March 2016 refusing</w:t>
      </w:r>
      <w:r>
        <w:rPr>
          <w:rFonts w:ascii="Book Antiqua" w:hAnsi="Book Antiqua" w:cs="Arial"/>
        </w:rPr>
        <w:t xml:space="preserve"> entry clearance</w:t>
      </w:r>
      <w:r w:rsidR="00C72CDC">
        <w:rPr>
          <w:rFonts w:ascii="Book Antiqua" w:hAnsi="Book Antiqua" w:cs="Arial"/>
        </w:rPr>
        <w:t xml:space="preserve"> to him</w:t>
      </w:r>
      <w:r>
        <w:rPr>
          <w:rFonts w:ascii="Book Antiqua" w:hAnsi="Book Antiqua" w:cs="Arial"/>
        </w:rPr>
        <w:t xml:space="preserve"> as the husband of Shanaz Begum (the Sponsor).  The Sponsor is a British citizen</w:t>
      </w:r>
      <w:r w:rsidR="00C72CDC">
        <w:rPr>
          <w:rFonts w:ascii="Book Antiqua" w:hAnsi="Book Antiqua" w:cs="Arial"/>
        </w:rPr>
        <w:t xml:space="preserve">. </w:t>
      </w:r>
      <w:r w:rsidR="00372450">
        <w:rPr>
          <w:rFonts w:ascii="Book Antiqua" w:hAnsi="Book Antiqua" w:cs="Arial"/>
        </w:rPr>
        <w:t xml:space="preserve"> </w:t>
      </w:r>
      <w:r w:rsidR="00C72CDC">
        <w:rPr>
          <w:rFonts w:ascii="Book Antiqua" w:hAnsi="Book Antiqua" w:cs="Arial"/>
        </w:rPr>
        <w:t>S</w:t>
      </w:r>
      <w:r>
        <w:rPr>
          <w:rFonts w:ascii="Book Antiqua" w:hAnsi="Book Antiqua" w:cs="Arial"/>
        </w:rPr>
        <w:t>he and the Appellant married in Pakistan on 9</w:t>
      </w:r>
      <w:r w:rsidRPr="0018671D">
        <w:rPr>
          <w:rFonts w:ascii="Book Antiqua" w:hAnsi="Book Antiqua" w:cs="Arial"/>
          <w:vertAlign w:val="superscript"/>
        </w:rPr>
        <w:t>th</w:t>
      </w:r>
      <w:r>
        <w:rPr>
          <w:rFonts w:ascii="Book Antiqua" w:hAnsi="Book Antiqua" w:cs="Arial"/>
        </w:rPr>
        <w:t xml:space="preserve"> August 2014.  </w:t>
      </w:r>
    </w:p>
    <w:p w:rsidR="0018671D" w:rsidRDefault="0018671D" w:rsidP="00E943B7">
      <w:pPr>
        <w:numPr>
          <w:ilvl w:val="0"/>
          <w:numId w:val="3"/>
        </w:numPr>
        <w:spacing w:before="240"/>
        <w:jc w:val="both"/>
        <w:rPr>
          <w:rFonts w:ascii="Book Antiqua" w:hAnsi="Book Antiqua" w:cs="Arial"/>
        </w:rPr>
      </w:pPr>
      <w:r>
        <w:rPr>
          <w:rFonts w:ascii="Book Antiqua" w:hAnsi="Book Antiqua" w:cs="Arial"/>
        </w:rPr>
        <w:t>The appli</w:t>
      </w:r>
      <w:r w:rsidR="00C72CDC">
        <w:rPr>
          <w:rFonts w:ascii="Book Antiqua" w:hAnsi="Book Antiqua" w:cs="Arial"/>
        </w:rPr>
        <w:t xml:space="preserve">cation for entry was </w:t>
      </w:r>
      <w:r>
        <w:rPr>
          <w:rFonts w:ascii="Book Antiqua" w:hAnsi="Book Antiqua" w:cs="Arial"/>
        </w:rPr>
        <w:t>refused</w:t>
      </w:r>
      <w:r w:rsidR="00C72CDC">
        <w:rPr>
          <w:rFonts w:ascii="Book Antiqua" w:hAnsi="Book Antiqua" w:cs="Arial"/>
        </w:rPr>
        <w:t xml:space="preserve"> originally</w:t>
      </w:r>
      <w:r>
        <w:rPr>
          <w:rFonts w:ascii="Book Antiqua" w:hAnsi="Book Antiqua" w:cs="Arial"/>
        </w:rPr>
        <w:t xml:space="preserve"> because the </w:t>
      </w:r>
      <w:r w:rsidR="00372450">
        <w:rPr>
          <w:rFonts w:ascii="Book Antiqua" w:hAnsi="Book Antiqua" w:cs="Arial"/>
        </w:rPr>
        <w:t>Entry Clearance Officer (</w:t>
      </w:r>
      <w:r>
        <w:rPr>
          <w:rFonts w:ascii="Book Antiqua" w:hAnsi="Book Antiqua" w:cs="Arial"/>
        </w:rPr>
        <w:t>ECO</w:t>
      </w:r>
      <w:r w:rsidR="00372450">
        <w:rPr>
          <w:rFonts w:ascii="Book Antiqua" w:hAnsi="Book Antiqua" w:cs="Arial"/>
        </w:rPr>
        <w:t>)</w:t>
      </w:r>
      <w:r>
        <w:rPr>
          <w:rFonts w:ascii="Book Antiqua" w:hAnsi="Book Antiqua" w:cs="Arial"/>
        </w:rPr>
        <w:t xml:space="preserve"> was not satisfie</w:t>
      </w:r>
      <w:r w:rsidR="00C72CDC">
        <w:rPr>
          <w:rFonts w:ascii="Book Antiqua" w:hAnsi="Book Antiqua" w:cs="Arial"/>
        </w:rPr>
        <w:t xml:space="preserve">d on various matters. </w:t>
      </w:r>
      <w:r w:rsidR="00372450">
        <w:rPr>
          <w:rFonts w:ascii="Book Antiqua" w:hAnsi="Book Antiqua" w:cs="Arial"/>
        </w:rPr>
        <w:t xml:space="preserve"> </w:t>
      </w:r>
      <w:r w:rsidR="00C72CDC">
        <w:rPr>
          <w:rFonts w:ascii="Book Antiqua" w:hAnsi="Book Antiqua" w:cs="Arial"/>
        </w:rPr>
        <w:t>B</w:t>
      </w:r>
      <w:r>
        <w:rPr>
          <w:rFonts w:ascii="Book Antiqua" w:hAnsi="Book Antiqua" w:cs="Arial"/>
        </w:rPr>
        <w:t>y the time of the hearing before me</w:t>
      </w:r>
      <w:r w:rsidR="00C72CDC">
        <w:rPr>
          <w:rFonts w:ascii="Book Antiqua" w:hAnsi="Book Antiqua" w:cs="Arial"/>
        </w:rPr>
        <w:t xml:space="preserve"> however</w:t>
      </w:r>
      <w:r>
        <w:rPr>
          <w:rFonts w:ascii="Book Antiqua" w:hAnsi="Book Antiqua" w:cs="Arial"/>
        </w:rPr>
        <w:t>, it was accept</w:t>
      </w:r>
      <w:r w:rsidR="00C72CDC">
        <w:rPr>
          <w:rFonts w:ascii="Book Antiqua" w:hAnsi="Book Antiqua" w:cs="Arial"/>
        </w:rPr>
        <w:t>ed that the only point in issue</w:t>
      </w:r>
      <w:r>
        <w:rPr>
          <w:rFonts w:ascii="Book Antiqua" w:hAnsi="Book Antiqua" w:cs="Arial"/>
        </w:rPr>
        <w:t xml:space="preserve"> centred on whether the Appellant </w:t>
      </w:r>
      <w:r>
        <w:rPr>
          <w:rFonts w:ascii="Book Antiqua" w:hAnsi="Book Antiqua" w:cs="Arial"/>
        </w:rPr>
        <w:lastRenderedPageBreak/>
        <w:t>and Sponsor are in a genuine and subsisting relationship within the meaning of the Immigration Rules.</w:t>
      </w:r>
    </w:p>
    <w:p w:rsidR="0018671D" w:rsidRDefault="0018671D" w:rsidP="00E943B7">
      <w:pPr>
        <w:numPr>
          <w:ilvl w:val="0"/>
          <w:numId w:val="3"/>
        </w:numPr>
        <w:spacing w:before="240"/>
        <w:jc w:val="both"/>
        <w:rPr>
          <w:rFonts w:ascii="Book Antiqua" w:hAnsi="Book Antiqua" w:cs="Arial"/>
        </w:rPr>
      </w:pPr>
      <w:r>
        <w:rPr>
          <w:rFonts w:ascii="Book Antiqua" w:hAnsi="Book Antiqua" w:cs="Arial"/>
        </w:rPr>
        <w:t>It is correct to say that the FtTJ did not accept that the marriage</w:t>
      </w:r>
      <w:r w:rsidR="00C72CDC">
        <w:rPr>
          <w:rFonts w:ascii="Book Antiqua" w:hAnsi="Book Antiqua" w:cs="Arial"/>
        </w:rPr>
        <w:t xml:space="preserve"> between the Appellant and Sponsor</w:t>
      </w:r>
      <w:r>
        <w:rPr>
          <w:rFonts w:ascii="Book Antiqua" w:hAnsi="Book Antiqua" w:cs="Arial"/>
        </w:rPr>
        <w:t xml:space="preserve"> is subsisting.  He heard evidence from the Sponsor and her father.  In coming to his decision, the FtTJ focused his attention on </w:t>
      </w:r>
      <w:r w:rsidR="005D5A73">
        <w:rPr>
          <w:rFonts w:ascii="Book Antiqua" w:hAnsi="Book Antiqua" w:cs="Arial"/>
        </w:rPr>
        <w:t>post</w:t>
      </w:r>
      <w:r w:rsidR="00372450">
        <w:rPr>
          <w:rFonts w:ascii="Book Antiqua" w:hAnsi="Book Antiqua" w:cs="Arial"/>
        </w:rPr>
        <w:t>-</w:t>
      </w:r>
      <w:r w:rsidR="005D5A73">
        <w:rPr>
          <w:rFonts w:ascii="Book Antiqua" w:hAnsi="Book Antiqua" w:cs="Arial"/>
        </w:rPr>
        <w:t>decision</w:t>
      </w:r>
      <w:r>
        <w:rPr>
          <w:rFonts w:ascii="Book Antiqua" w:hAnsi="Book Antiqua" w:cs="Arial"/>
        </w:rPr>
        <w:t xml:space="preserve"> evidence which</w:t>
      </w:r>
      <w:r w:rsidR="00C72CDC">
        <w:rPr>
          <w:rFonts w:ascii="Book Antiqua" w:hAnsi="Book Antiqua" w:cs="Arial"/>
        </w:rPr>
        <w:t xml:space="preserve"> he noted was</w:t>
      </w:r>
      <w:r>
        <w:rPr>
          <w:rFonts w:ascii="Book Antiqua" w:hAnsi="Book Antiqua" w:cs="Arial"/>
        </w:rPr>
        <w:t xml:space="preserve"> in the form of phone records and mo</w:t>
      </w:r>
      <w:r w:rsidR="00C72CDC">
        <w:rPr>
          <w:rFonts w:ascii="Book Antiqua" w:hAnsi="Book Antiqua" w:cs="Arial"/>
        </w:rPr>
        <w:t>bile call cards [</w:t>
      </w:r>
      <w:proofErr w:type="gramStart"/>
      <w:r w:rsidR="00C72CDC">
        <w:rPr>
          <w:rFonts w:ascii="Book Antiqua" w:hAnsi="Book Antiqua" w:cs="Arial"/>
        </w:rPr>
        <w:t>17][</w:t>
      </w:r>
      <w:proofErr w:type="gramEnd"/>
      <w:r w:rsidR="00C72CDC">
        <w:rPr>
          <w:rFonts w:ascii="Book Antiqua" w:hAnsi="Book Antiqua" w:cs="Arial"/>
        </w:rPr>
        <w:t>18].  The FtTJ made no reference in his</w:t>
      </w:r>
      <w:r>
        <w:rPr>
          <w:rFonts w:ascii="Book Antiqua" w:hAnsi="Book Antiqua" w:cs="Arial"/>
        </w:rPr>
        <w:t xml:space="preserve"> decision to the evidence of a </w:t>
      </w:r>
      <w:r w:rsidR="005D5A73">
        <w:rPr>
          <w:rFonts w:ascii="Book Antiqua" w:hAnsi="Book Antiqua" w:cs="Arial"/>
        </w:rPr>
        <w:t>post</w:t>
      </w:r>
      <w:r w:rsidR="00372450">
        <w:rPr>
          <w:rFonts w:ascii="Book Antiqua" w:hAnsi="Book Antiqua" w:cs="Arial"/>
        </w:rPr>
        <w:t>-</w:t>
      </w:r>
      <w:r w:rsidR="005D5A73">
        <w:rPr>
          <w:rFonts w:ascii="Book Antiqua" w:hAnsi="Book Antiqua" w:cs="Arial"/>
        </w:rPr>
        <w:t>decision</w:t>
      </w:r>
      <w:r>
        <w:rPr>
          <w:rFonts w:ascii="Book Antiqua" w:hAnsi="Book Antiqua" w:cs="Arial"/>
        </w:rPr>
        <w:t xml:space="preserve"> visit made by the Sponsor when she travelled to Pakistan for </w:t>
      </w:r>
      <w:r w:rsidR="00372450">
        <w:rPr>
          <w:rFonts w:ascii="Book Antiqua" w:hAnsi="Book Antiqua" w:cs="Arial"/>
        </w:rPr>
        <w:t>two weeks</w:t>
      </w:r>
      <w:r>
        <w:rPr>
          <w:rFonts w:ascii="Book Antiqua" w:hAnsi="Book Antiqua" w:cs="Arial"/>
        </w:rPr>
        <w:t xml:space="preserve"> between </w:t>
      </w:r>
      <w:r w:rsidR="00922E43">
        <w:rPr>
          <w:rFonts w:ascii="Book Antiqua" w:hAnsi="Book Antiqua" w:cs="Arial"/>
        </w:rPr>
        <w:t>29</w:t>
      </w:r>
      <w:r w:rsidR="00922E43" w:rsidRPr="00922E43">
        <w:rPr>
          <w:rFonts w:ascii="Book Antiqua" w:hAnsi="Book Antiqua" w:cs="Arial"/>
          <w:vertAlign w:val="superscript"/>
        </w:rPr>
        <w:t>th</w:t>
      </w:r>
      <w:r w:rsidR="00922E43">
        <w:rPr>
          <w:rFonts w:ascii="Book Antiqua" w:hAnsi="Book Antiqua" w:cs="Arial"/>
        </w:rPr>
        <w:t xml:space="preserve"> January </w:t>
      </w:r>
      <w:r w:rsidR="00372450">
        <w:rPr>
          <w:rFonts w:ascii="Book Antiqua" w:hAnsi="Book Antiqua" w:cs="Arial"/>
        </w:rPr>
        <w:t>and</w:t>
      </w:r>
      <w:r w:rsidR="00922E43">
        <w:rPr>
          <w:rFonts w:ascii="Book Antiqua" w:hAnsi="Book Antiqua" w:cs="Arial"/>
        </w:rPr>
        <w:t xml:space="preserve"> 12</w:t>
      </w:r>
      <w:r w:rsidR="00922E43" w:rsidRPr="00922E43">
        <w:rPr>
          <w:rFonts w:ascii="Book Antiqua" w:hAnsi="Book Antiqua" w:cs="Arial"/>
          <w:vertAlign w:val="superscript"/>
        </w:rPr>
        <w:t>th</w:t>
      </w:r>
      <w:r w:rsidR="00922E43">
        <w:rPr>
          <w:rFonts w:ascii="Book Antiqua" w:hAnsi="Book Antiqua" w:cs="Arial"/>
        </w:rPr>
        <w:t xml:space="preserve"> February 2017.  This was despite</w:t>
      </w:r>
      <w:r w:rsidR="00C72CDC">
        <w:rPr>
          <w:rFonts w:ascii="Book Antiqua" w:hAnsi="Book Antiqua" w:cs="Arial"/>
        </w:rPr>
        <w:t xml:space="preserve"> oral evidence from the Sponsor supported by documentary evidence in the form of </w:t>
      </w:r>
      <w:r w:rsidR="00372450">
        <w:rPr>
          <w:rFonts w:ascii="Book Antiqua" w:hAnsi="Book Antiqua" w:cs="Arial"/>
        </w:rPr>
        <w:t xml:space="preserve">an </w:t>
      </w:r>
      <w:r w:rsidR="00C72CDC">
        <w:rPr>
          <w:rFonts w:ascii="Book Antiqua" w:hAnsi="Book Antiqua" w:cs="Arial"/>
        </w:rPr>
        <w:t xml:space="preserve">airline ticket and photographs showing the couple together. </w:t>
      </w:r>
      <w:r w:rsidR="008808F5">
        <w:rPr>
          <w:rFonts w:ascii="Book Antiqua" w:hAnsi="Book Antiqua" w:cs="Arial"/>
        </w:rPr>
        <w:t>The FtTJ dismissed the appeal.</w:t>
      </w:r>
    </w:p>
    <w:p w:rsidR="00364AF7" w:rsidRPr="00364AF7" w:rsidRDefault="00922E43" w:rsidP="00364AF7">
      <w:pPr>
        <w:numPr>
          <w:ilvl w:val="0"/>
          <w:numId w:val="3"/>
        </w:numPr>
        <w:spacing w:before="240"/>
        <w:jc w:val="both"/>
        <w:rPr>
          <w:rFonts w:ascii="Book Antiqua" w:hAnsi="Book Antiqua" w:cs="Arial"/>
        </w:rPr>
      </w:pPr>
      <w:r>
        <w:rPr>
          <w:rFonts w:ascii="Book Antiqua" w:hAnsi="Book Antiqua" w:cs="Arial"/>
        </w:rPr>
        <w:t>The grounds</w:t>
      </w:r>
      <w:r w:rsidR="008808F5">
        <w:rPr>
          <w:rFonts w:ascii="Book Antiqua" w:hAnsi="Book Antiqua" w:cs="Arial"/>
        </w:rPr>
        <w:t xml:space="preserve"> seeking permission outline the failure to</w:t>
      </w:r>
      <w:r w:rsidR="00C234FC">
        <w:rPr>
          <w:rFonts w:ascii="Book Antiqua" w:hAnsi="Book Antiqua" w:cs="Arial"/>
        </w:rPr>
        <w:t xml:space="preserve"> consider material evidence and</w:t>
      </w:r>
      <w:r w:rsidR="008808F5">
        <w:rPr>
          <w:rFonts w:ascii="Book Antiqua" w:hAnsi="Book Antiqua" w:cs="Arial"/>
        </w:rPr>
        <w:t xml:space="preserve"> give</w:t>
      </w:r>
      <w:r w:rsidR="00372450">
        <w:rPr>
          <w:rFonts w:ascii="Book Antiqua" w:hAnsi="Book Antiqua" w:cs="Arial"/>
        </w:rPr>
        <w:t>s</w:t>
      </w:r>
      <w:r>
        <w:rPr>
          <w:rFonts w:ascii="Book Antiqua" w:hAnsi="Book Antiqua" w:cs="Arial"/>
        </w:rPr>
        <w:t xml:space="preserve"> reasons </w:t>
      </w:r>
      <w:r w:rsidR="00372450">
        <w:rPr>
          <w:rFonts w:ascii="Book Antiqua" w:hAnsi="Book Antiqua" w:cs="Arial"/>
        </w:rPr>
        <w:t xml:space="preserve">as to </w:t>
      </w:r>
      <w:r>
        <w:rPr>
          <w:rFonts w:ascii="Book Antiqua" w:hAnsi="Book Antiqua" w:cs="Arial"/>
        </w:rPr>
        <w:t>why the decision is unsustainable on account of</w:t>
      </w:r>
      <w:r w:rsidR="008808F5">
        <w:rPr>
          <w:rFonts w:ascii="Book Antiqua" w:hAnsi="Book Antiqua" w:cs="Arial"/>
        </w:rPr>
        <w:t xml:space="preserve"> that failure. </w:t>
      </w:r>
      <w:r w:rsidR="00F85A72">
        <w:rPr>
          <w:rFonts w:ascii="Book Antiqua" w:hAnsi="Book Antiqua" w:cs="Arial"/>
        </w:rPr>
        <w:t xml:space="preserve"> </w:t>
      </w:r>
      <w:r>
        <w:rPr>
          <w:rFonts w:ascii="Book Antiqua" w:hAnsi="Book Antiqua" w:cs="Arial"/>
        </w:rPr>
        <w:t>Permission was</w:t>
      </w:r>
      <w:r w:rsidR="00372450">
        <w:rPr>
          <w:rFonts w:ascii="Book Antiqua" w:hAnsi="Book Antiqua" w:cs="Arial"/>
        </w:rPr>
        <w:t xml:space="preserve"> granted on the following points:</w:t>
      </w:r>
    </w:p>
    <w:p w:rsidR="00BB0651" w:rsidRDefault="00922E43" w:rsidP="00364AF7">
      <w:pPr>
        <w:numPr>
          <w:ilvl w:val="1"/>
          <w:numId w:val="21"/>
        </w:numPr>
        <w:spacing w:before="240"/>
        <w:jc w:val="both"/>
        <w:rPr>
          <w:rFonts w:ascii="Book Antiqua" w:hAnsi="Book Antiqua" w:cs="Arial"/>
        </w:rPr>
      </w:pPr>
      <w:r>
        <w:rPr>
          <w:rFonts w:ascii="Book Antiqua" w:hAnsi="Book Antiqua" w:cs="Arial"/>
        </w:rPr>
        <w:t>It was arguable that the judge’s evidential findings were not sustainable, as being contrary to both the oral evidence given to him at the hearing and the documentary evidence contained in the Appellant’s bundle.  This was on the basis that no reference was made in the decision</w:t>
      </w:r>
      <w:r w:rsidR="00BB0651">
        <w:rPr>
          <w:rFonts w:ascii="Book Antiqua" w:hAnsi="Book Antiqua" w:cs="Arial"/>
        </w:rPr>
        <w:t xml:space="preserve"> to the Sponsor’s evidence that she had visited Pakistan to see her husband between January and February 2017.  </w:t>
      </w:r>
    </w:p>
    <w:p w:rsidR="00922E43" w:rsidRDefault="00BB0651" w:rsidP="00364AF7">
      <w:pPr>
        <w:numPr>
          <w:ilvl w:val="1"/>
          <w:numId w:val="21"/>
        </w:numPr>
        <w:spacing w:before="240"/>
        <w:jc w:val="both"/>
        <w:rPr>
          <w:rFonts w:ascii="Book Antiqua" w:hAnsi="Book Antiqua" w:cs="Arial"/>
        </w:rPr>
      </w:pPr>
      <w:r>
        <w:rPr>
          <w:rFonts w:ascii="Book Antiqua" w:hAnsi="Book Antiqua" w:cs="Arial"/>
        </w:rPr>
        <w:t>It was arguable that the ju</w:t>
      </w:r>
      <w:r w:rsidR="00372450">
        <w:rPr>
          <w:rFonts w:ascii="Book Antiqua" w:hAnsi="Book Antiqua" w:cs="Arial"/>
        </w:rPr>
        <w:t>dge had erred by not clarifying</w:t>
      </w:r>
      <w:r>
        <w:rPr>
          <w:rFonts w:ascii="Book Antiqua" w:hAnsi="Book Antiqua" w:cs="Arial"/>
        </w:rPr>
        <w:t xml:space="preserve"> apparent inconsistencies between the Sponsor’s statement and her oral evidence, concerning whether a mobile or landline was used for telephone contact. </w:t>
      </w:r>
    </w:p>
    <w:p w:rsidR="00BB0651" w:rsidRDefault="00BB0651" w:rsidP="00364AF7">
      <w:pPr>
        <w:numPr>
          <w:ilvl w:val="1"/>
          <w:numId w:val="21"/>
        </w:numPr>
        <w:spacing w:before="240"/>
        <w:jc w:val="both"/>
        <w:rPr>
          <w:rFonts w:ascii="Book Antiqua" w:hAnsi="Book Antiqua" w:cs="Arial"/>
        </w:rPr>
      </w:pPr>
      <w:r>
        <w:rPr>
          <w:rFonts w:ascii="Book Antiqua" w:hAnsi="Book Antiqua" w:cs="Arial"/>
        </w:rPr>
        <w:t xml:space="preserve">Overall, there was an inadequacy of a structured Article 8 </w:t>
      </w:r>
      <w:r>
        <w:rPr>
          <w:rFonts w:ascii="Book Antiqua" w:hAnsi="Book Antiqua" w:cs="Arial"/>
          <w:b/>
          <w:u w:val="single"/>
        </w:rPr>
        <w:t>Razgar</w:t>
      </w:r>
      <w:r>
        <w:rPr>
          <w:rFonts w:ascii="Book Antiqua" w:hAnsi="Book Antiqua" w:cs="Arial"/>
        </w:rPr>
        <w:t xml:space="preserve"> assessment.  </w:t>
      </w:r>
    </w:p>
    <w:p w:rsidR="00BB0651" w:rsidRDefault="00BB0651" w:rsidP="00BB0651">
      <w:pPr>
        <w:numPr>
          <w:ilvl w:val="0"/>
          <w:numId w:val="3"/>
        </w:numPr>
        <w:spacing w:before="240"/>
        <w:jc w:val="both"/>
        <w:rPr>
          <w:rFonts w:ascii="Book Antiqua" w:hAnsi="Book Antiqua" w:cs="Arial"/>
        </w:rPr>
      </w:pPr>
      <w:r>
        <w:rPr>
          <w:rFonts w:ascii="Book Antiqua" w:hAnsi="Book Antiqua" w:cs="Arial"/>
        </w:rPr>
        <w:t>A Rule 24 response was served by the Respondent, the relevant part of which reads as follows:</w:t>
      </w:r>
    </w:p>
    <w:p w:rsidR="00BB0651" w:rsidRDefault="00372450" w:rsidP="00BB0651">
      <w:pPr>
        <w:spacing w:before="240"/>
        <w:ind w:left="1134"/>
        <w:jc w:val="both"/>
        <w:rPr>
          <w:rFonts w:ascii="Book Antiqua" w:hAnsi="Book Antiqua" w:cs="Arial"/>
        </w:rPr>
      </w:pPr>
      <w:r>
        <w:rPr>
          <w:rFonts w:ascii="Book Antiqua" w:hAnsi="Book Antiqua" w:cs="Arial"/>
        </w:rPr>
        <w:t>“The r</w:t>
      </w:r>
      <w:r w:rsidR="00BB0651">
        <w:rPr>
          <w:rFonts w:ascii="Book Antiqua" w:hAnsi="Book Antiqua" w:cs="Arial"/>
        </w:rPr>
        <w:t xml:space="preserve">espondent does not </w:t>
      </w:r>
      <w:r>
        <w:rPr>
          <w:rFonts w:ascii="Book Antiqua" w:hAnsi="Book Antiqua" w:cs="Arial"/>
        </w:rPr>
        <w:t>oppose the a</w:t>
      </w:r>
      <w:r w:rsidR="00BB0651">
        <w:rPr>
          <w:rFonts w:ascii="Book Antiqua" w:hAnsi="Book Antiqua" w:cs="Arial"/>
        </w:rPr>
        <w:t>ppellant’s application for permission to appeal and invites the Tribunal to determine the appeal with a fresh oral (continuance) h</w:t>
      </w:r>
      <w:r>
        <w:rPr>
          <w:rFonts w:ascii="Book Antiqua" w:hAnsi="Book Antiqua" w:cs="Arial"/>
        </w:rPr>
        <w:t>earing to consider whether the a</w:t>
      </w:r>
      <w:r w:rsidR="00BB0651">
        <w:rPr>
          <w:rFonts w:ascii="Book Antiqua" w:hAnsi="Book Antiqua" w:cs="Arial"/>
        </w:rPr>
        <w:t xml:space="preserve">ppellant and </w:t>
      </w:r>
      <w:r>
        <w:rPr>
          <w:rFonts w:ascii="Book Antiqua" w:hAnsi="Book Antiqua" w:cs="Arial"/>
        </w:rPr>
        <w:t>s</w:t>
      </w:r>
      <w:r w:rsidR="00BB0651">
        <w:rPr>
          <w:rFonts w:ascii="Book Antiqua" w:hAnsi="Book Antiqua" w:cs="Arial"/>
        </w:rPr>
        <w:t xml:space="preserve">ponsor are in a subsisting relationship and consider the </w:t>
      </w:r>
      <w:r>
        <w:rPr>
          <w:rFonts w:ascii="Book Antiqua" w:hAnsi="Book Antiqua" w:cs="Arial"/>
        </w:rPr>
        <w:t>s</w:t>
      </w:r>
      <w:r w:rsidR="00BB0651">
        <w:rPr>
          <w:rFonts w:ascii="Book Antiqua" w:hAnsi="Book Antiqua" w:cs="Arial"/>
        </w:rPr>
        <w:t xml:space="preserve">ponsor’s </w:t>
      </w:r>
      <w:r w:rsidR="005D5A73">
        <w:rPr>
          <w:rFonts w:ascii="Book Antiqua" w:hAnsi="Book Antiqua" w:cs="Arial"/>
        </w:rPr>
        <w:t>post</w:t>
      </w:r>
      <w:r>
        <w:rPr>
          <w:rFonts w:ascii="Book Antiqua" w:hAnsi="Book Antiqua" w:cs="Arial"/>
        </w:rPr>
        <w:t xml:space="preserve"> </w:t>
      </w:r>
      <w:r w:rsidR="005D5A73">
        <w:rPr>
          <w:rFonts w:ascii="Book Antiqua" w:hAnsi="Book Antiqua" w:cs="Arial"/>
        </w:rPr>
        <w:t>decision</w:t>
      </w:r>
      <w:r w:rsidR="00BB0651">
        <w:rPr>
          <w:rFonts w:ascii="Book Antiqua" w:hAnsi="Book Antiqua" w:cs="Arial"/>
        </w:rPr>
        <w:t xml:space="preserve"> visit to Pakistan.”</w:t>
      </w:r>
    </w:p>
    <w:p w:rsidR="00951B43" w:rsidRDefault="00951B43">
      <w:pPr>
        <w:rPr>
          <w:rFonts w:ascii="Book Antiqua" w:hAnsi="Book Antiqua" w:cs="Arial"/>
          <w:b/>
          <w:u w:val="single"/>
        </w:rPr>
      </w:pPr>
      <w:bookmarkStart w:id="0" w:name="_GoBack"/>
      <w:bookmarkEnd w:id="0"/>
    </w:p>
    <w:p w:rsidR="00BB0651" w:rsidRPr="00BB0651" w:rsidRDefault="00BB0651" w:rsidP="00BB0651">
      <w:pPr>
        <w:spacing w:before="240"/>
        <w:jc w:val="both"/>
        <w:rPr>
          <w:rFonts w:ascii="Book Antiqua" w:hAnsi="Book Antiqua" w:cs="Arial"/>
          <w:b/>
          <w:u w:val="single"/>
        </w:rPr>
      </w:pPr>
      <w:r>
        <w:rPr>
          <w:rFonts w:ascii="Book Antiqua" w:hAnsi="Book Antiqua" w:cs="Arial"/>
          <w:b/>
          <w:u w:val="single"/>
        </w:rPr>
        <w:t>UT Hearing</w:t>
      </w:r>
    </w:p>
    <w:p w:rsidR="008808F5" w:rsidRDefault="00BB0651" w:rsidP="00BB0651">
      <w:pPr>
        <w:numPr>
          <w:ilvl w:val="0"/>
          <w:numId w:val="3"/>
        </w:numPr>
        <w:spacing w:before="240"/>
        <w:jc w:val="both"/>
        <w:rPr>
          <w:rFonts w:ascii="Book Antiqua" w:hAnsi="Book Antiqua" w:cs="Arial"/>
        </w:rPr>
      </w:pPr>
      <w:r>
        <w:rPr>
          <w:rFonts w:ascii="Book Antiqua" w:hAnsi="Book Antiqua" w:cs="Arial"/>
        </w:rPr>
        <w:t xml:space="preserve">Before me Mr </w:t>
      </w:r>
      <w:proofErr w:type="spellStart"/>
      <w:r>
        <w:rPr>
          <w:rFonts w:ascii="Book Antiqua" w:hAnsi="Book Antiqua" w:cs="Arial"/>
        </w:rPr>
        <w:t>Mold</w:t>
      </w:r>
      <w:proofErr w:type="spellEnd"/>
      <w:r w:rsidR="008808F5">
        <w:rPr>
          <w:rFonts w:ascii="Book Antiqua" w:hAnsi="Book Antiqua" w:cs="Arial"/>
        </w:rPr>
        <w:t xml:space="preserve"> appeared for the Appellant, Ms Pal for the Respondent.  M</w:t>
      </w:r>
      <w:r>
        <w:rPr>
          <w:rFonts w:ascii="Book Antiqua" w:hAnsi="Book Antiqua" w:cs="Arial"/>
        </w:rPr>
        <w:t xml:space="preserve">s Pal on behalf of the Respondent confirmed that she accepted that the FtT’s decision </w:t>
      </w:r>
      <w:r w:rsidR="008808F5">
        <w:rPr>
          <w:rFonts w:ascii="Book Antiqua" w:hAnsi="Book Antiqua" w:cs="Arial"/>
        </w:rPr>
        <w:t>contained material error of law on account of the failure of the Ft</w:t>
      </w:r>
      <w:r w:rsidR="00405A3F">
        <w:rPr>
          <w:rFonts w:ascii="Book Antiqua" w:hAnsi="Book Antiqua" w:cs="Arial"/>
        </w:rPr>
        <w:t>T to consider material evidence namely the post</w:t>
      </w:r>
      <w:r w:rsidR="00372450">
        <w:rPr>
          <w:rFonts w:ascii="Book Antiqua" w:hAnsi="Book Antiqua" w:cs="Arial"/>
        </w:rPr>
        <w:t>-</w:t>
      </w:r>
      <w:r w:rsidR="00405A3F">
        <w:rPr>
          <w:rFonts w:ascii="Book Antiqua" w:hAnsi="Book Antiqua" w:cs="Arial"/>
        </w:rPr>
        <w:t>decision visit made by the Sponsor to see her husband in January</w:t>
      </w:r>
      <w:r w:rsidR="00372450">
        <w:rPr>
          <w:rFonts w:ascii="Book Antiqua" w:hAnsi="Book Antiqua" w:cs="Arial"/>
        </w:rPr>
        <w:t>-February</w:t>
      </w:r>
      <w:r w:rsidR="00405A3F">
        <w:rPr>
          <w:rFonts w:ascii="Book Antiqua" w:hAnsi="Book Antiqua" w:cs="Arial"/>
        </w:rPr>
        <w:t xml:space="preserve"> 2017.</w:t>
      </w:r>
      <w:r w:rsidR="008808F5">
        <w:rPr>
          <w:rFonts w:ascii="Book Antiqua" w:hAnsi="Book Antiqua" w:cs="Arial"/>
        </w:rPr>
        <w:t xml:space="preserve"> </w:t>
      </w:r>
      <w:r w:rsidR="00372450">
        <w:rPr>
          <w:rFonts w:ascii="Book Antiqua" w:hAnsi="Book Antiqua" w:cs="Arial"/>
        </w:rPr>
        <w:t xml:space="preserve"> </w:t>
      </w:r>
      <w:r w:rsidR="00405A3F">
        <w:rPr>
          <w:rFonts w:ascii="Book Antiqua" w:hAnsi="Book Antiqua" w:cs="Arial"/>
        </w:rPr>
        <w:t>In my judgment t</w:t>
      </w:r>
      <w:r w:rsidR="008808F5">
        <w:rPr>
          <w:rFonts w:ascii="Book Antiqua" w:hAnsi="Book Antiqua" w:cs="Arial"/>
        </w:rPr>
        <w:t>hat was a wholly proper concession to make and</w:t>
      </w:r>
      <w:r w:rsidR="00405A3F">
        <w:rPr>
          <w:rFonts w:ascii="Book Antiqua" w:hAnsi="Book Antiqua" w:cs="Arial"/>
        </w:rPr>
        <w:t xml:space="preserve"> following it,</w:t>
      </w:r>
      <w:r w:rsidR="008808F5">
        <w:rPr>
          <w:rFonts w:ascii="Book Antiqua" w:hAnsi="Book Antiqua" w:cs="Arial"/>
        </w:rPr>
        <w:t xml:space="preserve"> I informed the parties that I was satisfied that the decision should be set aside in its entirety. </w:t>
      </w:r>
      <w:r w:rsidR="000B24E7">
        <w:rPr>
          <w:rFonts w:ascii="Book Antiqua" w:hAnsi="Book Antiqua" w:cs="Arial"/>
        </w:rPr>
        <w:t xml:space="preserve"> </w:t>
      </w:r>
      <w:r w:rsidR="008808F5">
        <w:rPr>
          <w:rFonts w:ascii="Book Antiqua" w:hAnsi="Book Antiqua" w:cs="Arial"/>
        </w:rPr>
        <w:t xml:space="preserve">I therefore set the decision aside. </w:t>
      </w:r>
    </w:p>
    <w:p w:rsidR="00BB0651" w:rsidRPr="000B24E7" w:rsidRDefault="000B24E7" w:rsidP="000B24E7">
      <w:pPr>
        <w:spacing w:before="240"/>
        <w:jc w:val="both"/>
        <w:rPr>
          <w:rFonts w:ascii="Book Antiqua" w:hAnsi="Book Antiqua" w:cs="Arial"/>
          <w:b/>
          <w:u w:val="single"/>
        </w:rPr>
      </w:pPr>
      <w:r w:rsidRPr="000B24E7">
        <w:rPr>
          <w:rFonts w:ascii="Book Antiqua" w:hAnsi="Book Antiqua" w:cs="Arial"/>
          <w:b/>
          <w:u w:val="single"/>
        </w:rPr>
        <w:lastRenderedPageBreak/>
        <w:t>Remaking the Decision</w:t>
      </w:r>
    </w:p>
    <w:p w:rsidR="00405A3F" w:rsidRDefault="008808F5" w:rsidP="00BB0651">
      <w:pPr>
        <w:numPr>
          <w:ilvl w:val="0"/>
          <w:numId w:val="3"/>
        </w:numPr>
        <w:spacing w:before="240"/>
        <w:jc w:val="both"/>
        <w:rPr>
          <w:rFonts w:ascii="Book Antiqua" w:hAnsi="Book Antiqua" w:cs="Arial"/>
        </w:rPr>
      </w:pPr>
      <w:r>
        <w:rPr>
          <w:rFonts w:ascii="Book Antiqua" w:hAnsi="Book Antiqua" w:cs="Arial"/>
        </w:rPr>
        <w:t xml:space="preserve">I </w:t>
      </w:r>
      <w:r w:rsidR="009479DB">
        <w:rPr>
          <w:rFonts w:ascii="Book Antiqua" w:hAnsi="Book Antiqua" w:cs="Arial"/>
        </w:rPr>
        <w:t xml:space="preserve">enquired of the parties whether there was further evidence to call. </w:t>
      </w:r>
      <w:r w:rsidR="000B24E7">
        <w:rPr>
          <w:rFonts w:ascii="Book Antiqua" w:hAnsi="Book Antiqua" w:cs="Arial"/>
        </w:rPr>
        <w:t xml:space="preserve"> </w:t>
      </w:r>
      <w:r w:rsidR="009479DB">
        <w:rPr>
          <w:rFonts w:ascii="Book Antiqua" w:hAnsi="Book Antiqua" w:cs="Arial"/>
        </w:rPr>
        <w:t xml:space="preserve">Neither party had further evidence. </w:t>
      </w:r>
      <w:r w:rsidR="000B24E7">
        <w:rPr>
          <w:rFonts w:ascii="Book Antiqua" w:hAnsi="Book Antiqua" w:cs="Arial"/>
        </w:rPr>
        <w:t xml:space="preserve"> </w:t>
      </w:r>
      <w:r w:rsidR="009479DB">
        <w:rPr>
          <w:rFonts w:ascii="Book Antiqua" w:hAnsi="Book Antiqua" w:cs="Arial"/>
        </w:rPr>
        <w:t>I informed the parties</w:t>
      </w:r>
      <w:r w:rsidR="00405A3F">
        <w:rPr>
          <w:rFonts w:ascii="Book Antiqua" w:hAnsi="Book Antiqua" w:cs="Arial"/>
        </w:rPr>
        <w:t xml:space="preserve"> therefore</w:t>
      </w:r>
      <w:r w:rsidR="009479DB">
        <w:rPr>
          <w:rFonts w:ascii="Book Antiqua" w:hAnsi="Book Antiqua" w:cs="Arial"/>
        </w:rPr>
        <w:t xml:space="preserve"> that</w:t>
      </w:r>
      <w:r w:rsidR="000B24E7">
        <w:rPr>
          <w:rFonts w:ascii="Book Antiqua" w:hAnsi="Book Antiqua" w:cs="Arial"/>
        </w:rPr>
        <w:t>,</w:t>
      </w:r>
      <w:r w:rsidR="009479DB">
        <w:rPr>
          <w:rFonts w:ascii="Book Antiqua" w:hAnsi="Book Antiqua" w:cs="Arial"/>
        </w:rPr>
        <w:t xml:space="preserve"> subject to any</w:t>
      </w:r>
      <w:r w:rsidR="00405A3F">
        <w:rPr>
          <w:rFonts w:ascii="Book Antiqua" w:hAnsi="Book Antiqua" w:cs="Arial"/>
        </w:rPr>
        <w:t xml:space="preserve">thing </w:t>
      </w:r>
      <w:r w:rsidR="000B24E7">
        <w:rPr>
          <w:rFonts w:ascii="Book Antiqua" w:hAnsi="Book Antiqua" w:cs="Arial"/>
        </w:rPr>
        <w:t xml:space="preserve">they wished to raise </w:t>
      </w:r>
      <w:r w:rsidR="009479DB">
        <w:rPr>
          <w:rFonts w:ascii="Book Antiqua" w:hAnsi="Book Antiqua" w:cs="Arial"/>
        </w:rPr>
        <w:t>to the contrary</w:t>
      </w:r>
      <w:r w:rsidR="000B24E7">
        <w:rPr>
          <w:rFonts w:ascii="Book Antiqua" w:hAnsi="Book Antiqua" w:cs="Arial"/>
        </w:rPr>
        <w:t>,</w:t>
      </w:r>
      <w:r w:rsidR="009479DB">
        <w:rPr>
          <w:rFonts w:ascii="Book Antiqua" w:hAnsi="Book Antiqua" w:cs="Arial"/>
        </w:rPr>
        <w:t xml:space="preserve"> I could see no reason why</w:t>
      </w:r>
      <w:r w:rsidR="00405A3F">
        <w:rPr>
          <w:rFonts w:ascii="Book Antiqua" w:hAnsi="Book Antiqua" w:cs="Arial"/>
        </w:rPr>
        <w:t xml:space="preserve"> I could not remake the decision on the evidence available. </w:t>
      </w:r>
      <w:r w:rsidR="009479DB">
        <w:rPr>
          <w:rFonts w:ascii="Book Antiqua" w:hAnsi="Book Antiqua" w:cs="Arial"/>
        </w:rPr>
        <w:t xml:space="preserve"> </w:t>
      </w:r>
      <w:r w:rsidR="00405A3F">
        <w:rPr>
          <w:rFonts w:ascii="Book Antiqua" w:hAnsi="Book Antiqua" w:cs="Arial"/>
        </w:rPr>
        <w:t>I then</w:t>
      </w:r>
      <w:r w:rsidR="00BB0651">
        <w:rPr>
          <w:rFonts w:ascii="Book Antiqua" w:hAnsi="Book Antiqua" w:cs="Arial"/>
        </w:rPr>
        <w:t xml:space="preserve"> heard submissions from the parties. </w:t>
      </w:r>
    </w:p>
    <w:p w:rsidR="005D5A73" w:rsidRDefault="00BB0651" w:rsidP="00BB0651">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Mold</w:t>
      </w:r>
      <w:proofErr w:type="spellEnd"/>
      <w:r>
        <w:rPr>
          <w:rFonts w:ascii="Book Antiqua" w:hAnsi="Book Antiqua" w:cs="Arial"/>
        </w:rPr>
        <w:t xml:space="preserve"> on behalf of the Appellant invited me to look at the </w:t>
      </w:r>
      <w:r w:rsidR="005D5A73">
        <w:rPr>
          <w:rFonts w:ascii="Book Antiqua" w:hAnsi="Book Antiqua" w:cs="Arial"/>
        </w:rPr>
        <w:t>post</w:t>
      </w:r>
      <w:r w:rsidR="000B24E7">
        <w:rPr>
          <w:rFonts w:ascii="Book Antiqua" w:hAnsi="Book Antiqua" w:cs="Arial"/>
        </w:rPr>
        <w:t>-</w:t>
      </w:r>
      <w:r w:rsidR="005D5A73">
        <w:rPr>
          <w:rFonts w:ascii="Book Antiqua" w:hAnsi="Book Antiqua" w:cs="Arial"/>
        </w:rPr>
        <w:t>decision</w:t>
      </w:r>
      <w:r>
        <w:rPr>
          <w:rFonts w:ascii="Book Antiqua" w:hAnsi="Book Antiqua" w:cs="Arial"/>
        </w:rPr>
        <w:t xml:space="preserve"> evidence contained in the Appellant’s original bundle</w:t>
      </w:r>
      <w:r w:rsidR="00405A3F">
        <w:rPr>
          <w:rFonts w:ascii="Book Antiqua" w:hAnsi="Book Antiqua" w:cs="Arial"/>
        </w:rPr>
        <w:t xml:space="preserve">. </w:t>
      </w:r>
      <w:r w:rsidR="000B24E7">
        <w:rPr>
          <w:rFonts w:ascii="Book Antiqua" w:hAnsi="Book Antiqua" w:cs="Arial"/>
        </w:rPr>
        <w:t xml:space="preserve"> </w:t>
      </w:r>
      <w:r w:rsidR="00405A3F">
        <w:rPr>
          <w:rFonts w:ascii="Book Antiqua" w:hAnsi="Book Antiqua" w:cs="Arial"/>
        </w:rPr>
        <w:t xml:space="preserve">He submitted that this was admissible evidence in that it cast a light on the subsistence of the marriage. </w:t>
      </w:r>
      <w:r w:rsidR="000B24E7">
        <w:rPr>
          <w:rFonts w:ascii="Book Antiqua" w:hAnsi="Book Antiqua" w:cs="Arial"/>
        </w:rPr>
        <w:t xml:space="preserve"> </w:t>
      </w:r>
      <w:r w:rsidR="00405A3F">
        <w:rPr>
          <w:rFonts w:ascii="Book Antiqua" w:hAnsi="Book Antiqua" w:cs="Arial"/>
        </w:rPr>
        <w:t xml:space="preserve">The Appellant and Sponsor were still married and the Sponsor was still supporting the Appellant’s application. </w:t>
      </w:r>
      <w:r w:rsidR="000B24E7">
        <w:rPr>
          <w:rFonts w:ascii="Book Antiqua" w:hAnsi="Book Antiqua" w:cs="Arial"/>
        </w:rPr>
        <w:t xml:space="preserve"> </w:t>
      </w:r>
      <w:r w:rsidR="00405A3F">
        <w:rPr>
          <w:rFonts w:ascii="Book Antiqua" w:hAnsi="Book Antiqua" w:cs="Arial"/>
        </w:rPr>
        <w:t>The marriage had subsisted for almost four years now.</w:t>
      </w:r>
      <w:r>
        <w:rPr>
          <w:rFonts w:ascii="Book Antiqua" w:hAnsi="Book Antiqua" w:cs="Arial"/>
        </w:rPr>
        <w:t xml:space="preserve"> </w:t>
      </w:r>
    </w:p>
    <w:p w:rsidR="00BB0651" w:rsidRDefault="00BB0651" w:rsidP="00BB0651">
      <w:pPr>
        <w:numPr>
          <w:ilvl w:val="0"/>
          <w:numId w:val="3"/>
        </w:numPr>
        <w:spacing w:before="240"/>
        <w:jc w:val="both"/>
        <w:rPr>
          <w:rFonts w:ascii="Book Antiqua" w:hAnsi="Book Antiqua" w:cs="Arial"/>
        </w:rPr>
      </w:pPr>
      <w:r>
        <w:rPr>
          <w:rFonts w:ascii="Book Antiqua" w:hAnsi="Book Antiqua" w:cs="Arial"/>
        </w:rPr>
        <w:t>He submitted that part of the difficulty</w:t>
      </w:r>
      <w:r w:rsidR="00405A3F">
        <w:rPr>
          <w:rFonts w:ascii="Book Antiqua" w:hAnsi="Book Antiqua" w:cs="Arial"/>
        </w:rPr>
        <w:t xml:space="preserve"> which the</w:t>
      </w:r>
      <w:r>
        <w:rPr>
          <w:rFonts w:ascii="Book Antiqua" w:hAnsi="Book Antiqua" w:cs="Arial"/>
        </w:rPr>
        <w:t xml:space="preserve"> Sponsor</w:t>
      </w:r>
      <w:r w:rsidR="00405A3F">
        <w:rPr>
          <w:rFonts w:ascii="Book Antiqua" w:hAnsi="Book Antiqua" w:cs="Arial"/>
        </w:rPr>
        <w:t xml:space="preserve"> faced in visiting</w:t>
      </w:r>
      <w:r>
        <w:rPr>
          <w:rFonts w:ascii="Book Antiqua" w:hAnsi="Book Antiqua" w:cs="Arial"/>
        </w:rPr>
        <w:t xml:space="preserve"> </w:t>
      </w:r>
      <w:r w:rsidR="000B24E7">
        <w:rPr>
          <w:rFonts w:ascii="Book Antiqua" w:hAnsi="Book Antiqua" w:cs="Arial"/>
        </w:rPr>
        <w:t xml:space="preserve">her husband </w:t>
      </w:r>
      <w:r>
        <w:rPr>
          <w:rFonts w:ascii="Book Antiqua" w:hAnsi="Book Antiqua" w:cs="Arial"/>
        </w:rPr>
        <w:t>centred on the fact that the Sponsor had</w:t>
      </w:r>
      <w:r w:rsidR="00405A3F">
        <w:rPr>
          <w:rFonts w:ascii="Book Antiqua" w:hAnsi="Book Antiqua" w:cs="Arial"/>
        </w:rPr>
        <w:t xml:space="preserve"> had</w:t>
      </w:r>
      <w:r>
        <w:rPr>
          <w:rFonts w:ascii="Book Antiqua" w:hAnsi="Book Antiqua" w:cs="Arial"/>
        </w:rPr>
        <w:t xml:space="preserve"> to obtain a second job in order to earn sufficient money, so that the Appellant could meet the financial requirements of the Rules.  </w:t>
      </w:r>
    </w:p>
    <w:p w:rsidR="005D5A73" w:rsidRDefault="00BB0651" w:rsidP="00BB0651">
      <w:pPr>
        <w:numPr>
          <w:ilvl w:val="0"/>
          <w:numId w:val="3"/>
        </w:numPr>
        <w:spacing w:before="240"/>
        <w:jc w:val="both"/>
        <w:rPr>
          <w:rFonts w:ascii="Book Antiqua" w:hAnsi="Book Antiqua" w:cs="Arial"/>
        </w:rPr>
      </w:pPr>
      <w:r>
        <w:rPr>
          <w:rFonts w:ascii="Book Antiqua" w:hAnsi="Book Antiqua" w:cs="Arial"/>
        </w:rPr>
        <w:t xml:space="preserve">This impacted </w:t>
      </w:r>
      <w:r w:rsidR="0077106A">
        <w:rPr>
          <w:rFonts w:ascii="Book Antiqua" w:hAnsi="Book Antiqua" w:cs="Arial"/>
        </w:rPr>
        <w:t>up</w:t>
      </w:r>
      <w:r>
        <w:rPr>
          <w:rFonts w:ascii="Book Antiqua" w:hAnsi="Book Antiqua" w:cs="Arial"/>
        </w:rPr>
        <w:t>on the Sponsor’s ability to get leave to visit her husband.  She had however gone to Pakistan in January 2017 remaining there with her husband until 12</w:t>
      </w:r>
      <w:r w:rsidRPr="00BB0651">
        <w:rPr>
          <w:rFonts w:ascii="Book Antiqua" w:hAnsi="Book Antiqua" w:cs="Arial"/>
          <w:vertAlign w:val="superscript"/>
        </w:rPr>
        <w:t>th</w:t>
      </w:r>
      <w:r>
        <w:rPr>
          <w:rFonts w:ascii="Book Antiqua" w:hAnsi="Book Antiqua" w:cs="Arial"/>
        </w:rPr>
        <w:t xml:space="preserve"> February 2017.  They spent time together as a married couple, and there was photographic evidence of the visit.  </w:t>
      </w:r>
    </w:p>
    <w:p w:rsidR="000E2500" w:rsidRDefault="00BB0651" w:rsidP="00BB0651">
      <w:pPr>
        <w:numPr>
          <w:ilvl w:val="0"/>
          <w:numId w:val="3"/>
        </w:numPr>
        <w:spacing w:before="240"/>
        <w:jc w:val="both"/>
        <w:rPr>
          <w:rFonts w:ascii="Book Antiqua" w:hAnsi="Book Antiqua" w:cs="Arial"/>
        </w:rPr>
      </w:pPr>
      <w:r>
        <w:rPr>
          <w:rFonts w:ascii="Book Antiqua" w:hAnsi="Book Antiqua" w:cs="Arial"/>
        </w:rPr>
        <w:t xml:space="preserve">So far as the </w:t>
      </w:r>
      <w:r w:rsidR="000E2500">
        <w:rPr>
          <w:rFonts w:ascii="Book Antiqua" w:hAnsi="Book Antiqua" w:cs="Arial"/>
        </w:rPr>
        <w:t>telephonic evidence is concerned, the Sponsor had given evidence of contact between the parties carried out by landline.</w:t>
      </w:r>
      <w:r w:rsidR="000B24E7">
        <w:rPr>
          <w:rFonts w:ascii="Book Antiqua" w:hAnsi="Book Antiqua" w:cs="Arial"/>
        </w:rPr>
        <w:t xml:space="preserve"> </w:t>
      </w:r>
      <w:r w:rsidR="000E2500">
        <w:rPr>
          <w:rFonts w:ascii="Book Antiqua" w:hAnsi="Book Antiqua" w:cs="Arial"/>
        </w:rPr>
        <w:t xml:space="preserve"> </w:t>
      </w:r>
      <w:r w:rsidR="00BF6310">
        <w:rPr>
          <w:rFonts w:ascii="Book Antiqua" w:hAnsi="Book Antiqua" w:cs="Arial"/>
        </w:rPr>
        <w:t>Again it had to be remembered that because of the hours which the Sponsor worked holding down 2 jobs, there was limited opportunity to ‘phone the Appellant.</w:t>
      </w:r>
      <w:r w:rsidR="000E2500">
        <w:rPr>
          <w:rFonts w:ascii="Book Antiqua" w:hAnsi="Book Antiqua" w:cs="Arial"/>
        </w:rPr>
        <w:t xml:space="preserve"> T</w:t>
      </w:r>
      <w:r w:rsidR="00BF6310">
        <w:rPr>
          <w:rFonts w:ascii="Book Antiqua" w:hAnsi="Book Antiqua" w:cs="Arial"/>
        </w:rPr>
        <w:t>here was no reason to doubt the</w:t>
      </w:r>
      <w:r w:rsidR="000E2500">
        <w:rPr>
          <w:rFonts w:ascii="Book Antiqua" w:hAnsi="Book Antiqua" w:cs="Arial"/>
        </w:rPr>
        <w:t xml:space="preserve"> evidence</w:t>
      </w:r>
      <w:r w:rsidR="00BF6310">
        <w:rPr>
          <w:rFonts w:ascii="Book Antiqua" w:hAnsi="Book Antiqua" w:cs="Arial"/>
        </w:rPr>
        <w:t xml:space="preserve"> of contact.</w:t>
      </w:r>
      <w:r w:rsidR="000E2500">
        <w:rPr>
          <w:rFonts w:ascii="Book Antiqua" w:hAnsi="Book Antiqua" w:cs="Arial"/>
        </w:rPr>
        <w:t xml:space="preserve">  The decision of the ECO </w:t>
      </w:r>
      <w:r w:rsidR="0077106A">
        <w:rPr>
          <w:rFonts w:ascii="Book Antiqua" w:hAnsi="Book Antiqua" w:cs="Arial"/>
        </w:rPr>
        <w:t>was disproportionate</w:t>
      </w:r>
      <w:r w:rsidR="000B24E7">
        <w:rPr>
          <w:rFonts w:ascii="Book Antiqua" w:hAnsi="Book Antiqua" w:cs="Arial"/>
        </w:rPr>
        <w:t>;</w:t>
      </w:r>
      <w:r w:rsidR="0077106A">
        <w:rPr>
          <w:rFonts w:ascii="Book Antiqua" w:hAnsi="Book Antiqua" w:cs="Arial"/>
        </w:rPr>
        <w:t xml:space="preserve"> t</w:t>
      </w:r>
      <w:r w:rsidR="000E2500">
        <w:rPr>
          <w:rFonts w:ascii="Book Antiqua" w:hAnsi="Book Antiqua" w:cs="Arial"/>
        </w:rPr>
        <w:t xml:space="preserve">he Appellant met the Rules, and therefore the appeal should be allowed.  </w:t>
      </w:r>
    </w:p>
    <w:p w:rsidR="00BB0651" w:rsidRDefault="000B24E7" w:rsidP="00BB0651">
      <w:pPr>
        <w:numPr>
          <w:ilvl w:val="0"/>
          <w:numId w:val="3"/>
        </w:numPr>
        <w:spacing w:before="240"/>
        <w:jc w:val="both"/>
        <w:rPr>
          <w:rFonts w:ascii="Book Antiqua" w:hAnsi="Book Antiqua" w:cs="Arial"/>
        </w:rPr>
      </w:pPr>
      <w:r>
        <w:rPr>
          <w:rFonts w:ascii="Book Antiqua" w:hAnsi="Book Antiqua" w:cs="Arial"/>
        </w:rPr>
        <w:t>Ms</w:t>
      </w:r>
      <w:r w:rsidR="000E2500">
        <w:rPr>
          <w:rFonts w:ascii="Book Antiqua" w:hAnsi="Book Antiqua" w:cs="Arial"/>
        </w:rPr>
        <w:t xml:space="preserve"> Pal on behalf of the Respondent submitted that the decision o</w:t>
      </w:r>
      <w:r w:rsidR="00BF6310">
        <w:rPr>
          <w:rFonts w:ascii="Book Antiqua" w:hAnsi="Book Antiqua" w:cs="Arial"/>
        </w:rPr>
        <w:t>f the ECO to refuse was correct at the time.</w:t>
      </w:r>
      <w:r>
        <w:rPr>
          <w:rFonts w:ascii="Book Antiqua" w:hAnsi="Book Antiqua" w:cs="Arial"/>
        </w:rPr>
        <w:t xml:space="preserve"> </w:t>
      </w:r>
      <w:r w:rsidR="00BF6310">
        <w:rPr>
          <w:rFonts w:ascii="Book Antiqua" w:hAnsi="Book Antiqua" w:cs="Arial"/>
        </w:rPr>
        <w:t xml:space="preserve"> The ECO of course did not have before him the</w:t>
      </w:r>
      <w:r>
        <w:rPr>
          <w:rFonts w:ascii="Book Antiqua" w:hAnsi="Book Antiqua" w:cs="Arial"/>
        </w:rPr>
        <w:t xml:space="preserve"> </w:t>
      </w:r>
      <w:r w:rsidR="00BF6310">
        <w:rPr>
          <w:rFonts w:ascii="Book Antiqua" w:hAnsi="Book Antiqua" w:cs="Arial"/>
        </w:rPr>
        <w:t>post</w:t>
      </w:r>
      <w:r>
        <w:rPr>
          <w:rFonts w:ascii="Book Antiqua" w:hAnsi="Book Antiqua" w:cs="Arial"/>
        </w:rPr>
        <w:t>-</w:t>
      </w:r>
      <w:r w:rsidR="00BF6310">
        <w:rPr>
          <w:rFonts w:ascii="Book Antiqua" w:hAnsi="Book Antiqua" w:cs="Arial"/>
        </w:rPr>
        <w:t>decision evidence.</w:t>
      </w:r>
      <w:r w:rsidR="000E2500">
        <w:rPr>
          <w:rFonts w:ascii="Book Antiqua" w:hAnsi="Book Antiqua" w:cs="Arial"/>
        </w:rPr>
        <w:t xml:space="preserve">  She referred to the fact that the Appellant had taken sixteen months from the date of the marriage to submit his visa application.  In addition the Sponsor had waited until two and a half year</w:t>
      </w:r>
      <w:r w:rsidR="00BF6310">
        <w:rPr>
          <w:rFonts w:ascii="Book Antiqua" w:hAnsi="Book Antiqua" w:cs="Arial"/>
        </w:rPr>
        <w:t>s had elapsed, since the wedding</w:t>
      </w:r>
      <w:r w:rsidR="000E2500">
        <w:rPr>
          <w:rFonts w:ascii="Book Antiqua" w:hAnsi="Book Antiqua" w:cs="Arial"/>
        </w:rPr>
        <w:t xml:space="preserve"> ceremony, to visit.  Those were factors which she asked that I consider.  </w:t>
      </w:r>
    </w:p>
    <w:p w:rsidR="000E2500" w:rsidRDefault="000E2500" w:rsidP="00BB0651">
      <w:pPr>
        <w:numPr>
          <w:ilvl w:val="0"/>
          <w:numId w:val="3"/>
        </w:numPr>
        <w:spacing w:before="240"/>
        <w:jc w:val="both"/>
        <w:rPr>
          <w:rFonts w:ascii="Book Antiqua" w:hAnsi="Book Antiqua" w:cs="Arial"/>
        </w:rPr>
      </w:pPr>
      <w:r>
        <w:rPr>
          <w:rFonts w:ascii="Book Antiqua" w:hAnsi="Book Antiqua" w:cs="Arial"/>
        </w:rPr>
        <w:t>At the end of submissions I reserved my decision, which I now give with reasons.</w:t>
      </w:r>
    </w:p>
    <w:p w:rsidR="000E2500" w:rsidRPr="000E2500" w:rsidRDefault="000E2500" w:rsidP="000E2500">
      <w:pPr>
        <w:spacing w:before="240"/>
        <w:jc w:val="both"/>
        <w:rPr>
          <w:rFonts w:ascii="Book Antiqua" w:hAnsi="Book Antiqua" w:cs="Arial"/>
          <w:b/>
          <w:u w:val="single"/>
        </w:rPr>
      </w:pPr>
      <w:r>
        <w:rPr>
          <w:rFonts w:ascii="Book Antiqua" w:hAnsi="Book Antiqua" w:cs="Arial"/>
          <w:b/>
          <w:u w:val="single"/>
        </w:rPr>
        <w:t>Consideration</w:t>
      </w:r>
    </w:p>
    <w:p w:rsidR="000E2500" w:rsidRDefault="000E2500" w:rsidP="00BB0651">
      <w:pPr>
        <w:numPr>
          <w:ilvl w:val="0"/>
          <w:numId w:val="3"/>
        </w:numPr>
        <w:spacing w:before="240"/>
        <w:jc w:val="both"/>
        <w:rPr>
          <w:rFonts w:ascii="Book Antiqua" w:hAnsi="Book Antiqua" w:cs="Arial"/>
        </w:rPr>
      </w:pPr>
      <w:r>
        <w:rPr>
          <w:rFonts w:ascii="Book Antiqua" w:hAnsi="Book Antiqua" w:cs="Arial"/>
        </w:rPr>
        <w:t>The issue before me is whether I am satisfied that the Appellant has shown that he and the Sponsor are in a genuine and subsisting relationship.  I find that the couple are in a subsisting and genuine relationship and I now give my reasons for this finding.</w:t>
      </w:r>
    </w:p>
    <w:p w:rsidR="000E2500" w:rsidRDefault="000E2500" w:rsidP="00BB0651">
      <w:pPr>
        <w:numPr>
          <w:ilvl w:val="0"/>
          <w:numId w:val="3"/>
        </w:numPr>
        <w:spacing w:before="240"/>
        <w:jc w:val="both"/>
        <w:rPr>
          <w:rFonts w:ascii="Book Antiqua" w:hAnsi="Book Antiqua" w:cs="Arial"/>
        </w:rPr>
      </w:pPr>
      <w:r>
        <w:rPr>
          <w:rFonts w:ascii="Book Antiqua" w:hAnsi="Book Antiqua" w:cs="Arial"/>
        </w:rPr>
        <w:t xml:space="preserve">There is before me (as there was before the FtTJ) </w:t>
      </w:r>
      <w:r w:rsidR="005D5A73">
        <w:rPr>
          <w:rFonts w:ascii="Book Antiqua" w:hAnsi="Book Antiqua" w:cs="Arial"/>
        </w:rPr>
        <w:t>post</w:t>
      </w:r>
      <w:r w:rsidR="000B24E7">
        <w:rPr>
          <w:rFonts w:ascii="Book Antiqua" w:hAnsi="Book Antiqua" w:cs="Arial"/>
        </w:rPr>
        <w:t>-</w:t>
      </w:r>
      <w:r w:rsidR="005D5A73">
        <w:rPr>
          <w:rFonts w:ascii="Book Antiqua" w:hAnsi="Book Antiqua" w:cs="Arial"/>
        </w:rPr>
        <w:t>decision</w:t>
      </w:r>
      <w:r>
        <w:rPr>
          <w:rFonts w:ascii="Book Antiqua" w:hAnsi="Book Antiqua" w:cs="Arial"/>
        </w:rPr>
        <w:t xml:space="preserve"> evidence in the form of a</w:t>
      </w:r>
      <w:r w:rsidR="00BF6310">
        <w:rPr>
          <w:rFonts w:ascii="Book Antiqua" w:hAnsi="Book Antiqua" w:cs="Arial"/>
        </w:rPr>
        <w:t xml:space="preserve"> statement</w:t>
      </w:r>
      <w:r>
        <w:rPr>
          <w:rFonts w:ascii="Book Antiqua" w:hAnsi="Book Antiqua" w:cs="Arial"/>
        </w:rPr>
        <w:t xml:space="preserve"> made by the Sponsor</w:t>
      </w:r>
      <w:r w:rsidR="00BF6310">
        <w:rPr>
          <w:rFonts w:ascii="Book Antiqua" w:hAnsi="Book Antiqua" w:cs="Arial"/>
        </w:rPr>
        <w:t xml:space="preserve"> showing a visit to the Appellant for a period of </w:t>
      </w:r>
      <w:r w:rsidR="000B24E7">
        <w:rPr>
          <w:rFonts w:ascii="Book Antiqua" w:hAnsi="Book Antiqua" w:cs="Arial"/>
        </w:rPr>
        <w:t>two</w:t>
      </w:r>
      <w:r w:rsidR="00BF6310">
        <w:rPr>
          <w:rFonts w:ascii="Book Antiqua" w:hAnsi="Book Antiqua" w:cs="Arial"/>
        </w:rPr>
        <w:t xml:space="preserve"> weeks.</w:t>
      </w:r>
      <w:r>
        <w:rPr>
          <w:rFonts w:ascii="Book Antiqua" w:hAnsi="Book Antiqua" w:cs="Arial"/>
        </w:rPr>
        <w:t xml:space="preserve">  This visit is well documented, with airline tickets provided together with photographic evidence of the couple together.  I find this evidence is sufficient to tip </w:t>
      </w:r>
      <w:r>
        <w:rPr>
          <w:rFonts w:ascii="Book Antiqua" w:hAnsi="Book Antiqua" w:cs="Arial"/>
        </w:rPr>
        <w:lastRenderedPageBreak/>
        <w:t>the balance in the Appe</w:t>
      </w:r>
      <w:r w:rsidR="00BF6310">
        <w:rPr>
          <w:rFonts w:ascii="Book Antiqua" w:hAnsi="Book Antiqua" w:cs="Arial"/>
        </w:rPr>
        <w:t>llant’s favour.  I note that M</w:t>
      </w:r>
      <w:r>
        <w:rPr>
          <w:rFonts w:ascii="Book Antiqua" w:hAnsi="Book Antiqua" w:cs="Arial"/>
        </w:rPr>
        <w:t>s Pal did say that it has taken a while for the Sponsor to visit, and whilst I agree that there is a time gap in this case, I also accept the Sponsor’s explanation for this contained in her witness statement.  She has</w:t>
      </w:r>
      <w:r w:rsidR="00BF6310">
        <w:rPr>
          <w:rFonts w:ascii="Book Antiqua" w:hAnsi="Book Antiqua" w:cs="Arial"/>
        </w:rPr>
        <w:t xml:space="preserve"> to hold down</w:t>
      </w:r>
      <w:r>
        <w:rPr>
          <w:rFonts w:ascii="Book Antiqua" w:hAnsi="Book Antiqua" w:cs="Arial"/>
        </w:rPr>
        <w:t xml:space="preserve"> two jobs in order</w:t>
      </w:r>
      <w:r w:rsidR="00BF6310">
        <w:rPr>
          <w:rFonts w:ascii="Book Antiqua" w:hAnsi="Book Antiqua" w:cs="Arial"/>
        </w:rPr>
        <w:t xml:space="preserve"> to sustain the Appellant’s requirement</w:t>
      </w:r>
      <w:r>
        <w:rPr>
          <w:rFonts w:ascii="Book Antiqua" w:hAnsi="Book Antiqua" w:cs="Arial"/>
        </w:rPr>
        <w:t xml:space="preserve"> to sa</w:t>
      </w:r>
      <w:r w:rsidR="00BF6310">
        <w:rPr>
          <w:rFonts w:ascii="Book Antiqua" w:hAnsi="Book Antiqua" w:cs="Arial"/>
        </w:rPr>
        <w:t>tisfy the financial part</w:t>
      </w:r>
      <w:r>
        <w:rPr>
          <w:rFonts w:ascii="Book Antiqua" w:hAnsi="Book Antiqua" w:cs="Arial"/>
        </w:rPr>
        <w:t xml:space="preserve"> of the Rules.  Any leave she can take is therefore limited. </w:t>
      </w:r>
      <w:r w:rsidR="000B24E7">
        <w:rPr>
          <w:rFonts w:ascii="Book Antiqua" w:hAnsi="Book Antiqua" w:cs="Arial"/>
        </w:rPr>
        <w:t xml:space="preserve"> </w:t>
      </w:r>
      <w:r w:rsidR="00A56F65">
        <w:rPr>
          <w:rFonts w:ascii="Book Antiqua" w:hAnsi="Book Antiqua" w:cs="Arial"/>
        </w:rPr>
        <w:t>I accept that explanation.</w:t>
      </w:r>
      <w:r w:rsidR="000B24E7">
        <w:rPr>
          <w:rFonts w:ascii="Book Antiqua" w:hAnsi="Book Antiqua" w:cs="Arial"/>
        </w:rPr>
        <w:t xml:space="preserve"> </w:t>
      </w:r>
      <w:r>
        <w:rPr>
          <w:rFonts w:ascii="Book Antiqua" w:hAnsi="Book Antiqua" w:cs="Arial"/>
        </w:rPr>
        <w:t xml:space="preserve"> There is documentary evidence to show her application for leave from her employer.  It stands to reason that there is an expense in travelling to Pakistan and that she therefore went when she could affor</w:t>
      </w:r>
      <w:r w:rsidR="00A56F65">
        <w:rPr>
          <w:rFonts w:ascii="Book Antiqua" w:hAnsi="Book Antiqua" w:cs="Arial"/>
        </w:rPr>
        <w:t>d both the time and the expense rings true.</w:t>
      </w:r>
    </w:p>
    <w:p w:rsidR="000E2500" w:rsidRDefault="000E2500" w:rsidP="00BB0651">
      <w:pPr>
        <w:numPr>
          <w:ilvl w:val="0"/>
          <w:numId w:val="3"/>
        </w:numPr>
        <w:spacing w:before="240"/>
        <w:jc w:val="both"/>
        <w:rPr>
          <w:rFonts w:ascii="Book Antiqua" w:hAnsi="Book Antiqua" w:cs="Arial"/>
        </w:rPr>
      </w:pPr>
      <w:r>
        <w:rPr>
          <w:rFonts w:ascii="Book Antiqua" w:hAnsi="Book Antiqua" w:cs="Arial"/>
        </w:rPr>
        <w:t xml:space="preserve">There is ample evidence of telephone calls between the couple, and piecing this evidence together I am satisfied that the </w:t>
      </w:r>
      <w:r w:rsidR="005D5A73">
        <w:rPr>
          <w:rFonts w:ascii="Book Antiqua" w:hAnsi="Book Antiqua" w:cs="Arial"/>
        </w:rPr>
        <w:t>post</w:t>
      </w:r>
      <w:r w:rsidR="000B24E7">
        <w:rPr>
          <w:rFonts w:ascii="Book Antiqua" w:hAnsi="Book Antiqua" w:cs="Arial"/>
        </w:rPr>
        <w:t>-</w:t>
      </w:r>
      <w:r w:rsidR="005D5A73">
        <w:rPr>
          <w:rFonts w:ascii="Book Antiqua" w:hAnsi="Book Antiqua" w:cs="Arial"/>
        </w:rPr>
        <w:t>decision</w:t>
      </w:r>
      <w:r>
        <w:rPr>
          <w:rFonts w:ascii="Book Antiqua" w:hAnsi="Book Antiqua" w:cs="Arial"/>
        </w:rPr>
        <w:t xml:space="preserve"> evidence casts a light on the </w:t>
      </w:r>
      <w:r w:rsidR="000B24E7">
        <w:rPr>
          <w:rFonts w:ascii="Book Antiqua" w:hAnsi="Book Antiqua" w:cs="Arial"/>
        </w:rPr>
        <w:t xml:space="preserve">genuineness and subsistence of the </w:t>
      </w:r>
      <w:r>
        <w:rPr>
          <w:rFonts w:ascii="Book Antiqua" w:hAnsi="Book Antiqua" w:cs="Arial"/>
        </w:rPr>
        <w:t>relationship.</w:t>
      </w:r>
    </w:p>
    <w:p w:rsidR="000E2500" w:rsidRDefault="000E2500" w:rsidP="00BB0651">
      <w:pPr>
        <w:numPr>
          <w:ilvl w:val="0"/>
          <w:numId w:val="3"/>
        </w:numPr>
        <w:spacing w:before="240"/>
        <w:jc w:val="both"/>
        <w:rPr>
          <w:rFonts w:ascii="Book Antiqua" w:hAnsi="Book Antiqua" w:cs="Arial"/>
        </w:rPr>
      </w:pPr>
      <w:r>
        <w:rPr>
          <w:rFonts w:ascii="Book Antiqua" w:hAnsi="Book Antiqua" w:cs="Arial"/>
        </w:rPr>
        <w:t>The genuineness and subsistence of the marriage was the</w:t>
      </w:r>
      <w:r w:rsidR="00A56F65">
        <w:rPr>
          <w:rFonts w:ascii="Book Antiqua" w:hAnsi="Book Antiqua" w:cs="Arial"/>
        </w:rPr>
        <w:t xml:space="preserve"> only matter in issue before me. </w:t>
      </w:r>
      <w:r w:rsidR="000B24E7">
        <w:rPr>
          <w:rFonts w:ascii="Book Antiqua" w:hAnsi="Book Antiqua" w:cs="Arial"/>
        </w:rPr>
        <w:t xml:space="preserve"> </w:t>
      </w:r>
      <w:r w:rsidR="00A56F65">
        <w:rPr>
          <w:rFonts w:ascii="Book Antiqua" w:hAnsi="Book Antiqua" w:cs="Arial"/>
        </w:rPr>
        <w:t>I</w:t>
      </w:r>
      <w:r>
        <w:rPr>
          <w:rFonts w:ascii="Book Antiqua" w:hAnsi="Book Antiqua" w:cs="Arial"/>
        </w:rPr>
        <w:t>t follows therefore that I am satisfied that the Appellant meets the requirements of the Immigration Rules.</w:t>
      </w:r>
    </w:p>
    <w:p w:rsidR="000E2500" w:rsidRPr="00C01D77" w:rsidRDefault="000E2500" w:rsidP="00BB0651">
      <w:pPr>
        <w:numPr>
          <w:ilvl w:val="0"/>
          <w:numId w:val="3"/>
        </w:numPr>
        <w:spacing w:before="240"/>
        <w:jc w:val="both"/>
        <w:rPr>
          <w:rFonts w:ascii="Book Antiqua" w:hAnsi="Book Antiqua" w:cs="Arial"/>
        </w:rPr>
      </w:pPr>
      <w:r>
        <w:rPr>
          <w:rFonts w:ascii="Book Antiqua" w:hAnsi="Book Antiqua" w:cs="Arial"/>
        </w:rPr>
        <w:t xml:space="preserve">The Appellant’s appeal of course is under Article 8 ECHR.  I find therefore that the fact that the Appellant meets the requirements of the Immigration Rules, renders the ECO’s decision to refuse entry a disproportionate one under Article 8.  The correct course therefore is for me to allow the appeal under Article 8 ECHR.  </w:t>
      </w:r>
    </w:p>
    <w:p w:rsidR="00E76309" w:rsidRPr="00C01D77" w:rsidRDefault="00E76309"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Default="0093322B" w:rsidP="00073E80">
      <w:pPr>
        <w:jc w:val="both"/>
        <w:rPr>
          <w:rFonts w:ascii="Book Antiqua" w:hAnsi="Book Antiqua" w:cs="Arial"/>
        </w:rPr>
      </w:pPr>
      <w:r>
        <w:rPr>
          <w:rFonts w:ascii="Book Antiqua" w:hAnsi="Book Antiqua" w:cs="Arial"/>
        </w:rPr>
        <w:t>The decision of the First-tier Tribunal involved the making of an error of law and I set it aside.  I re-make the decision by allowing the appeal</w:t>
      </w:r>
      <w:r w:rsidR="00CF091B" w:rsidRPr="00CF091B">
        <w:rPr>
          <w:rFonts w:ascii="Book Antiqua" w:hAnsi="Book Antiqua" w:cs="Arial"/>
        </w:rPr>
        <w:t xml:space="preserve"> </w:t>
      </w:r>
      <w:r w:rsidR="00CF091B">
        <w:rPr>
          <w:rFonts w:ascii="Book Antiqua" w:hAnsi="Book Antiqua" w:cs="Arial"/>
        </w:rPr>
        <w:t>under Article 8 ECHR</w:t>
      </w:r>
      <w:r>
        <w:rPr>
          <w:rFonts w:ascii="Book Antiqua" w:hAnsi="Book Antiqua" w:cs="Arial"/>
        </w:rPr>
        <w:t>.</w:t>
      </w:r>
    </w:p>
    <w:p w:rsidR="0093322B" w:rsidRDefault="0093322B" w:rsidP="00073E80">
      <w:pPr>
        <w:jc w:val="both"/>
        <w:rPr>
          <w:rFonts w:ascii="Book Antiqua" w:hAnsi="Book Antiqua" w:cs="Arial"/>
        </w:rPr>
      </w:pPr>
    </w:p>
    <w:p w:rsidR="0093322B" w:rsidRDefault="00CF091B" w:rsidP="00073E80">
      <w:pPr>
        <w:jc w:val="both"/>
        <w:rPr>
          <w:rFonts w:ascii="Book Antiqua" w:hAnsi="Book Antiqua" w:cs="Arial"/>
        </w:rPr>
      </w:pPr>
      <w:r>
        <w:rPr>
          <w:rFonts w:ascii="Book Antiqua" w:hAnsi="Book Antiqua" w:cs="Arial"/>
        </w:rPr>
        <w:t xml:space="preserve">The </w:t>
      </w:r>
      <w:r w:rsidR="0093322B">
        <w:rPr>
          <w:rFonts w:ascii="Book Antiqua" w:hAnsi="Book Antiqua" w:cs="Arial"/>
        </w:rPr>
        <w:t xml:space="preserve">Appellant’s appeal </w:t>
      </w:r>
      <w:r>
        <w:rPr>
          <w:rFonts w:ascii="Book Antiqua" w:hAnsi="Book Antiqua" w:cs="Arial"/>
        </w:rPr>
        <w:t xml:space="preserve">is </w:t>
      </w:r>
      <w:r w:rsidR="0093322B">
        <w:rPr>
          <w:rFonts w:ascii="Book Antiqua" w:hAnsi="Book Antiqua" w:cs="Arial"/>
        </w:rPr>
        <w:t>allowed.</w:t>
      </w:r>
    </w:p>
    <w:p w:rsidR="0093322B" w:rsidRDefault="0093322B" w:rsidP="00073E80">
      <w:pPr>
        <w:jc w:val="both"/>
        <w:rPr>
          <w:rFonts w:ascii="Book Antiqua" w:hAnsi="Book Antiqua" w:cs="Arial"/>
        </w:rPr>
      </w:pPr>
    </w:p>
    <w:p w:rsidR="0093322B" w:rsidRPr="00073E80" w:rsidRDefault="0093322B" w:rsidP="00073E80">
      <w:pPr>
        <w:jc w:val="both"/>
        <w:rPr>
          <w:rFonts w:ascii="Book Antiqua" w:hAnsi="Book Antiqua" w:cs="Arial"/>
        </w:rPr>
      </w:pPr>
      <w:r>
        <w:rPr>
          <w:rFonts w:ascii="Book Antiqua" w:hAnsi="Book Antiqua" w:cs="Arial"/>
        </w:rPr>
        <w:t>I make no anonymity order as there is no public policy reason for so doing.</w:t>
      </w:r>
    </w:p>
    <w:p w:rsidR="00073E80" w:rsidRPr="00073E80" w:rsidRDefault="00073E80" w:rsidP="00073E80">
      <w:pPr>
        <w:jc w:val="both"/>
        <w:rPr>
          <w:rFonts w:ascii="Book Antiqua" w:hAnsi="Book Antiqua" w:cs="Arial"/>
        </w:rPr>
      </w:pPr>
    </w:p>
    <w:p w:rsidR="00920144" w:rsidRPr="00C01D77" w:rsidRDefault="00920144"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CF091B">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CF091B">
        <w:rPr>
          <w:rFonts w:ascii="Book Antiqua" w:hAnsi="Book Antiqua" w:cs="Arial"/>
        </w:rPr>
        <w:tab/>
      </w:r>
      <w:r w:rsidR="00CF091B">
        <w:rPr>
          <w:rFonts w:ascii="Book Antiqua" w:hAnsi="Book Antiqua" w:cs="Arial"/>
        </w:rPr>
        <w:tab/>
        <w:t>17 May 2018</w:t>
      </w: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073E80" w:rsidRDefault="00073E80"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TO THE RESPONDENT</w:t>
      </w:r>
    </w:p>
    <w:p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rsidR="00073E80" w:rsidRPr="00073E80" w:rsidRDefault="00073E80" w:rsidP="00073E80">
      <w:pPr>
        <w:ind w:left="567" w:hanging="567"/>
        <w:jc w:val="both"/>
        <w:rPr>
          <w:rFonts w:ascii="Book Antiqua" w:hAnsi="Book Antiqua" w:cs="Arial"/>
        </w:rPr>
      </w:pPr>
    </w:p>
    <w:p w:rsidR="00073E80" w:rsidRDefault="0093322B" w:rsidP="00073E80">
      <w:pPr>
        <w:jc w:val="both"/>
        <w:rPr>
          <w:rFonts w:ascii="Book Antiqua" w:hAnsi="Book Antiqua" w:cs="Arial"/>
        </w:rPr>
      </w:pPr>
      <w:r>
        <w:rPr>
          <w:rFonts w:ascii="Book Antiqua" w:hAnsi="Book Antiqua" w:cs="Arial"/>
        </w:rPr>
        <w:t>The judge at first instance made no fee order.  Given that the information which led to the appeal being ultimately allowed before me was not before the Entry Clearance Officer at the date of decision, I too make no fee order in this case.</w:t>
      </w: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p>
    <w:p w:rsidR="00CF091B" w:rsidRPr="00C01D77" w:rsidRDefault="00CF091B" w:rsidP="00CF091B">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17 May 2018</w:t>
      </w:r>
    </w:p>
    <w:p w:rsidR="00073E80" w:rsidRPr="00C01D77" w:rsidRDefault="00073E80" w:rsidP="00073E80">
      <w:pPr>
        <w:tabs>
          <w:tab w:val="left" w:pos="2520"/>
        </w:tabs>
        <w:jc w:val="both"/>
        <w:rPr>
          <w:rFonts w:ascii="Book Antiqua" w:hAnsi="Book Antiqua" w:cs="Arial"/>
        </w:rPr>
      </w:pPr>
    </w:p>
    <w:p w:rsidR="005B7789" w:rsidRPr="00C01D77" w:rsidRDefault="00635C47" w:rsidP="00C812E5">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sectPr w:rsidR="005B7789" w:rsidRPr="00C01D77" w:rsidSect="00175BCE">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A40" w:rsidRDefault="00EC4A40">
      <w:r>
        <w:separator/>
      </w:r>
    </w:p>
  </w:endnote>
  <w:endnote w:type="continuationSeparator" w:id="0">
    <w:p w:rsidR="00EC4A40" w:rsidRDefault="00EC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951B43" w:rsidRDefault="007E3C0E" w:rsidP="00593795">
    <w:pPr>
      <w:pStyle w:val="Footer"/>
      <w:jc w:val="center"/>
      <w:rPr>
        <w:rFonts w:ascii="Book Antiqua" w:hAnsi="Book Antiqua" w:cs="Arial"/>
      </w:rPr>
    </w:pPr>
    <w:r w:rsidRPr="00951B43">
      <w:rPr>
        <w:rStyle w:val="PageNumber"/>
        <w:rFonts w:ascii="Book Antiqua" w:hAnsi="Book Antiqua" w:cs="Arial"/>
      </w:rPr>
      <w:fldChar w:fldCharType="begin"/>
    </w:r>
    <w:r w:rsidR="00122BC1" w:rsidRPr="00951B43">
      <w:rPr>
        <w:rStyle w:val="PageNumber"/>
        <w:rFonts w:ascii="Book Antiqua" w:hAnsi="Book Antiqua" w:cs="Arial"/>
      </w:rPr>
      <w:instrText xml:space="preserve"> PAGE </w:instrText>
    </w:r>
    <w:r w:rsidRPr="00951B43">
      <w:rPr>
        <w:rStyle w:val="PageNumber"/>
        <w:rFonts w:ascii="Book Antiqua" w:hAnsi="Book Antiqua" w:cs="Arial"/>
      </w:rPr>
      <w:fldChar w:fldCharType="separate"/>
    </w:r>
    <w:r w:rsidR="00FC6217">
      <w:rPr>
        <w:rStyle w:val="PageNumber"/>
        <w:rFonts w:ascii="Book Antiqua" w:hAnsi="Book Antiqua" w:cs="Arial"/>
        <w:noProof/>
      </w:rPr>
      <w:t>3</w:t>
    </w:r>
    <w:r w:rsidRPr="00951B4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A40" w:rsidRDefault="00EC4A40">
      <w:r>
        <w:separator/>
      </w:r>
    </w:p>
  </w:footnote>
  <w:footnote w:type="continuationSeparator" w:id="0">
    <w:p w:rsidR="00EC4A40" w:rsidRDefault="00EC4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0D416D">
      <w:rPr>
        <w:rFonts w:ascii="Book Antiqua" w:hAnsi="Book Antiqua" w:cs="Arial"/>
        <w:sz w:val="16"/>
        <w:szCs w:val="16"/>
      </w:rPr>
      <w:t>HU/10219/2016</w:t>
    </w:r>
  </w:p>
  <w:p w:rsidR="00951B43" w:rsidRPr="00C01D77" w:rsidRDefault="00951B4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393287BC"/>
    <w:lvl w:ilvl="0">
      <w:start w:val="1"/>
      <w:numFmt w:val="decimal"/>
      <w:lvlText w:val="%1."/>
      <w:lvlJc w:val="left"/>
      <w:pPr>
        <w:tabs>
          <w:tab w:val="num" w:pos="567"/>
        </w:tabs>
        <w:ind w:left="567" w:hanging="567"/>
      </w:pPr>
      <w:rPr>
        <w:rFonts w:hint="default"/>
      </w:rPr>
    </w:lvl>
    <w:lvl w:ilvl="1">
      <w:start w:val="1"/>
      <w:numFmt w:val="bullet"/>
      <w:lvlText w:val=""/>
      <w:lvlJc w:val="left"/>
      <w:pPr>
        <w:tabs>
          <w:tab w:val="num" w:pos="1134"/>
        </w:tabs>
        <w:ind w:left="1134" w:hanging="567"/>
      </w:pPr>
      <w:rPr>
        <w:rFonts w:ascii="Symbol" w:hAnsi="Symbol" w:hint="default"/>
        <w:color w:val="auto"/>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BFA523C"/>
    <w:multiLevelType w:val="multilevel"/>
    <w:tmpl w:val="415CED4E"/>
    <w:lvl w:ilvl="0">
      <w:start w:val="1"/>
      <w:numFmt w:val="decimal"/>
      <w:lvlText w:val="%1."/>
      <w:lvlJc w:val="left"/>
      <w:pPr>
        <w:tabs>
          <w:tab w:val="num" w:pos="567"/>
        </w:tabs>
        <w:ind w:left="567" w:hanging="567"/>
      </w:pPr>
      <w:rPr>
        <w:rFonts w:hint="default"/>
      </w:rPr>
    </w:lvl>
    <w:lvl w:ilvl="1">
      <w:start w:val="1"/>
      <w:numFmt w:val="bullet"/>
      <w:lvlText w:val=""/>
      <w:lvlJc w:val="left"/>
      <w:pPr>
        <w:tabs>
          <w:tab w:val="num" w:pos="1134"/>
        </w:tabs>
        <w:ind w:left="1134" w:hanging="567"/>
      </w:pPr>
      <w:rPr>
        <w:rFonts w:ascii="Symbol" w:hAnsi="Symbol"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0"/>
  </w:num>
  <w:num w:numId="6">
    <w:abstractNumId w:val="12"/>
  </w:num>
  <w:num w:numId="7">
    <w:abstractNumId w:val="19"/>
  </w:num>
  <w:num w:numId="8">
    <w:abstractNumId w:val="8"/>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9"/>
  </w:num>
  <w:num w:numId="19">
    <w:abstractNumId w:val="10"/>
  </w:num>
  <w:num w:numId="20">
    <w:abstractNumId w:val="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AF"/>
    <w:rsid w:val="00000621"/>
    <w:rsid w:val="000036C2"/>
    <w:rsid w:val="00021BDB"/>
    <w:rsid w:val="00032B9C"/>
    <w:rsid w:val="00033D3D"/>
    <w:rsid w:val="00036669"/>
    <w:rsid w:val="000369F5"/>
    <w:rsid w:val="00045030"/>
    <w:rsid w:val="00071A7E"/>
    <w:rsid w:val="00073E80"/>
    <w:rsid w:val="000746C0"/>
    <w:rsid w:val="00074D1D"/>
    <w:rsid w:val="00092580"/>
    <w:rsid w:val="000B24E7"/>
    <w:rsid w:val="000B3B14"/>
    <w:rsid w:val="000B4B02"/>
    <w:rsid w:val="000C7BD4"/>
    <w:rsid w:val="000D416D"/>
    <w:rsid w:val="000D5D94"/>
    <w:rsid w:val="000E2500"/>
    <w:rsid w:val="001165A7"/>
    <w:rsid w:val="00122BC1"/>
    <w:rsid w:val="00151BB7"/>
    <w:rsid w:val="00167D3A"/>
    <w:rsid w:val="00175BCE"/>
    <w:rsid w:val="0018671D"/>
    <w:rsid w:val="001D7D80"/>
    <w:rsid w:val="001F2716"/>
    <w:rsid w:val="0020133A"/>
    <w:rsid w:val="00207229"/>
    <w:rsid w:val="00207617"/>
    <w:rsid w:val="00215199"/>
    <w:rsid w:val="00261413"/>
    <w:rsid w:val="002664BD"/>
    <w:rsid w:val="00283659"/>
    <w:rsid w:val="0029282D"/>
    <w:rsid w:val="002B7E5C"/>
    <w:rsid w:val="002C4E73"/>
    <w:rsid w:val="002D68BF"/>
    <w:rsid w:val="00336CBF"/>
    <w:rsid w:val="003546C8"/>
    <w:rsid w:val="003648C0"/>
    <w:rsid w:val="00364AF7"/>
    <w:rsid w:val="00371DD8"/>
    <w:rsid w:val="00372450"/>
    <w:rsid w:val="003A7CF2"/>
    <w:rsid w:val="003C5CE5"/>
    <w:rsid w:val="003E267B"/>
    <w:rsid w:val="003E7CD1"/>
    <w:rsid w:val="00402B9E"/>
    <w:rsid w:val="00405A3F"/>
    <w:rsid w:val="004067C4"/>
    <w:rsid w:val="00423932"/>
    <w:rsid w:val="004249CB"/>
    <w:rsid w:val="0044127D"/>
    <w:rsid w:val="004448DB"/>
    <w:rsid w:val="00446C9A"/>
    <w:rsid w:val="0047262D"/>
    <w:rsid w:val="00477193"/>
    <w:rsid w:val="004A1848"/>
    <w:rsid w:val="00507FEC"/>
    <w:rsid w:val="00510F0E"/>
    <w:rsid w:val="005479E1"/>
    <w:rsid w:val="00551122"/>
    <w:rsid w:val="005570FD"/>
    <w:rsid w:val="005575EA"/>
    <w:rsid w:val="00572F43"/>
    <w:rsid w:val="00573039"/>
    <w:rsid w:val="0057790C"/>
    <w:rsid w:val="00593795"/>
    <w:rsid w:val="005A75FF"/>
    <w:rsid w:val="005B7789"/>
    <w:rsid w:val="005D5A73"/>
    <w:rsid w:val="005D6B48"/>
    <w:rsid w:val="00635C47"/>
    <w:rsid w:val="0065791C"/>
    <w:rsid w:val="00690B8A"/>
    <w:rsid w:val="006B6451"/>
    <w:rsid w:val="006D1DFA"/>
    <w:rsid w:val="006D506B"/>
    <w:rsid w:val="006D5EEF"/>
    <w:rsid w:val="006E3C90"/>
    <w:rsid w:val="00704B61"/>
    <w:rsid w:val="0072401A"/>
    <w:rsid w:val="007419A9"/>
    <w:rsid w:val="007421B9"/>
    <w:rsid w:val="00742A8D"/>
    <w:rsid w:val="0074504A"/>
    <w:rsid w:val="007552A9"/>
    <w:rsid w:val="00761858"/>
    <w:rsid w:val="00767D59"/>
    <w:rsid w:val="0077106A"/>
    <w:rsid w:val="00776E97"/>
    <w:rsid w:val="00780FD7"/>
    <w:rsid w:val="007912AD"/>
    <w:rsid w:val="007A6AED"/>
    <w:rsid w:val="007B0824"/>
    <w:rsid w:val="007B6BD8"/>
    <w:rsid w:val="007D1C7D"/>
    <w:rsid w:val="007E3C0E"/>
    <w:rsid w:val="00825478"/>
    <w:rsid w:val="008303B8"/>
    <w:rsid w:val="00833DCE"/>
    <w:rsid w:val="00871D34"/>
    <w:rsid w:val="008808F5"/>
    <w:rsid w:val="008B270C"/>
    <w:rsid w:val="008C3D3D"/>
    <w:rsid w:val="008C3F45"/>
    <w:rsid w:val="008D4131"/>
    <w:rsid w:val="008F1932"/>
    <w:rsid w:val="008F294D"/>
    <w:rsid w:val="00920144"/>
    <w:rsid w:val="00921062"/>
    <w:rsid w:val="00922E43"/>
    <w:rsid w:val="0093322B"/>
    <w:rsid w:val="0094765E"/>
    <w:rsid w:val="009479DB"/>
    <w:rsid w:val="00951B43"/>
    <w:rsid w:val="00966ECF"/>
    <w:rsid w:val="009727A3"/>
    <w:rsid w:val="00973661"/>
    <w:rsid w:val="00987774"/>
    <w:rsid w:val="009A11E8"/>
    <w:rsid w:val="009E57CE"/>
    <w:rsid w:val="009F5220"/>
    <w:rsid w:val="009F7C4D"/>
    <w:rsid w:val="00A12991"/>
    <w:rsid w:val="00A14A37"/>
    <w:rsid w:val="00A15234"/>
    <w:rsid w:val="00A201AB"/>
    <w:rsid w:val="00A31C8B"/>
    <w:rsid w:val="00A40D60"/>
    <w:rsid w:val="00A53CEB"/>
    <w:rsid w:val="00A56F65"/>
    <w:rsid w:val="00A62E4B"/>
    <w:rsid w:val="00A845DC"/>
    <w:rsid w:val="00A87E98"/>
    <w:rsid w:val="00A97AEE"/>
    <w:rsid w:val="00AC5CF6"/>
    <w:rsid w:val="00AD7A85"/>
    <w:rsid w:val="00AE7547"/>
    <w:rsid w:val="00B02D2F"/>
    <w:rsid w:val="00B144FA"/>
    <w:rsid w:val="00B30648"/>
    <w:rsid w:val="00B3524D"/>
    <w:rsid w:val="00B370C1"/>
    <w:rsid w:val="00B40F69"/>
    <w:rsid w:val="00B46616"/>
    <w:rsid w:val="00B61205"/>
    <w:rsid w:val="00B617C4"/>
    <w:rsid w:val="00B626FA"/>
    <w:rsid w:val="00B7040A"/>
    <w:rsid w:val="00B86C3D"/>
    <w:rsid w:val="00BB0651"/>
    <w:rsid w:val="00BD4196"/>
    <w:rsid w:val="00BE6907"/>
    <w:rsid w:val="00BF22CA"/>
    <w:rsid w:val="00BF6310"/>
    <w:rsid w:val="00C01D77"/>
    <w:rsid w:val="00C22723"/>
    <w:rsid w:val="00C234FC"/>
    <w:rsid w:val="00C26032"/>
    <w:rsid w:val="00C265B0"/>
    <w:rsid w:val="00C345E1"/>
    <w:rsid w:val="00C61C08"/>
    <w:rsid w:val="00C72CDC"/>
    <w:rsid w:val="00C812E5"/>
    <w:rsid w:val="00CB6E35"/>
    <w:rsid w:val="00CE1A46"/>
    <w:rsid w:val="00CF091B"/>
    <w:rsid w:val="00CF253F"/>
    <w:rsid w:val="00CF56B4"/>
    <w:rsid w:val="00D20F09"/>
    <w:rsid w:val="00D22636"/>
    <w:rsid w:val="00D40FD9"/>
    <w:rsid w:val="00D53769"/>
    <w:rsid w:val="00D74AFC"/>
    <w:rsid w:val="00D85C13"/>
    <w:rsid w:val="00D91BE3"/>
    <w:rsid w:val="00D94AFC"/>
    <w:rsid w:val="00DB70AE"/>
    <w:rsid w:val="00DB7231"/>
    <w:rsid w:val="00DD5071"/>
    <w:rsid w:val="00DD5C39"/>
    <w:rsid w:val="00DE26AF"/>
    <w:rsid w:val="00DE7DB7"/>
    <w:rsid w:val="00DF0231"/>
    <w:rsid w:val="00E00A0A"/>
    <w:rsid w:val="00E07F57"/>
    <w:rsid w:val="00E333C1"/>
    <w:rsid w:val="00E50BCE"/>
    <w:rsid w:val="00E51376"/>
    <w:rsid w:val="00E61292"/>
    <w:rsid w:val="00E76309"/>
    <w:rsid w:val="00E77C4D"/>
    <w:rsid w:val="00E81D01"/>
    <w:rsid w:val="00E943B7"/>
    <w:rsid w:val="00EC4A40"/>
    <w:rsid w:val="00EE45D8"/>
    <w:rsid w:val="00EF4E8F"/>
    <w:rsid w:val="00F004CD"/>
    <w:rsid w:val="00F22EDA"/>
    <w:rsid w:val="00F33E0E"/>
    <w:rsid w:val="00F41153"/>
    <w:rsid w:val="00F44EF3"/>
    <w:rsid w:val="00F85A72"/>
    <w:rsid w:val="00F92C21"/>
    <w:rsid w:val="00FB7E80"/>
    <w:rsid w:val="00FC28B0"/>
    <w:rsid w:val="00FC6217"/>
    <w:rsid w:val="00FE3C37"/>
    <w:rsid w:val="00FF1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3796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14A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1527</Words>
  <Characters>7571</Characters>
  <Application>Microsoft Office Word</Application>
  <DocSecurity>0</DocSecurity>
  <Lines>63</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2018-06-12T12:20:00Z</dcterms:created>
  <dcterms:modified xsi:type="dcterms:W3CDTF">2018-06-12T12:20:00Z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