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2DD" w:rsidRDefault="00F052DD" w:rsidP="009A5AD7">
      <w:pPr>
        <w:rPr>
          <w:rFonts w:ascii="Book Antiqua" w:hAnsi="Book Antiqua" w:cs="Arial"/>
          <w:sz w:val="16"/>
          <w:szCs w:val="16"/>
        </w:rPr>
      </w:pPr>
    </w:p>
    <w:p w:rsidR="009A5AD7" w:rsidRPr="00F5664C" w:rsidRDefault="002E5C09" w:rsidP="009A5AD7">
      <w:pPr>
        <w:rPr>
          <w:rFonts w:ascii="Book Antiqua" w:hAnsi="Book Antiqua" w:cs="Arial"/>
          <w:sz w:val="16"/>
          <w:szCs w:val="16"/>
        </w:rPr>
      </w:pPr>
      <w:r>
        <w:rPr>
          <w:noProof/>
        </w:rPr>
        <w:drawing>
          <wp:anchor distT="0" distB="0" distL="114300" distR="114300" simplePos="0" relativeHeight="251656704" behindDoc="0" locked="0" layoutInCell="1" allowOverlap="1">
            <wp:simplePos x="0" y="0"/>
            <wp:positionH relativeFrom="column">
              <wp:posOffset>2343150</wp:posOffset>
            </wp:positionH>
            <wp:positionV relativeFrom="paragraph">
              <wp:posOffset>0</wp:posOffset>
            </wp:positionV>
            <wp:extent cx="1047750" cy="904875"/>
            <wp:effectExtent l="0" t="0" r="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5AD7" w:rsidRPr="00F5664C" w:rsidRDefault="009A5AD7" w:rsidP="009A5AD7">
      <w:pPr>
        <w:rPr>
          <w:rFonts w:ascii="Book Antiqua" w:hAnsi="Book Antiqua" w:cs="Arial"/>
        </w:rPr>
      </w:pPr>
    </w:p>
    <w:p w:rsidR="00F052DD" w:rsidRDefault="00F052DD" w:rsidP="009A5AD7">
      <w:pPr>
        <w:tabs>
          <w:tab w:val="right" w:pos="9639"/>
        </w:tabs>
        <w:rPr>
          <w:rFonts w:ascii="Book Antiqua" w:hAnsi="Book Antiqua" w:cs="Arial"/>
          <w:b/>
        </w:rPr>
      </w:pPr>
    </w:p>
    <w:p w:rsidR="00F052DD" w:rsidRDefault="00F052DD" w:rsidP="009A5AD7">
      <w:pPr>
        <w:tabs>
          <w:tab w:val="right" w:pos="9639"/>
        </w:tabs>
        <w:rPr>
          <w:rFonts w:ascii="Book Antiqua" w:hAnsi="Book Antiqua" w:cs="Arial"/>
          <w:b/>
        </w:rPr>
      </w:pPr>
    </w:p>
    <w:p w:rsidR="009A5AD7" w:rsidRPr="00F5664C" w:rsidRDefault="009A5AD7" w:rsidP="009A5AD7">
      <w:pPr>
        <w:tabs>
          <w:tab w:val="right" w:pos="9639"/>
        </w:tabs>
        <w:rPr>
          <w:rFonts w:ascii="Book Antiqua" w:hAnsi="Book Antiqua" w:cs="Arial"/>
          <w:b/>
        </w:rPr>
      </w:pPr>
      <w:r>
        <w:rPr>
          <w:rFonts w:ascii="Book Antiqua" w:hAnsi="Book Antiqua" w:cs="Arial"/>
          <w:b/>
        </w:rPr>
        <w:t>Upper Tribunal</w:t>
      </w:r>
    </w:p>
    <w:p w:rsidR="00240FAE" w:rsidRPr="00240FAE" w:rsidRDefault="009A5AD7" w:rsidP="00F052DD">
      <w:pPr>
        <w:tabs>
          <w:tab w:val="right" w:pos="9639"/>
        </w:tabs>
        <w:jc w:val="right"/>
        <w:rPr>
          <w:rFonts w:ascii="Book Antiqua" w:hAnsi="Book Antiqua" w:cs="Arial"/>
        </w:rPr>
      </w:pPr>
      <w:r w:rsidRPr="00F5664C">
        <w:rPr>
          <w:rFonts w:ascii="Book Antiqua" w:hAnsi="Book Antiqua" w:cs="Arial"/>
          <w:b/>
        </w:rPr>
        <w:t>(</w:t>
      </w:r>
      <w:r w:rsidR="00240FAE">
        <w:rPr>
          <w:rFonts w:ascii="Book Antiqua" w:hAnsi="Book Antiqua" w:cs="Arial"/>
          <w:b/>
        </w:rPr>
        <w:t>Immigration and Asylum Chamber)</w:t>
      </w:r>
      <w:r w:rsidR="00F052DD">
        <w:rPr>
          <w:rFonts w:ascii="Book Antiqua" w:hAnsi="Book Antiqua" w:cs="Arial"/>
          <w:b/>
        </w:rPr>
        <w:tab/>
      </w:r>
      <w:r w:rsidRPr="00F5664C">
        <w:rPr>
          <w:rFonts w:ascii="Book Antiqua" w:hAnsi="Book Antiqua" w:cs="Arial"/>
        </w:rPr>
        <w:t>Appeal Number:</w:t>
      </w:r>
      <w:r w:rsidR="00240FAE">
        <w:rPr>
          <w:rFonts w:ascii="Book Antiqua" w:hAnsi="Book Antiqua" w:cs="Arial"/>
        </w:rPr>
        <w:t xml:space="preserve"> </w:t>
      </w:r>
      <w:bookmarkStart w:id="0" w:name="_Hlk518314460"/>
      <w:r w:rsidR="00240FAE" w:rsidRPr="00240FAE">
        <w:rPr>
          <w:rFonts w:ascii="Book Antiqua" w:hAnsi="Book Antiqua" w:cs="Arial"/>
        </w:rPr>
        <w:t>HU/10332/2017</w:t>
      </w:r>
      <w:r w:rsidR="00240FAE">
        <w:rPr>
          <w:rFonts w:ascii="Book Antiqua" w:hAnsi="Book Antiqua" w:cs="Arial"/>
        </w:rPr>
        <w:t xml:space="preserve">                                                                                                                                              </w:t>
      </w:r>
      <w:r w:rsidR="00240FAE" w:rsidRPr="00240FAE">
        <w:rPr>
          <w:rFonts w:ascii="Book Antiqua" w:hAnsi="Book Antiqua" w:cs="Arial"/>
        </w:rPr>
        <w:t xml:space="preserve">                                                                                                                                       HU/10328/2017</w:t>
      </w:r>
      <w:bookmarkEnd w:id="0"/>
      <w:r w:rsidR="00240FAE">
        <w:rPr>
          <w:rFonts w:ascii="Book Antiqua" w:hAnsi="Book Antiqua" w:cs="Arial"/>
        </w:rPr>
        <w:t xml:space="preserve">                                                                                                                                                  </w:t>
      </w:r>
    </w:p>
    <w:p w:rsidR="00F052DD" w:rsidRDefault="00F052DD" w:rsidP="009A5AD7">
      <w:pPr>
        <w:jc w:val="center"/>
        <w:rPr>
          <w:rFonts w:ascii="Book Antiqua" w:hAnsi="Book Antiqua" w:cs="Arial"/>
          <w:b/>
          <w:u w:val="single"/>
        </w:rPr>
      </w:pPr>
    </w:p>
    <w:p w:rsidR="009A5AD7" w:rsidRDefault="009A5AD7" w:rsidP="009A5AD7">
      <w:pPr>
        <w:jc w:val="center"/>
        <w:rPr>
          <w:rFonts w:ascii="Book Antiqua" w:hAnsi="Book Antiqua" w:cs="Arial"/>
          <w:b/>
          <w:u w:val="single"/>
        </w:rPr>
      </w:pPr>
      <w:r>
        <w:rPr>
          <w:rFonts w:ascii="Book Antiqua" w:hAnsi="Book Antiqua" w:cs="Arial"/>
          <w:b/>
          <w:u w:val="single"/>
        </w:rPr>
        <w:t>THE IMMIGRATION ACT</w:t>
      </w:r>
    </w:p>
    <w:p w:rsidR="00F052DD" w:rsidRPr="00A77B1C" w:rsidRDefault="00F052DD" w:rsidP="009A5AD7">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9A5AD7" w:rsidRPr="001217A1" w:rsidTr="001D18CD">
        <w:tc>
          <w:tcPr>
            <w:tcW w:w="6048" w:type="dxa"/>
            <w:shd w:val="clear" w:color="auto" w:fill="auto"/>
          </w:tcPr>
          <w:p w:rsidR="009A5AD7" w:rsidRPr="001217A1" w:rsidRDefault="009A5AD7" w:rsidP="001D18CD">
            <w:pPr>
              <w:jc w:val="both"/>
              <w:rPr>
                <w:rFonts w:ascii="Book Antiqua" w:hAnsi="Book Antiqua" w:cs="Arial"/>
                <w:b/>
              </w:rPr>
            </w:pPr>
            <w:r w:rsidRPr="001217A1">
              <w:rPr>
                <w:rFonts w:ascii="Book Antiqua" w:hAnsi="Book Antiqua" w:cs="Arial"/>
                <w:b/>
              </w:rPr>
              <w:t xml:space="preserve">Heard at </w:t>
            </w:r>
            <w:r>
              <w:rPr>
                <w:rFonts w:ascii="Book Antiqua" w:hAnsi="Book Antiqua" w:cs="Arial"/>
                <w:b/>
              </w:rPr>
              <w:t xml:space="preserve">Field House </w:t>
            </w:r>
          </w:p>
        </w:tc>
        <w:tc>
          <w:tcPr>
            <w:tcW w:w="3960" w:type="dxa"/>
            <w:shd w:val="clear" w:color="auto" w:fill="auto"/>
          </w:tcPr>
          <w:p w:rsidR="009A5AD7" w:rsidRPr="001217A1" w:rsidRDefault="009A5AD7" w:rsidP="001D18CD">
            <w:pPr>
              <w:jc w:val="both"/>
              <w:rPr>
                <w:rFonts w:ascii="Book Antiqua" w:hAnsi="Book Antiqua" w:cs="Arial"/>
                <w:b/>
              </w:rPr>
            </w:pPr>
            <w:r w:rsidRPr="001217A1">
              <w:rPr>
                <w:rFonts w:ascii="Book Antiqua" w:hAnsi="Book Antiqua" w:cs="Arial"/>
                <w:b/>
              </w:rPr>
              <w:t>Decision &amp; Reasons Promulgated</w:t>
            </w:r>
          </w:p>
        </w:tc>
      </w:tr>
      <w:tr w:rsidR="009A5AD7" w:rsidRPr="001217A1" w:rsidTr="001D18CD">
        <w:tc>
          <w:tcPr>
            <w:tcW w:w="6048" w:type="dxa"/>
            <w:shd w:val="clear" w:color="auto" w:fill="auto"/>
          </w:tcPr>
          <w:p w:rsidR="009A5AD7" w:rsidRPr="001217A1" w:rsidRDefault="009A5AD7" w:rsidP="001D18CD">
            <w:pPr>
              <w:jc w:val="both"/>
              <w:rPr>
                <w:rFonts w:ascii="Book Antiqua" w:hAnsi="Book Antiqua" w:cs="Arial"/>
                <w:b/>
              </w:rPr>
            </w:pPr>
            <w:r w:rsidRPr="001217A1">
              <w:rPr>
                <w:rFonts w:ascii="Book Antiqua" w:hAnsi="Book Antiqua" w:cs="Arial"/>
                <w:b/>
              </w:rPr>
              <w:t xml:space="preserve">On </w:t>
            </w:r>
            <w:r>
              <w:rPr>
                <w:rFonts w:ascii="Book Antiqua" w:hAnsi="Book Antiqua" w:cs="Arial"/>
                <w:b/>
              </w:rPr>
              <w:t>13</w:t>
            </w:r>
            <w:r w:rsidRPr="00176BCC">
              <w:rPr>
                <w:rFonts w:ascii="Book Antiqua" w:hAnsi="Book Antiqua" w:cs="Arial"/>
                <w:b/>
                <w:vertAlign w:val="superscript"/>
              </w:rPr>
              <w:t>th</w:t>
            </w:r>
            <w:r>
              <w:rPr>
                <w:rFonts w:ascii="Book Antiqua" w:hAnsi="Book Antiqua" w:cs="Arial"/>
                <w:b/>
              </w:rPr>
              <w:t xml:space="preserve"> June 2018</w:t>
            </w:r>
          </w:p>
        </w:tc>
        <w:tc>
          <w:tcPr>
            <w:tcW w:w="3960" w:type="dxa"/>
            <w:shd w:val="clear" w:color="auto" w:fill="auto"/>
          </w:tcPr>
          <w:p w:rsidR="009A5AD7" w:rsidRPr="001217A1" w:rsidRDefault="00F95B92" w:rsidP="001D18CD">
            <w:pPr>
              <w:jc w:val="both"/>
              <w:rPr>
                <w:rFonts w:ascii="Book Antiqua" w:hAnsi="Book Antiqua" w:cs="Arial"/>
                <w:b/>
              </w:rPr>
            </w:pPr>
            <w:r>
              <w:rPr>
                <w:rFonts w:ascii="Book Antiqua" w:hAnsi="Book Antiqua" w:cs="Arial"/>
                <w:b/>
              </w:rPr>
              <w:t>On 3</w:t>
            </w:r>
            <w:r w:rsidRPr="00F95B92">
              <w:rPr>
                <w:rFonts w:ascii="Book Antiqua" w:hAnsi="Book Antiqua" w:cs="Arial"/>
                <w:b/>
                <w:vertAlign w:val="superscript"/>
              </w:rPr>
              <w:t>rd</w:t>
            </w:r>
            <w:r>
              <w:rPr>
                <w:rFonts w:ascii="Book Antiqua" w:hAnsi="Book Antiqua" w:cs="Arial"/>
                <w:b/>
              </w:rPr>
              <w:t xml:space="preserve"> July 2018</w:t>
            </w:r>
          </w:p>
        </w:tc>
      </w:tr>
      <w:tr w:rsidR="009A5AD7" w:rsidRPr="001217A1" w:rsidTr="001D18CD">
        <w:tc>
          <w:tcPr>
            <w:tcW w:w="6048" w:type="dxa"/>
            <w:shd w:val="clear" w:color="auto" w:fill="auto"/>
          </w:tcPr>
          <w:p w:rsidR="009A5AD7" w:rsidRPr="001217A1" w:rsidRDefault="009A5AD7" w:rsidP="001D18CD">
            <w:pPr>
              <w:jc w:val="both"/>
              <w:rPr>
                <w:rFonts w:ascii="Book Antiqua" w:hAnsi="Book Antiqua" w:cs="Arial"/>
                <w:b/>
              </w:rPr>
            </w:pPr>
          </w:p>
        </w:tc>
        <w:tc>
          <w:tcPr>
            <w:tcW w:w="3960" w:type="dxa"/>
            <w:shd w:val="clear" w:color="auto" w:fill="auto"/>
          </w:tcPr>
          <w:p w:rsidR="009A5AD7" w:rsidRPr="001217A1" w:rsidRDefault="009A5AD7" w:rsidP="001D18CD">
            <w:pPr>
              <w:jc w:val="both"/>
              <w:rPr>
                <w:rFonts w:ascii="Book Antiqua" w:hAnsi="Book Antiqua" w:cs="Arial"/>
                <w:b/>
              </w:rPr>
            </w:pPr>
          </w:p>
        </w:tc>
      </w:tr>
    </w:tbl>
    <w:p w:rsidR="009A5AD7" w:rsidRPr="00F5664C" w:rsidRDefault="009A5AD7" w:rsidP="009A5AD7">
      <w:pPr>
        <w:jc w:val="center"/>
        <w:rPr>
          <w:rFonts w:ascii="Book Antiqua" w:hAnsi="Book Antiqua" w:cs="Arial"/>
          <w:b/>
        </w:rPr>
      </w:pPr>
      <w:r>
        <w:rPr>
          <w:rFonts w:ascii="Book Antiqua" w:hAnsi="Book Antiqua" w:cs="Arial"/>
          <w:b/>
        </w:rPr>
        <w:t>Before</w:t>
      </w:r>
    </w:p>
    <w:p w:rsidR="009A5AD7" w:rsidRPr="00F5664C" w:rsidRDefault="009A5AD7" w:rsidP="009A5AD7">
      <w:pPr>
        <w:jc w:val="center"/>
        <w:rPr>
          <w:rFonts w:ascii="Book Antiqua" w:hAnsi="Book Antiqua" w:cs="Arial"/>
          <w:b/>
        </w:rPr>
      </w:pPr>
      <w:r>
        <w:rPr>
          <w:rFonts w:ascii="Book Antiqua" w:hAnsi="Book Antiqua" w:cs="Arial"/>
          <w:b/>
        </w:rPr>
        <w:t>DEPUTY UPPER TRIBUNAL JUDGE MCCLURE</w:t>
      </w:r>
    </w:p>
    <w:p w:rsidR="00F052DD" w:rsidRDefault="00F052DD" w:rsidP="009A5AD7">
      <w:pPr>
        <w:jc w:val="center"/>
        <w:rPr>
          <w:rFonts w:ascii="Book Antiqua" w:hAnsi="Book Antiqua" w:cs="Arial"/>
          <w:b/>
        </w:rPr>
      </w:pPr>
    </w:p>
    <w:p w:rsidR="009A5AD7" w:rsidRDefault="009A5AD7" w:rsidP="009A5AD7">
      <w:pPr>
        <w:jc w:val="center"/>
        <w:rPr>
          <w:rFonts w:ascii="Book Antiqua" w:hAnsi="Book Antiqua" w:cs="Arial"/>
          <w:b/>
        </w:rPr>
      </w:pPr>
      <w:r>
        <w:rPr>
          <w:rFonts w:ascii="Book Antiqua" w:hAnsi="Book Antiqua" w:cs="Arial"/>
          <w:b/>
        </w:rPr>
        <w:t>Between</w:t>
      </w:r>
    </w:p>
    <w:p w:rsidR="009A5AD7" w:rsidRDefault="009A5AD7" w:rsidP="009A5AD7">
      <w:pPr>
        <w:jc w:val="center"/>
        <w:rPr>
          <w:rFonts w:ascii="Book Antiqua" w:hAnsi="Book Antiqua" w:cs="Arial"/>
          <w:b/>
        </w:rPr>
      </w:pPr>
      <w:r>
        <w:rPr>
          <w:rFonts w:ascii="Book Antiqua" w:hAnsi="Book Antiqua" w:cs="Arial"/>
          <w:b/>
        </w:rPr>
        <w:t>EM &amp; CM</w:t>
      </w:r>
    </w:p>
    <w:p w:rsidR="009A5AD7" w:rsidRDefault="009A5AD7" w:rsidP="009A5AD7">
      <w:pPr>
        <w:jc w:val="center"/>
        <w:rPr>
          <w:rFonts w:ascii="Book Antiqua" w:hAnsi="Book Antiqua" w:cs="Arial"/>
          <w:b/>
        </w:rPr>
      </w:pPr>
      <w:r>
        <w:rPr>
          <w:rFonts w:ascii="Book Antiqua" w:hAnsi="Book Antiqua" w:cs="Arial"/>
          <w:b/>
        </w:rPr>
        <w:t xml:space="preserve">(ANONYMITY DIRECTION MADE) </w:t>
      </w:r>
    </w:p>
    <w:p w:rsidR="009A5AD7" w:rsidRPr="00A77B1C" w:rsidRDefault="009A5AD7" w:rsidP="009A5AD7">
      <w:pPr>
        <w:jc w:val="right"/>
        <w:rPr>
          <w:rFonts w:ascii="Book Antiqua" w:hAnsi="Book Antiqua" w:cs="Arial"/>
          <w:u w:val="single"/>
        </w:rPr>
      </w:pPr>
      <w:r>
        <w:rPr>
          <w:rFonts w:ascii="Book Antiqua" w:hAnsi="Book Antiqua" w:cs="Arial"/>
          <w:u w:val="single"/>
        </w:rPr>
        <w:t>Appellant</w:t>
      </w:r>
    </w:p>
    <w:p w:rsidR="009A5AD7" w:rsidRDefault="009A5AD7" w:rsidP="009A5AD7">
      <w:pPr>
        <w:jc w:val="center"/>
        <w:rPr>
          <w:rFonts w:ascii="Book Antiqua" w:hAnsi="Book Antiqua" w:cs="Arial"/>
          <w:b/>
        </w:rPr>
      </w:pPr>
      <w:r>
        <w:rPr>
          <w:rFonts w:ascii="Book Antiqua" w:hAnsi="Book Antiqua" w:cs="Arial"/>
          <w:b/>
        </w:rPr>
        <w:t>And</w:t>
      </w:r>
    </w:p>
    <w:p w:rsidR="009A5AD7" w:rsidRPr="00F5664C" w:rsidRDefault="009A5AD7" w:rsidP="009A5AD7">
      <w:pPr>
        <w:jc w:val="center"/>
        <w:rPr>
          <w:rFonts w:ascii="Book Antiqua" w:hAnsi="Book Antiqua" w:cs="Arial"/>
          <w:b/>
          <w:caps/>
        </w:rPr>
      </w:pPr>
      <w:r>
        <w:rPr>
          <w:rFonts w:ascii="Book Antiqua" w:hAnsi="Book Antiqua" w:cs="Arial"/>
          <w:b/>
        </w:rPr>
        <w:t>THE SECRETARY OF STATE FOR THE HOME DEPARTMENT</w:t>
      </w:r>
    </w:p>
    <w:p w:rsidR="009A5AD7" w:rsidRPr="00F5664C" w:rsidRDefault="009A5AD7" w:rsidP="009A5AD7">
      <w:pPr>
        <w:jc w:val="right"/>
        <w:rPr>
          <w:rFonts w:ascii="Book Antiqua" w:hAnsi="Book Antiqua" w:cs="Arial"/>
          <w:u w:val="single"/>
        </w:rPr>
      </w:pPr>
      <w:r>
        <w:rPr>
          <w:rFonts w:ascii="Book Antiqua" w:hAnsi="Book Antiqua" w:cs="Arial"/>
          <w:u w:val="single"/>
        </w:rPr>
        <w:t>Respondent</w:t>
      </w:r>
    </w:p>
    <w:p w:rsidR="00F052DD" w:rsidRDefault="00F052DD" w:rsidP="009A5AD7">
      <w:pPr>
        <w:rPr>
          <w:rFonts w:ascii="Book Antiqua" w:hAnsi="Book Antiqua" w:cs="Arial"/>
          <w:b/>
          <w:u w:val="single"/>
        </w:rPr>
      </w:pPr>
    </w:p>
    <w:p w:rsidR="009A5AD7" w:rsidRPr="00F5664C" w:rsidRDefault="009A5AD7" w:rsidP="009A5AD7">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9A5AD7" w:rsidRDefault="009A5AD7" w:rsidP="009A5AD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 xml:space="preserve">Mr A </w:t>
      </w:r>
      <w:proofErr w:type="spellStart"/>
      <w:r>
        <w:rPr>
          <w:rFonts w:ascii="Book Antiqua" w:hAnsi="Book Antiqua" w:cs="Arial"/>
        </w:rPr>
        <w:t>Adewoye</w:t>
      </w:r>
      <w:proofErr w:type="spellEnd"/>
      <w:r>
        <w:rPr>
          <w:rFonts w:ascii="Book Antiqua" w:hAnsi="Book Antiqua" w:cs="Arial"/>
        </w:rPr>
        <w:t xml:space="preserve"> of Prime Solicitors </w:t>
      </w:r>
    </w:p>
    <w:p w:rsidR="009A5AD7" w:rsidRPr="00F5664C" w:rsidRDefault="009A5AD7" w:rsidP="009A5AD7">
      <w:pPr>
        <w:tabs>
          <w:tab w:val="left" w:pos="2520"/>
        </w:tabs>
        <w:rPr>
          <w:rFonts w:ascii="Book Antiqua" w:hAnsi="Book Antiqua" w:cs="Arial"/>
        </w:rPr>
      </w:pPr>
      <w:r>
        <w:rPr>
          <w:rFonts w:ascii="Book Antiqua" w:hAnsi="Book Antiqua" w:cs="Arial"/>
        </w:rPr>
        <w:t xml:space="preserve">For the </w:t>
      </w:r>
      <w:proofErr w:type="gramStart"/>
      <w:r>
        <w:rPr>
          <w:rFonts w:ascii="Book Antiqua" w:hAnsi="Book Antiqua" w:cs="Arial"/>
        </w:rPr>
        <w:t>Respondent :</w:t>
      </w:r>
      <w:proofErr w:type="gramEnd"/>
      <w:r>
        <w:rPr>
          <w:rFonts w:ascii="Book Antiqua" w:hAnsi="Book Antiqua" w:cs="Arial"/>
        </w:rPr>
        <w:tab/>
        <w:t xml:space="preserve">Mr L </w:t>
      </w:r>
      <w:proofErr w:type="spellStart"/>
      <w:r>
        <w:rPr>
          <w:rFonts w:ascii="Book Antiqua" w:hAnsi="Book Antiqua" w:cs="Arial"/>
        </w:rPr>
        <w:t>Tarlow</w:t>
      </w:r>
      <w:proofErr w:type="spellEnd"/>
      <w:r>
        <w:rPr>
          <w:rFonts w:ascii="Book Antiqua" w:hAnsi="Book Antiqua" w:cs="Arial"/>
        </w:rPr>
        <w:t xml:space="preserve"> Senior Home Officer Presenting Officer </w:t>
      </w:r>
    </w:p>
    <w:p w:rsidR="00F052DD" w:rsidRDefault="00F052DD" w:rsidP="009A5AD7">
      <w:pPr>
        <w:tabs>
          <w:tab w:val="left" w:pos="2520"/>
        </w:tabs>
        <w:jc w:val="center"/>
        <w:rPr>
          <w:rFonts w:ascii="Book Antiqua" w:hAnsi="Book Antiqua" w:cs="Arial"/>
          <w:b/>
          <w:u w:val="single"/>
        </w:rPr>
      </w:pPr>
    </w:p>
    <w:p w:rsidR="009A5AD7" w:rsidRPr="00F5664C" w:rsidRDefault="009A5AD7" w:rsidP="009A5AD7">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This is an appeal by the Appellants against the decision of First-tier Tribunal Judge Solly promulgated on the 27</w:t>
      </w:r>
      <w:r w:rsidRPr="00176BCC">
        <w:rPr>
          <w:rFonts w:ascii="Book Antiqua" w:hAnsi="Book Antiqua" w:cs="Arial"/>
          <w:vertAlign w:val="superscript"/>
        </w:rPr>
        <w:t>th</w:t>
      </w:r>
      <w:r>
        <w:rPr>
          <w:rFonts w:ascii="Book Antiqua" w:hAnsi="Book Antiqua" w:cs="Arial"/>
        </w:rPr>
        <w:t xml:space="preserve"> February 2018 whereby the judge dismissed the appellants’ </w:t>
      </w:r>
      <w:r>
        <w:rPr>
          <w:rFonts w:ascii="Book Antiqua" w:hAnsi="Book Antiqua" w:cs="Arial"/>
        </w:rPr>
        <w:lastRenderedPageBreak/>
        <w:t xml:space="preserve">appeals against the decisions of the respondent to refuse the appellants’ claims based on family and private life. </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 xml:space="preserve">I have considered whether or not it is appropriate to make an anonymity direction. These proceedings concern the status and rights of a minor. In the circumstances I consider it appropriate to make an anonymity direction. </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 xml:space="preserve">Leave to appeal to the Upper Tribunal was granted by First-tier Tribunal Judge E M Simpson on 23 April 2018. </w:t>
      </w:r>
      <w:proofErr w:type="gramStart"/>
      <w:r>
        <w:rPr>
          <w:rFonts w:ascii="Book Antiqua" w:hAnsi="Book Antiqua" w:cs="Arial"/>
        </w:rPr>
        <w:t>Thus</w:t>
      </w:r>
      <w:proofErr w:type="gramEnd"/>
      <w:r>
        <w:rPr>
          <w:rFonts w:ascii="Book Antiqua" w:hAnsi="Book Antiqua" w:cs="Arial"/>
        </w:rPr>
        <w:t xml:space="preserve"> the case appeared before me to determine whether or not there was a material error of law in the decision. </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 xml:space="preserve">The material part of the grant of leave </w:t>
      </w:r>
      <w:proofErr w:type="gramStart"/>
      <w:r>
        <w:rPr>
          <w:rFonts w:ascii="Book Antiqua" w:hAnsi="Book Antiqua" w:cs="Arial"/>
        </w:rPr>
        <w:t>provides:-</w:t>
      </w:r>
      <w:proofErr w:type="gramEnd"/>
    </w:p>
    <w:p w:rsidR="009A5AD7" w:rsidRDefault="009A5AD7" w:rsidP="009A5AD7">
      <w:pPr>
        <w:spacing w:before="240" w:after="0" w:line="240" w:lineRule="auto"/>
        <w:ind w:left="567"/>
        <w:jc w:val="both"/>
        <w:rPr>
          <w:rFonts w:ascii="Book Antiqua" w:hAnsi="Book Antiqua" w:cs="Arial"/>
          <w:i/>
        </w:rPr>
      </w:pPr>
      <w:r>
        <w:rPr>
          <w:rFonts w:ascii="Book Antiqua" w:hAnsi="Book Antiqua" w:cs="Arial"/>
          <w:i/>
        </w:rPr>
        <w:t>iii) …. There appeared arguable…… that the judge erred when assessing the linked appeals of the appellants in failing to provide an adequacy of sustainable reasoning on the issue of whether it is reasonable to expect the 2</w:t>
      </w:r>
      <w:r w:rsidRPr="00176BCC">
        <w:rPr>
          <w:rFonts w:ascii="Book Antiqua" w:hAnsi="Book Antiqua" w:cs="Arial"/>
          <w:i/>
          <w:vertAlign w:val="superscript"/>
        </w:rPr>
        <w:t>nd</w:t>
      </w:r>
      <w:r>
        <w:rPr>
          <w:rFonts w:ascii="Book Antiqua" w:hAnsi="Book Antiqua" w:cs="Arial"/>
          <w:i/>
        </w:rPr>
        <w:t xml:space="preserve"> appellant to leave the UK having regard to the respondent’s own policy and PD &amp;</w:t>
      </w:r>
      <w:proofErr w:type="spellStart"/>
      <w:r>
        <w:rPr>
          <w:rFonts w:ascii="Book Antiqua" w:hAnsi="Book Antiqua" w:cs="Arial"/>
          <w:i/>
        </w:rPr>
        <w:t>Oers</w:t>
      </w:r>
      <w:proofErr w:type="spellEnd"/>
      <w:r>
        <w:rPr>
          <w:rFonts w:ascii="Book Antiqua" w:hAnsi="Book Antiqua" w:cs="Arial"/>
          <w:i/>
        </w:rPr>
        <w:t xml:space="preserve"> …2016 UKUT 00108 an authority before the judge relied upon by the appellants of which there was no mention in the assessment, rather only those advance for the respondent inter alia EV (Philippines)&amp; </w:t>
      </w:r>
      <w:proofErr w:type="spellStart"/>
      <w:r>
        <w:rPr>
          <w:rFonts w:ascii="Book Antiqua" w:hAnsi="Book Antiqua" w:cs="Arial"/>
          <w:i/>
        </w:rPr>
        <w:t>Ors</w:t>
      </w:r>
      <w:proofErr w:type="spellEnd"/>
      <w:r>
        <w:rPr>
          <w:rFonts w:ascii="Book Antiqua" w:hAnsi="Book Antiqua" w:cs="Arial"/>
          <w:i/>
        </w:rPr>
        <w:t xml:space="preserve"> [2014]EWCA </w:t>
      </w:r>
      <w:proofErr w:type="spellStart"/>
      <w:r>
        <w:rPr>
          <w:rFonts w:ascii="Book Antiqua" w:hAnsi="Book Antiqua" w:cs="Arial"/>
          <w:i/>
        </w:rPr>
        <w:t>Civ</w:t>
      </w:r>
      <w:proofErr w:type="spellEnd"/>
      <w:r>
        <w:rPr>
          <w:rFonts w:ascii="Book Antiqua" w:hAnsi="Book Antiqua" w:cs="Arial"/>
          <w:i/>
        </w:rPr>
        <w:t xml:space="preserve"> 874 , Kaur [2017] UKUT 00014 (IAC) and AM (Pakistan) &amp;</w:t>
      </w:r>
      <w:proofErr w:type="spellStart"/>
      <w:r>
        <w:rPr>
          <w:rFonts w:ascii="Book Antiqua" w:hAnsi="Book Antiqua" w:cs="Arial"/>
          <w:i/>
        </w:rPr>
        <w:t>Ors</w:t>
      </w:r>
      <w:proofErr w:type="spellEnd"/>
      <w:r>
        <w:rPr>
          <w:rFonts w:ascii="Book Antiqua" w:hAnsi="Book Antiqua" w:cs="Arial"/>
          <w:i/>
        </w:rPr>
        <w:t xml:space="preserve"> [2017] EWCA </w:t>
      </w:r>
      <w:proofErr w:type="spellStart"/>
      <w:r>
        <w:rPr>
          <w:rFonts w:ascii="Book Antiqua" w:hAnsi="Book Antiqua" w:cs="Arial"/>
          <w:i/>
        </w:rPr>
        <w:t>Civ</w:t>
      </w:r>
      <w:proofErr w:type="spellEnd"/>
      <w:r>
        <w:rPr>
          <w:rFonts w:ascii="Book Antiqua" w:hAnsi="Book Antiqua" w:cs="Arial"/>
          <w:i/>
        </w:rPr>
        <w:t xml:space="preserve"> 180. </w:t>
      </w:r>
    </w:p>
    <w:p w:rsidR="009A5AD7" w:rsidRDefault="009A5AD7" w:rsidP="009A5AD7">
      <w:pPr>
        <w:spacing w:before="240" w:after="0" w:line="240" w:lineRule="auto"/>
        <w:ind w:left="567"/>
        <w:jc w:val="both"/>
        <w:rPr>
          <w:rFonts w:ascii="Book Antiqua" w:hAnsi="Book Antiqua" w:cs="Arial"/>
          <w:i/>
        </w:rPr>
      </w:pPr>
      <w:r>
        <w:rPr>
          <w:rFonts w:ascii="Book Antiqua" w:hAnsi="Book Antiqua" w:cs="Arial"/>
          <w:i/>
        </w:rPr>
        <w:t>iv) more particularly having regard to PD above it was arguable that criteria such as the age of the 2</w:t>
      </w:r>
      <w:r w:rsidRPr="00176BCC">
        <w:rPr>
          <w:rFonts w:ascii="Book Antiqua" w:hAnsi="Book Antiqua" w:cs="Arial"/>
          <w:i/>
          <w:vertAlign w:val="superscript"/>
        </w:rPr>
        <w:t>nd</w:t>
      </w:r>
      <w:r>
        <w:rPr>
          <w:rFonts w:ascii="Book Antiqua" w:hAnsi="Book Antiqua" w:cs="Arial"/>
          <w:i/>
        </w:rPr>
        <w:t xml:space="preserve"> appellant, her length of residence in the UK, where she had always been educated the stage at which her education had reached, and the extent of private life ties were together inadequately weighed in the assessment of whether it was reasonable to expect her to leave the UK. </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 xml:space="preserve">During the course of the submissions before me the appellant’s representative consistently referred to the weight given to the elements of the appellant’s case. In that respect I would draw attention to the case of </w:t>
      </w:r>
      <w:r w:rsidRPr="00176BCC">
        <w:rPr>
          <w:rFonts w:ascii="Book Antiqua" w:hAnsi="Book Antiqua" w:cs="Arial"/>
          <w:u w:val="single"/>
        </w:rPr>
        <w:t xml:space="preserve">FK (Kenya) [2010] EWCA </w:t>
      </w:r>
      <w:proofErr w:type="spellStart"/>
      <w:r w:rsidRPr="00176BCC">
        <w:rPr>
          <w:rFonts w:ascii="Book Antiqua" w:hAnsi="Book Antiqua" w:cs="Arial"/>
          <w:u w:val="single"/>
        </w:rPr>
        <w:t>Civ</w:t>
      </w:r>
      <w:proofErr w:type="spellEnd"/>
      <w:r w:rsidRPr="00176BCC">
        <w:rPr>
          <w:rFonts w:ascii="Book Antiqua" w:hAnsi="Book Antiqua" w:cs="Arial"/>
          <w:u w:val="single"/>
        </w:rPr>
        <w:t xml:space="preserve"> 1302</w:t>
      </w:r>
      <w:r>
        <w:rPr>
          <w:rFonts w:ascii="Book Antiqua" w:hAnsi="Book Antiqua" w:cs="Arial"/>
        </w:rPr>
        <w:t xml:space="preserve"> where the issue of the weight to be given to evidence is considered, specifically in paragraph 23 of the judgement of Lord Justice Maurice Kay which </w:t>
      </w:r>
      <w:proofErr w:type="gramStart"/>
      <w:r>
        <w:rPr>
          <w:rFonts w:ascii="Book Antiqua" w:hAnsi="Book Antiqua" w:cs="Arial"/>
        </w:rPr>
        <w:t>provides:-</w:t>
      </w:r>
      <w:proofErr w:type="gramEnd"/>
    </w:p>
    <w:p w:rsidR="009A5AD7" w:rsidRPr="00176BCC" w:rsidRDefault="009A5AD7" w:rsidP="009A5AD7">
      <w:pPr>
        <w:spacing w:before="240" w:after="0" w:line="240" w:lineRule="auto"/>
        <w:ind w:left="567"/>
        <w:jc w:val="both"/>
        <w:rPr>
          <w:rFonts w:ascii="Book Antiqua" w:hAnsi="Book Antiqua" w:cs="Arial"/>
          <w:i/>
        </w:rPr>
      </w:pPr>
      <w:bookmarkStart w:id="1" w:name="para23"/>
      <w:r w:rsidRPr="00176BCC">
        <w:rPr>
          <w:rFonts w:ascii="Book Antiqua" w:hAnsi="Book Antiqua"/>
          <w:i/>
        </w:rPr>
        <w:t>23………. It follows that the appeal on this ground is in effect a perversity challenge, and the submission that undue reliance was being placed by the Immigration Judge on the appellant's convictions amounts to no more than a submission that the Immigration Judge gave that factor too much weight. It is well established that a submission that too much or too little weight has been given to a particular factor does not raise an arguable point of law. There is no suggestion, apart from the submission that the Immigration Judge gave undue weight to the appellant's criminal record, that she failed to take into account any other relevant factor or that she took into account any irrelevant factor. In these circumstances it seems to me there is no proper basis on which this perversity challenge to the Immigration Judge's conclusions can succeed.</w:t>
      </w:r>
      <w:bookmarkEnd w:id="1"/>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 xml:space="preserve">Whilst clearly a failure to give any weight to material factors would constitute an error of law, the issue is whether or not the judge has considered the factors identified and taken such into account in making the findings of facts. It is for the judge to determine what weight to give to such.  </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Whilst the judge has taken account of the fact that the appellant’s daughter is in her GCSE year and that she is doing well, there is little consideration of the consequence of removing her from her GCSE year or just post that year save that it was submitted that the change of environment will damage her education.</w:t>
      </w:r>
      <w:r w:rsidR="00F052DD">
        <w:rPr>
          <w:rFonts w:ascii="Book Antiqua" w:hAnsi="Book Antiqua" w:cs="Arial"/>
        </w:rPr>
        <w:t xml:space="preserve"> </w:t>
      </w:r>
      <w:r>
        <w:rPr>
          <w:rFonts w:ascii="Book Antiqua" w:hAnsi="Book Antiqua" w:cs="Arial"/>
        </w:rPr>
        <w:t>[see paragraph 33 and 39].</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lastRenderedPageBreak/>
        <w:t>What is significant with regard to the approach to the rights of the 2</w:t>
      </w:r>
      <w:r w:rsidRPr="00176BCC">
        <w:rPr>
          <w:rFonts w:ascii="Book Antiqua" w:hAnsi="Book Antiqua" w:cs="Arial"/>
          <w:vertAlign w:val="superscript"/>
        </w:rPr>
        <w:t>nd</w:t>
      </w:r>
      <w:r>
        <w:rPr>
          <w:rFonts w:ascii="Book Antiqua" w:hAnsi="Book Antiqua" w:cs="Arial"/>
        </w:rPr>
        <w:t xml:space="preserve"> appellant is that the judge indicates that the question to be asked was whether or not it would be reasonable to expect the 2</w:t>
      </w:r>
      <w:r w:rsidRPr="00176BCC">
        <w:rPr>
          <w:rFonts w:ascii="Book Antiqua" w:hAnsi="Book Antiqua" w:cs="Arial"/>
          <w:vertAlign w:val="superscript"/>
        </w:rPr>
        <w:t>nd</w:t>
      </w:r>
      <w:r>
        <w:rPr>
          <w:rFonts w:ascii="Book Antiqua" w:hAnsi="Book Antiqua" w:cs="Arial"/>
        </w:rPr>
        <w:t xml:space="preserve"> appellant to leave the United Kingdom.  It is the approach adopted by the judge in assessing Article 8 and is drawing upon the provisions of the Immigration Rules and Section 117B of the 2002 Nationality, Immigration and Asylum Act 2002.</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In that respect I draw attention to the Home Office policy- Family Migration: Appendix FM Section 1.0b –Family Life (as a Partner or Parent) and Private Life: 10-year Routes, which deals with Article 8 rights and family life. In respect of a child that has been in the United Kingdom 7 years of more the policy contains the following.</w:t>
      </w:r>
    </w:p>
    <w:p w:rsidR="009A5AD7" w:rsidRPr="00176BCC" w:rsidRDefault="009A5AD7" w:rsidP="009A5AD7">
      <w:pPr>
        <w:spacing w:before="240" w:after="0" w:line="240" w:lineRule="auto"/>
        <w:ind w:left="567"/>
        <w:jc w:val="both"/>
        <w:rPr>
          <w:rFonts w:ascii="Book Antiqua" w:hAnsi="Book Antiqua" w:cs="Arial"/>
          <w:i/>
        </w:rPr>
      </w:pPr>
      <w:r w:rsidRPr="00176BCC">
        <w:rPr>
          <w:rFonts w:ascii="Book Antiqua" w:hAnsi="Book Antiqua"/>
          <w:i/>
        </w:rPr>
        <w:t>The requirement that a non-British citizen child has lived in the UK for a continuous period of at least the seven years immediately preceding the date of application, recognises that over time children start to put down roots and to integrate into life in the UK, to the extent that it may be unreasonable to require the child to leave the UK. Significant weight must be given to such a period of continuous residence. The longer the child has resided in the UK, and the older the age at which they have done so, the more the balance will begin to shift towards it being unreasonable to expect the child to leave the UK, and strong reasons will be required in order to refuse a case where the outcome will be removal of a child with continuous UK residence of seven years or more.</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The guidance mirrors the approach advocated in the case of MA</w:t>
      </w:r>
      <w:r w:rsidRPr="00467BFC">
        <w:rPr>
          <w:rFonts w:ascii="Book Antiqua" w:hAnsi="Book Antiqua" w:cs="Arial"/>
        </w:rPr>
        <w:t xml:space="preserve"> (Pakistan) 2016 EWCA </w:t>
      </w:r>
      <w:proofErr w:type="spellStart"/>
      <w:r w:rsidRPr="00467BFC">
        <w:rPr>
          <w:rFonts w:ascii="Book Antiqua" w:hAnsi="Book Antiqua" w:cs="Arial"/>
        </w:rPr>
        <w:t>Civ</w:t>
      </w:r>
      <w:proofErr w:type="spellEnd"/>
      <w:r w:rsidRPr="00467BFC">
        <w:rPr>
          <w:rFonts w:ascii="Book Antiqua" w:hAnsi="Book Antiqua" w:cs="Arial"/>
        </w:rPr>
        <w:t xml:space="preserve"> 705 specifically paragraphs 46 to 49</w:t>
      </w:r>
      <w:r>
        <w:rPr>
          <w:rFonts w:ascii="Book Antiqua" w:hAnsi="Book Antiqua" w:cs="Arial"/>
        </w:rPr>
        <w:t xml:space="preserve">in Lord Justice Elias decision which </w:t>
      </w:r>
      <w:proofErr w:type="gramStart"/>
      <w:r>
        <w:rPr>
          <w:rFonts w:ascii="Book Antiqua" w:hAnsi="Book Antiqua" w:cs="Arial"/>
        </w:rPr>
        <w:t>provide:-</w:t>
      </w:r>
      <w:proofErr w:type="gramEnd"/>
    </w:p>
    <w:p w:rsidR="009A5AD7" w:rsidRPr="00176BCC" w:rsidRDefault="009A5AD7" w:rsidP="009A5AD7">
      <w:pPr>
        <w:spacing w:before="240" w:after="0" w:line="240" w:lineRule="auto"/>
        <w:ind w:left="567"/>
        <w:jc w:val="both"/>
        <w:rPr>
          <w:rFonts w:ascii="Book Antiqua" w:eastAsia="Times New Roman" w:hAnsi="Book Antiqua"/>
          <w:i/>
          <w:lang w:eastAsia="en-GB"/>
        </w:rPr>
      </w:pPr>
      <w:proofErr w:type="gramStart"/>
      <w:r w:rsidRPr="00176BCC">
        <w:rPr>
          <w:rFonts w:ascii="Book Antiqua" w:hAnsi="Book Antiqua" w:cs="Arial"/>
          <w:i/>
        </w:rPr>
        <w:t>46</w:t>
      </w:r>
      <w:r w:rsidRPr="00176BCC">
        <w:rPr>
          <w:rFonts w:ascii="Book Antiqua" w:eastAsia="Times New Roman" w:hAnsi="Book Antiqua"/>
          <w:i/>
          <w:lang w:eastAsia="en-GB"/>
        </w:rPr>
        <w:t xml:space="preserve">  </w:t>
      </w:r>
      <w:bookmarkStart w:id="2" w:name="para46"/>
      <w:r w:rsidRPr="00176BCC">
        <w:rPr>
          <w:rFonts w:ascii="Book Antiqua" w:eastAsia="Times New Roman" w:hAnsi="Book Antiqua"/>
          <w:i/>
          <w:lang w:eastAsia="en-GB"/>
        </w:rPr>
        <w:t>Even</w:t>
      </w:r>
      <w:proofErr w:type="gramEnd"/>
      <w:r w:rsidRPr="00176BCC">
        <w:rPr>
          <w:rFonts w:ascii="Book Antiqua" w:eastAsia="Times New Roman" w:hAnsi="Book Antiqua"/>
          <w:i/>
          <w:lang w:eastAsia="en-GB"/>
        </w:rPr>
        <w:t xml:space="preserve"> on the approach of the Secretary of State, the fact that a child has been here for seven years must be given significant weight when carrying out the proportionality exercise. Indeed, the Secretary of State published guidance in August 2015 in the form of Immigration Directorate Instructions entitled "Family Life (as a partner or parent) and Private Life: 10 Year Routes" in which it is expressly stated that once the seven years' residence requirement is satisfied, there need to be "strong reasons" for refusing leave (para. 11.2.4). These instructions were not in force when the cases now subject to appeal were determined, but in my </w:t>
      </w:r>
      <w:proofErr w:type="gramStart"/>
      <w:r w:rsidRPr="00176BCC">
        <w:rPr>
          <w:rFonts w:ascii="Book Antiqua" w:eastAsia="Times New Roman" w:hAnsi="Book Antiqua"/>
          <w:i/>
          <w:lang w:eastAsia="en-GB"/>
        </w:rPr>
        <w:t>view</w:t>
      </w:r>
      <w:proofErr w:type="gramEnd"/>
      <w:r w:rsidRPr="00176BCC">
        <w:rPr>
          <w:rFonts w:ascii="Book Antiqua" w:eastAsia="Times New Roman" w:hAnsi="Book Antiqua"/>
          <w:i/>
          <w:lang w:eastAsia="en-GB"/>
        </w:rPr>
        <w:t xml:space="preserve"> they merely confirm what is implicit in adopting a policy of this nature. After such a period of time the child will have put down roots and developed social, cultural and educational links in the UK such that it is likely to be highly disruptive if the child is required to leave the UK. That may be less so when the children are very young because the focus of their lives will be on their families, but the disruption becomes more serious as they get older. Moreover, in these cases there must be a very strong expectation that the child's best interests will be to remain in the UK with his parents as part of a family unit, and that must rank as a primary consideration in the proportionality assessment. </w:t>
      </w:r>
      <w:bookmarkEnd w:id="2"/>
    </w:p>
    <w:p w:rsidR="009A5AD7" w:rsidRDefault="009A5AD7" w:rsidP="009A5AD7">
      <w:pPr>
        <w:spacing w:before="240" w:after="0" w:line="240" w:lineRule="auto"/>
        <w:ind w:left="567"/>
        <w:jc w:val="both"/>
        <w:rPr>
          <w:rFonts w:ascii="Book Antiqua" w:eastAsia="Times New Roman" w:hAnsi="Book Antiqua"/>
          <w:i/>
          <w:lang w:eastAsia="en-GB"/>
        </w:rPr>
      </w:pPr>
      <w:proofErr w:type="gramStart"/>
      <w:r w:rsidRPr="00176BCC">
        <w:rPr>
          <w:rFonts w:ascii="Book Antiqua" w:eastAsia="Times New Roman" w:hAnsi="Book Antiqua"/>
          <w:i/>
          <w:lang w:eastAsia="en-GB"/>
        </w:rPr>
        <w:t xml:space="preserve">47  </w:t>
      </w:r>
      <w:bookmarkStart w:id="3" w:name="para47"/>
      <w:r w:rsidRPr="00176BCC">
        <w:rPr>
          <w:rFonts w:ascii="Book Antiqua" w:eastAsia="Times New Roman" w:hAnsi="Book Antiqua"/>
          <w:i/>
          <w:lang w:eastAsia="en-GB"/>
        </w:rPr>
        <w:t>Even</w:t>
      </w:r>
      <w:proofErr w:type="gramEnd"/>
      <w:r w:rsidRPr="00176BCC">
        <w:rPr>
          <w:rFonts w:ascii="Book Antiqua" w:eastAsia="Times New Roman" w:hAnsi="Book Antiqua"/>
          <w:i/>
          <w:lang w:eastAsia="en-GB"/>
        </w:rPr>
        <w:t xml:space="preserve"> if we were applying the narrow reasonableness test where the focus is on the child alone, it would not in my view follow that leave must be granted whenever the child's best interests are in favour of remaining. I reject Mr Gill's submission that the best </w:t>
      </w:r>
      <w:proofErr w:type="gramStart"/>
      <w:r w:rsidRPr="00176BCC">
        <w:rPr>
          <w:rFonts w:ascii="Book Antiqua" w:eastAsia="Times New Roman" w:hAnsi="Book Antiqua"/>
          <w:i/>
          <w:lang w:eastAsia="en-GB"/>
        </w:rPr>
        <w:t>interests</w:t>
      </w:r>
      <w:proofErr w:type="gramEnd"/>
      <w:r w:rsidRPr="00176BCC">
        <w:rPr>
          <w:rFonts w:ascii="Book Antiqua" w:eastAsia="Times New Roman" w:hAnsi="Book Antiqua"/>
          <w:i/>
          <w:lang w:eastAsia="en-GB"/>
        </w:rPr>
        <w:t xml:space="preserve"> assessment automatically resolves the reasonableness question. If Parliament had wanted the child's best interests to dictate the outcome of the leave application, it would have said so. The concept of "best interests" is after all a </w:t>
      </w:r>
      <w:proofErr w:type="spellStart"/>
      <w:r w:rsidRPr="00176BCC">
        <w:rPr>
          <w:rFonts w:ascii="Book Antiqua" w:eastAsia="Times New Roman" w:hAnsi="Book Antiqua"/>
          <w:i/>
          <w:lang w:eastAsia="en-GB"/>
        </w:rPr>
        <w:t>well established</w:t>
      </w:r>
      <w:proofErr w:type="spellEnd"/>
      <w:r w:rsidRPr="00176BCC">
        <w:rPr>
          <w:rFonts w:ascii="Book Antiqua" w:eastAsia="Times New Roman" w:hAnsi="Book Antiqua"/>
          <w:i/>
          <w:lang w:eastAsia="en-GB"/>
        </w:rPr>
        <w:t xml:space="preserve"> one. Even where the child's best interests are to stay, it may still be not unreasonable to require the child to leave. That will depend upon a careful analysis of the nature and extent of the links in the UK and in the country where it is proposed he should return. What could not be considered, however, would be the conduct and immigration history of the parents.</w:t>
      </w:r>
      <w:bookmarkEnd w:id="3"/>
    </w:p>
    <w:p w:rsidR="009A5AD7" w:rsidRPr="00176BCC" w:rsidRDefault="009A5AD7" w:rsidP="009A5AD7">
      <w:pPr>
        <w:spacing w:before="240" w:after="0" w:line="240" w:lineRule="auto"/>
        <w:ind w:left="567"/>
        <w:jc w:val="both"/>
        <w:rPr>
          <w:rFonts w:ascii="Book Antiqua" w:eastAsia="Times New Roman" w:hAnsi="Book Antiqua"/>
          <w:i/>
          <w:lang w:eastAsia="en-GB"/>
        </w:rPr>
      </w:pPr>
      <w:r>
        <w:rPr>
          <w:rFonts w:ascii="Book Antiqua" w:eastAsia="Times New Roman" w:hAnsi="Book Antiqua"/>
          <w:i/>
          <w:lang w:eastAsia="en-GB"/>
        </w:rPr>
        <w:t>……</w:t>
      </w:r>
    </w:p>
    <w:p w:rsidR="009A5AD7" w:rsidRPr="00467BFC" w:rsidRDefault="009A5AD7" w:rsidP="009A5AD7">
      <w:pPr>
        <w:spacing w:before="240" w:after="0" w:line="240" w:lineRule="auto"/>
        <w:ind w:left="567"/>
        <w:jc w:val="both"/>
        <w:rPr>
          <w:rFonts w:ascii="Book Antiqua" w:hAnsi="Book Antiqua" w:cs="Arial"/>
        </w:rPr>
      </w:pPr>
      <w:proofErr w:type="gramStart"/>
      <w:r w:rsidRPr="00176BCC">
        <w:rPr>
          <w:rFonts w:ascii="Book Antiqua" w:eastAsia="Times New Roman" w:hAnsi="Book Antiqua"/>
          <w:i/>
          <w:lang w:eastAsia="en-GB"/>
        </w:rPr>
        <w:lastRenderedPageBreak/>
        <w:t xml:space="preserve">49  </w:t>
      </w:r>
      <w:bookmarkStart w:id="4" w:name="para49"/>
      <w:r w:rsidRPr="00176BCC">
        <w:rPr>
          <w:rFonts w:ascii="Book Antiqua" w:eastAsia="Times New Roman" w:hAnsi="Book Antiqua"/>
          <w:i/>
          <w:lang w:eastAsia="en-GB"/>
        </w:rPr>
        <w:t>Although</w:t>
      </w:r>
      <w:proofErr w:type="gramEnd"/>
      <w:r w:rsidRPr="00176BCC">
        <w:rPr>
          <w:rFonts w:ascii="Book Antiqua" w:eastAsia="Times New Roman" w:hAnsi="Book Antiqua"/>
          <w:i/>
          <w:lang w:eastAsia="en-GB"/>
        </w:rPr>
        <w:t xml:space="preserve"> this was not in fact a seven year case, on the wider construction of section 117B(6), the same principles would apply in such a case. However,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r w:rsidRPr="00D80ED8">
        <w:rPr>
          <w:rFonts w:ascii="Times New Roman" w:eastAsia="Times New Roman" w:hAnsi="Times New Roman"/>
          <w:sz w:val="24"/>
          <w:szCs w:val="24"/>
          <w:lang w:eastAsia="en-GB"/>
        </w:rPr>
        <w:t>.</w:t>
      </w:r>
      <w:bookmarkEnd w:id="4"/>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 xml:space="preserve">In MA reference is made to the judgement of LJ Christopher Clarke from EV Philippines v SSHD 214 EWCA </w:t>
      </w:r>
      <w:proofErr w:type="spellStart"/>
      <w:r>
        <w:rPr>
          <w:rFonts w:ascii="Book Antiqua" w:hAnsi="Book Antiqua" w:cs="Arial"/>
        </w:rPr>
        <w:t>Civ</w:t>
      </w:r>
      <w:proofErr w:type="spellEnd"/>
      <w:r>
        <w:rPr>
          <w:rFonts w:ascii="Book Antiqua" w:hAnsi="Book Antiqua" w:cs="Arial"/>
        </w:rPr>
        <w:t xml:space="preserve"> 874, wherein how the Tribunal should approach the issues of assessing the best interests of the child under Article 8 is given some guidance. The judgment a at paragraphs 34 onwards </w:t>
      </w:r>
      <w:proofErr w:type="gramStart"/>
      <w:r>
        <w:rPr>
          <w:rFonts w:ascii="Book Antiqua" w:hAnsi="Book Antiqua" w:cs="Arial"/>
        </w:rPr>
        <w:t>provides:-</w:t>
      </w:r>
      <w:proofErr w:type="gramEnd"/>
    </w:p>
    <w:p w:rsidR="009A5AD7" w:rsidRPr="00171366" w:rsidRDefault="009A5AD7" w:rsidP="009A5AD7">
      <w:pPr>
        <w:spacing w:before="240" w:after="0" w:line="240" w:lineRule="auto"/>
        <w:ind w:left="567"/>
        <w:jc w:val="both"/>
        <w:rPr>
          <w:rFonts w:ascii="Book Antiqua" w:eastAsia="Times New Roman" w:hAnsi="Book Antiqua"/>
          <w:i/>
          <w:lang w:eastAsia="en-GB"/>
        </w:rPr>
      </w:pPr>
      <w:r>
        <w:rPr>
          <w:rFonts w:ascii="Book Antiqua" w:hAnsi="Book Antiqua" w:cs="Arial"/>
        </w:rPr>
        <w:t xml:space="preserve"> </w:t>
      </w:r>
    </w:p>
    <w:p w:rsidR="009A5AD7" w:rsidRPr="00176BCC" w:rsidRDefault="009A5AD7" w:rsidP="009A5AD7">
      <w:pPr>
        <w:spacing w:after="100" w:line="240" w:lineRule="auto"/>
        <w:rPr>
          <w:rFonts w:ascii="Times New Roman" w:eastAsia="Times New Roman" w:hAnsi="Times New Roman"/>
          <w:i/>
          <w:sz w:val="24"/>
          <w:szCs w:val="24"/>
          <w:lang w:eastAsia="en-GB"/>
        </w:rPr>
      </w:pPr>
      <w:r w:rsidRPr="00176BCC">
        <w:rPr>
          <w:rFonts w:ascii="Times New Roman" w:eastAsia="Times New Roman" w:hAnsi="Times New Roman"/>
          <w:i/>
          <w:sz w:val="24"/>
          <w:szCs w:val="24"/>
          <w:lang w:eastAsia="en-GB"/>
        </w:rPr>
        <w:tab/>
        <w:t xml:space="preserve">"34. In determining whether or not, in a case such as the present, the need for </w:t>
      </w:r>
      <w:r w:rsidRPr="00176BCC">
        <w:rPr>
          <w:rFonts w:ascii="Times New Roman" w:eastAsia="Times New Roman" w:hAnsi="Times New Roman"/>
          <w:i/>
          <w:sz w:val="24"/>
          <w:szCs w:val="24"/>
          <w:lang w:eastAsia="en-GB"/>
        </w:rPr>
        <w:tab/>
        <w:t xml:space="preserve">immigration control outweighs the best interests of the children, it is necessary to </w:t>
      </w:r>
      <w:r w:rsidRPr="00176BCC">
        <w:rPr>
          <w:rFonts w:ascii="Times New Roman" w:eastAsia="Times New Roman" w:hAnsi="Times New Roman"/>
          <w:i/>
          <w:sz w:val="24"/>
          <w:szCs w:val="24"/>
          <w:lang w:eastAsia="en-GB"/>
        </w:rPr>
        <w:tab/>
        <w:t xml:space="preserve">determine the relative strength of the factors which make it in their best interests to </w:t>
      </w:r>
      <w:r w:rsidRPr="00176BCC">
        <w:rPr>
          <w:rFonts w:ascii="Times New Roman" w:eastAsia="Times New Roman" w:hAnsi="Times New Roman"/>
          <w:i/>
          <w:sz w:val="24"/>
          <w:szCs w:val="24"/>
          <w:lang w:eastAsia="en-GB"/>
        </w:rPr>
        <w:tab/>
        <w:t xml:space="preserve">remain here; and </w:t>
      </w:r>
      <w:proofErr w:type="gramStart"/>
      <w:r w:rsidRPr="00176BCC">
        <w:rPr>
          <w:rFonts w:ascii="Times New Roman" w:eastAsia="Times New Roman" w:hAnsi="Times New Roman"/>
          <w:i/>
          <w:sz w:val="24"/>
          <w:szCs w:val="24"/>
          <w:lang w:eastAsia="en-GB"/>
        </w:rPr>
        <w:t>also</w:t>
      </w:r>
      <w:proofErr w:type="gramEnd"/>
      <w:r w:rsidRPr="00176BCC">
        <w:rPr>
          <w:rFonts w:ascii="Times New Roman" w:eastAsia="Times New Roman" w:hAnsi="Times New Roman"/>
          <w:i/>
          <w:sz w:val="24"/>
          <w:szCs w:val="24"/>
          <w:lang w:eastAsia="en-GB"/>
        </w:rPr>
        <w:t xml:space="preserve"> to take account of any factors that point the other way. </w:t>
      </w:r>
    </w:p>
    <w:p w:rsidR="009A5AD7" w:rsidRPr="00176BCC" w:rsidRDefault="009A5AD7" w:rsidP="009A5AD7">
      <w:pPr>
        <w:spacing w:after="100" w:line="240" w:lineRule="auto"/>
        <w:rPr>
          <w:rFonts w:ascii="Times New Roman" w:eastAsia="Times New Roman" w:hAnsi="Times New Roman"/>
          <w:i/>
          <w:sz w:val="24"/>
          <w:szCs w:val="24"/>
          <w:lang w:eastAsia="en-GB"/>
        </w:rPr>
      </w:pPr>
      <w:r w:rsidRPr="00176BCC">
        <w:rPr>
          <w:rFonts w:ascii="Times New Roman" w:eastAsia="Times New Roman" w:hAnsi="Times New Roman"/>
          <w:i/>
          <w:sz w:val="24"/>
          <w:szCs w:val="24"/>
          <w:lang w:eastAsia="en-GB"/>
        </w:rPr>
        <w:tab/>
        <w:t xml:space="preserve">35. A decision as to what is in the best interests of children will depend on a number </w:t>
      </w:r>
      <w:r w:rsidRPr="00176BCC">
        <w:rPr>
          <w:rFonts w:ascii="Times New Roman" w:eastAsia="Times New Roman" w:hAnsi="Times New Roman"/>
          <w:i/>
          <w:sz w:val="24"/>
          <w:szCs w:val="24"/>
          <w:lang w:eastAsia="en-GB"/>
        </w:rPr>
        <w:tab/>
        <w:t xml:space="preserve">of factors such as (a) their age; (b) the length of time that they have been here; (c) </w:t>
      </w:r>
      <w:r w:rsidRPr="00176BCC">
        <w:rPr>
          <w:rFonts w:ascii="Times New Roman" w:eastAsia="Times New Roman" w:hAnsi="Times New Roman"/>
          <w:i/>
          <w:sz w:val="24"/>
          <w:szCs w:val="24"/>
          <w:lang w:eastAsia="en-GB"/>
        </w:rPr>
        <w:tab/>
        <w:t xml:space="preserve">how long they have been in education; (c) what stage their education has reached; (d) </w:t>
      </w:r>
      <w:r w:rsidRPr="00176BCC">
        <w:rPr>
          <w:rFonts w:ascii="Times New Roman" w:eastAsia="Times New Roman" w:hAnsi="Times New Roman"/>
          <w:i/>
          <w:sz w:val="24"/>
          <w:szCs w:val="24"/>
          <w:lang w:eastAsia="en-GB"/>
        </w:rPr>
        <w:tab/>
        <w:t xml:space="preserve">to what extent they have become distanced from the country to which it is proposed </w:t>
      </w:r>
      <w:r w:rsidRPr="00176BCC">
        <w:rPr>
          <w:rFonts w:ascii="Times New Roman" w:eastAsia="Times New Roman" w:hAnsi="Times New Roman"/>
          <w:i/>
          <w:sz w:val="24"/>
          <w:szCs w:val="24"/>
          <w:lang w:eastAsia="en-GB"/>
        </w:rPr>
        <w:tab/>
        <w:t xml:space="preserve">that they return; (e) how renewable their connection with it may be; (f) to what extent </w:t>
      </w:r>
      <w:r w:rsidRPr="00176BCC">
        <w:rPr>
          <w:rFonts w:ascii="Times New Roman" w:eastAsia="Times New Roman" w:hAnsi="Times New Roman"/>
          <w:i/>
          <w:sz w:val="24"/>
          <w:szCs w:val="24"/>
          <w:lang w:eastAsia="en-GB"/>
        </w:rPr>
        <w:tab/>
        <w:t xml:space="preserve">they will have linguistic, medical or other difficulties in adapting to life in that </w:t>
      </w:r>
      <w:r w:rsidRPr="00176BCC">
        <w:rPr>
          <w:rFonts w:ascii="Times New Roman" w:eastAsia="Times New Roman" w:hAnsi="Times New Roman"/>
          <w:i/>
          <w:sz w:val="24"/>
          <w:szCs w:val="24"/>
          <w:lang w:eastAsia="en-GB"/>
        </w:rPr>
        <w:tab/>
        <w:t xml:space="preserve">country; and (g) the extent to which the course proposed will interfere with their </w:t>
      </w:r>
      <w:r w:rsidRPr="00176BCC">
        <w:rPr>
          <w:rFonts w:ascii="Times New Roman" w:eastAsia="Times New Roman" w:hAnsi="Times New Roman"/>
          <w:i/>
          <w:sz w:val="24"/>
          <w:szCs w:val="24"/>
          <w:lang w:eastAsia="en-GB"/>
        </w:rPr>
        <w:tab/>
        <w:t xml:space="preserve">family life or their rights (if they have any) as British citizens. </w:t>
      </w:r>
    </w:p>
    <w:p w:rsidR="009A5AD7" w:rsidRPr="00176BCC" w:rsidRDefault="009A5AD7" w:rsidP="009A5AD7">
      <w:pPr>
        <w:spacing w:after="100" w:line="240" w:lineRule="auto"/>
        <w:rPr>
          <w:rFonts w:ascii="Times New Roman" w:eastAsia="Times New Roman" w:hAnsi="Times New Roman"/>
          <w:i/>
          <w:sz w:val="24"/>
          <w:szCs w:val="24"/>
          <w:lang w:eastAsia="en-GB"/>
        </w:rPr>
      </w:pPr>
      <w:r w:rsidRPr="00176BCC">
        <w:rPr>
          <w:rFonts w:ascii="Times New Roman" w:eastAsia="Times New Roman" w:hAnsi="Times New Roman"/>
          <w:i/>
          <w:sz w:val="24"/>
          <w:szCs w:val="24"/>
          <w:lang w:eastAsia="en-GB"/>
        </w:rPr>
        <w:tab/>
        <w:t xml:space="preserve">36. In a sense the tribunal is concerned with how emphatic an answer falls to be given </w:t>
      </w:r>
      <w:r w:rsidRPr="00176BCC">
        <w:rPr>
          <w:rFonts w:ascii="Times New Roman" w:eastAsia="Times New Roman" w:hAnsi="Times New Roman"/>
          <w:i/>
          <w:sz w:val="24"/>
          <w:szCs w:val="24"/>
          <w:lang w:eastAsia="en-GB"/>
        </w:rPr>
        <w:tab/>
        <w:t xml:space="preserve">to the question: is it in the best interests of the child to remain? The longer the child </w:t>
      </w:r>
      <w:r w:rsidRPr="00176BCC">
        <w:rPr>
          <w:rFonts w:ascii="Times New Roman" w:eastAsia="Times New Roman" w:hAnsi="Times New Roman"/>
          <w:i/>
          <w:sz w:val="24"/>
          <w:szCs w:val="24"/>
          <w:lang w:eastAsia="en-GB"/>
        </w:rPr>
        <w:tab/>
        <w:t xml:space="preserve">has been here, the more advanced (or critical) the stage of his education, the looser </w:t>
      </w:r>
      <w:r>
        <w:rPr>
          <w:rFonts w:ascii="Times New Roman" w:eastAsia="Times New Roman" w:hAnsi="Times New Roman"/>
          <w:i/>
          <w:sz w:val="24"/>
          <w:szCs w:val="24"/>
          <w:lang w:eastAsia="en-GB"/>
        </w:rPr>
        <w:tab/>
      </w:r>
      <w:r w:rsidRPr="00176BCC">
        <w:rPr>
          <w:rFonts w:ascii="Times New Roman" w:eastAsia="Times New Roman" w:hAnsi="Times New Roman"/>
          <w:i/>
          <w:sz w:val="24"/>
          <w:szCs w:val="24"/>
          <w:lang w:eastAsia="en-GB"/>
        </w:rPr>
        <w:t>his</w:t>
      </w:r>
      <w:r>
        <w:rPr>
          <w:rFonts w:ascii="Times New Roman" w:eastAsia="Times New Roman" w:hAnsi="Times New Roman"/>
          <w:i/>
          <w:sz w:val="24"/>
          <w:szCs w:val="24"/>
          <w:lang w:eastAsia="en-GB"/>
        </w:rPr>
        <w:t xml:space="preserve"> </w:t>
      </w:r>
      <w:r w:rsidRPr="00176BCC">
        <w:rPr>
          <w:rFonts w:ascii="Times New Roman" w:eastAsia="Times New Roman" w:hAnsi="Times New Roman"/>
          <w:i/>
          <w:sz w:val="24"/>
          <w:szCs w:val="24"/>
          <w:lang w:eastAsia="en-GB"/>
        </w:rPr>
        <w:t xml:space="preserve">ties with the country in question, and the more deleterious the consequences of his </w:t>
      </w:r>
      <w:r w:rsidRPr="00176BCC">
        <w:rPr>
          <w:rFonts w:ascii="Times New Roman" w:eastAsia="Times New Roman" w:hAnsi="Times New Roman"/>
          <w:i/>
          <w:sz w:val="24"/>
          <w:szCs w:val="24"/>
          <w:lang w:eastAsia="en-GB"/>
        </w:rPr>
        <w:tab/>
        <w:t xml:space="preserve">return, the greater the weight that falls into one side of the scales. If it is </w:t>
      </w:r>
      <w:r w:rsidRPr="00176BCC">
        <w:rPr>
          <w:rFonts w:ascii="Times New Roman" w:eastAsia="Times New Roman" w:hAnsi="Times New Roman"/>
          <w:i/>
          <w:sz w:val="24"/>
          <w:szCs w:val="24"/>
          <w:lang w:eastAsia="en-GB"/>
        </w:rPr>
        <w:tab/>
        <w:t xml:space="preserve">overwhelmingly in the child's best interests that he should not return, the need to </w:t>
      </w:r>
      <w:r w:rsidRPr="00176BCC">
        <w:rPr>
          <w:rFonts w:ascii="Times New Roman" w:eastAsia="Times New Roman" w:hAnsi="Times New Roman"/>
          <w:i/>
          <w:sz w:val="24"/>
          <w:szCs w:val="24"/>
          <w:lang w:eastAsia="en-GB"/>
        </w:rPr>
        <w:tab/>
        <w:t xml:space="preserve">maintain immigration control may well not tip the balance. By contrast if it is in the </w:t>
      </w:r>
      <w:r w:rsidRPr="00176BCC">
        <w:rPr>
          <w:rFonts w:ascii="Times New Roman" w:eastAsia="Times New Roman" w:hAnsi="Times New Roman"/>
          <w:i/>
          <w:sz w:val="24"/>
          <w:szCs w:val="24"/>
          <w:lang w:eastAsia="en-GB"/>
        </w:rPr>
        <w:tab/>
        <w:t xml:space="preserve">child's best interests to remain, but only on balance (with some factors pointing the </w:t>
      </w:r>
      <w:r w:rsidRPr="00176BCC">
        <w:rPr>
          <w:rFonts w:ascii="Times New Roman" w:eastAsia="Times New Roman" w:hAnsi="Times New Roman"/>
          <w:i/>
          <w:sz w:val="24"/>
          <w:szCs w:val="24"/>
          <w:lang w:eastAsia="en-GB"/>
        </w:rPr>
        <w:tab/>
        <w:t xml:space="preserve">other way), the result may be the opposite. </w:t>
      </w:r>
    </w:p>
    <w:p w:rsidR="009A5AD7" w:rsidRPr="00176BCC" w:rsidRDefault="009A5AD7" w:rsidP="009A5AD7">
      <w:pPr>
        <w:spacing w:after="100" w:line="240" w:lineRule="auto"/>
        <w:rPr>
          <w:rFonts w:ascii="Times New Roman" w:eastAsia="Times New Roman" w:hAnsi="Times New Roman"/>
          <w:i/>
          <w:sz w:val="24"/>
          <w:szCs w:val="24"/>
          <w:lang w:eastAsia="en-GB"/>
        </w:rPr>
      </w:pPr>
      <w:r w:rsidRPr="00176BCC">
        <w:rPr>
          <w:rFonts w:ascii="Times New Roman" w:eastAsia="Times New Roman" w:hAnsi="Times New Roman"/>
          <w:i/>
          <w:sz w:val="24"/>
          <w:szCs w:val="24"/>
          <w:lang w:eastAsia="en-GB"/>
        </w:rPr>
        <w:tab/>
        <w:t xml:space="preserve">37. In the balance on the other side there falls to be taken into account the strong </w:t>
      </w:r>
      <w:r w:rsidRPr="00176BCC">
        <w:rPr>
          <w:rFonts w:ascii="Times New Roman" w:eastAsia="Times New Roman" w:hAnsi="Times New Roman"/>
          <w:i/>
          <w:sz w:val="24"/>
          <w:szCs w:val="24"/>
          <w:lang w:eastAsia="en-GB"/>
        </w:rPr>
        <w:tab/>
        <w:t xml:space="preserve">weight to be given to the need to maintain immigration control in pursuit of the </w:t>
      </w:r>
      <w:r w:rsidRPr="00176BCC">
        <w:rPr>
          <w:rFonts w:ascii="Times New Roman" w:eastAsia="Times New Roman" w:hAnsi="Times New Roman"/>
          <w:i/>
          <w:sz w:val="24"/>
          <w:szCs w:val="24"/>
          <w:lang w:eastAsia="en-GB"/>
        </w:rPr>
        <w:tab/>
        <w:t xml:space="preserve">economic well-being of the country and the fact that, ex </w:t>
      </w:r>
      <w:proofErr w:type="spellStart"/>
      <w:r w:rsidRPr="00176BCC">
        <w:rPr>
          <w:rFonts w:ascii="Times New Roman" w:eastAsia="Times New Roman" w:hAnsi="Times New Roman"/>
          <w:i/>
          <w:sz w:val="24"/>
          <w:szCs w:val="24"/>
          <w:lang w:eastAsia="en-GB"/>
        </w:rPr>
        <w:t>hypothesi</w:t>
      </w:r>
      <w:proofErr w:type="spellEnd"/>
      <w:r w:rsidRPr="00176BCC">
        <w:rPr>
          <w:rFonts w:ascii="Times New Roman" w:eastAsia="Times New Roman" w:hAnsi="Times New Roman"/>
          <w:i/>
          <w:sz w:val="24"/>
          <w:szCs w:val="24"/>
          <w:lang w:eastAsia="en-GB"/>
        </w:rPr>
        <w:t xml:space="preserve">, the applicants </w:t>
      </w:r>
      <w:r w:rsidRPr="00176BCC">
        <w:rPr>
          <w:rFonts w:ascii="Times New Roman" w:eastAsia="Times New Roman" w:hAnsi="Times New Roman"/>
          <w:i/>
          <w:sz w:val="24"/>
          <w:szCs w:val="24"/>
          <w:lang w:eastAsia="en-GB"/>
        </w:rPr>
        <w:tab/>
        <w:t xml:space="preserve">have no entitlement to remain. The immigration history of the parents may also be </w:t>
      </w:r>
      <w:r w:rsidRPr="00176BCC">
        <w:rPr>
          <w:rFonts w:ascii="Times New Roman" w:eastAsia="Times New Roman" w:hAnsi="Times New Roman"/>
          <w:i/>
          <w:sz w:val="24"/>
          <w:szCs w:val="24"/>
          <w:lang w:eastAsia="en-GB"/>
        </w:rPr>
        <w:tab/>
        <w:t xml:space="preserve">relevant e.g. if they are overstayers, or have acted deceitfully." </w:t>
      </w:r>
      <w:r>
        <w:rPr>
          <w:rFonts w:ascii="Book Antiqua" w:hAnsi="Book Antiqua" w:cs="Arial"/>
        </w:rPr>
        <w:t xml:space="preserve"> </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 xml:space="preserve">The emphasis in EV is on the balance to be struck between the interests of immigration control and the rights and best interests of the child in remaining in the United Kingdom in that context the immigration history of the parent may be a significant factor. The </w:t>
      </w:r>
      <w:proofErr w:type="spellStart"/>
      <w:r>
        <w:rPr>
          <w:rFonts w:ascii="Book Antiqua" w:hAnsi="Book Antiqua" w:cs="Arial"/>
        </w:rPr>
        <w:t>later</w:t>
      </w:r>
      <w:proofErr w:type="spellEnd"/>
      <w:r>
        <w:rPr>
          <w:rFonts w:ascii="Book Antiqua" w:hAnsi="Book Antiqua" w:cs="Arial"/>
        </w:rPr>
        <w:t xml:space="preserve"> case of MA in dealing with the balance indicates that where the child has been in the UK for in excess of 7 years there have to be powerful reasons to justify removal of the child.   </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 xml:space="preserve">I also draw attention to the case of MT &amp; ET v SSHD Nigeria (UKUT) 88 (IAC), which also deals with the approach to be taken in respect of children that have been in the </w:t>
      </w:r>
      <w:r>
        <w:rPr>
          <w:rFonts w:ascii="Book Antiqua" w:hAnsi="Book Antiqua" w:cs="Arial"/>
        </w:rPr>
        <w:lastRenderedPageBreak/>
        <w:t xml:space="preserve">United Kingdom in excess of 7 years. At paragraph 33 in dealing with the child to been in the United Kingdom 10 years the Tribunal </w:t>
      </w:r>
      <w:proofErr w:type="gramStart"/>
      <w:r>
        <w:rPr>
          <w:rFonts w:ascii="Book Antiqua" w:hAnsi="Book Antiqua" w:cs="Arial"/>
        </w:rPr>
        <w:t>noted :</w:t>
      </w:r>
      <w:proofErr w:type="gramEnd"/>
      <w:r>
        <w:rPr>
          <w:rFonts w:ascii="Book Antiqua" w:hAnsi="Book Antiqua" w:cs="Arial"/>
        </w:rPr>
        <w:t>-</w:t>
      </w:r>
    </w:p>
    <w:p w:rsidR="009A5AD7" w:rsidRPr="00176BCC" w:rsidRDefault="009A5AD7" w:rsidP="009A5AD7">
      <w:pPr>
        <w:spacing w:before="240" w:after="0" w:line="240" w:lineRule="auto"/>
        <w:ind w:left="567"/>
        <w:jc w:val="both"/>
        <w:rPr>
          <w:rFonts w:ascii="Book Antiqua" w:hAnsi="Book Antiqua" w:cs="Arial"/>
          <w:i/>
        </w:rPr>
      </w:pPr>
      <w:r w:rsidRPr="00176BCC">
        <w:rPr>
          <w:rFonts w:ascii="Book Antiqua" w:hAnsi="Book Antiqua" w:cs="Arial"/>
          <w:i/>
        </w:rPr>
        <w:t xml:space="preserve">On the present state of the law, as set out in MA, we need to look for ‘powerful reasons’ why a child who has been in the United Kingdom for over 10 years should be removed, notwithstanding that her best interests lie in remaining. </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 xml:space="preserve">An examination of the facts has some parallel with the present case. The child had been in the UK for 10 years having arrived in the UK at the age of 4; the child had grown up in the United Kingdom; attended nursery, primary school and then a high school; child was preparing for her GCSEs; the family and child were involved with the local church and had a circle of friends which provided a degree of stability and support. The child was only familiar with and comfortable with the English way of life and had no concept of what life was like in Nigeria. </w:t>
      </w:r>
      <w:proofErr w:type="gramStart"/>
      <w:r>
        <w:rPr>
          <w:rFonts w:ascii="Book Antiqua" w:hAnsi="Book Antiqua" w:cs="Arial"/>
        </w:rPr>
        <w:t>Finally</w:t>
      </w:r>
      <w:proofErr w:type="gramEnd"/>
      <w:r>
        <w:rPr>
          <w:rFonts w:ascii="Book Antiqua" w:hAnsi="Book Antiqua" w:cs="Arial"/>
        </w:rPr>
        <w:t xml:space="preserve"> no steps had been taken to remove the family from the United Kingdom for some years. In allowing the appeal the Upper Tribunal noted that the best interests of the child were manifestly to remain in the United Kingdom. </w:t>
      </w:r>
    </w:p>
    <w:p w:rsidR="009A5AD7" w:rsidRDefault="009A5AD7" w:rsidP="009A5AD7">
      <w:pPr>
        <w:numPr>
          <w:ilvl w:val="0"/>
          <w:numId w:val="1"/>
        </w:numPr>
        <w:spacing w:before="240" w:after="0" w:line="240" w:lineRule="auto"/>
        <w:jc w:val="both"/>
        <w:rPr>
          <w:rFonts w:ascii="Book Antiqua" w:hAnsi="Book Antiqua" w:cs="Arial"/>
        </w:rPr>
      </w:pPr>
      <w:r w:rsidRPr="008872E2">
        <w:rPr>
          <w:rFonts w:ascii="Book Antiqua" w:hAnsi="Book Antiqua" w:cs="Arial"/>
        </w:rPr>
        <w:t xml:space="preserve">I draw attention also to paragraph 31 of the MT decision wherein it is pointed out that the child had no direct experience of Nigeria and the issue of whether or not there was a functioning education system in that country was noted. The child’s best interests manifestly were to remain in the United Kingdom with her mother. In that respect school is a significant aspect of the child’s experience and connection with the wider world. The conclusions to be drawn from the Home Office policy and the case law </w:t>
      </w:r>
      <w:r>
        <w:rPr>
          <w:rFonts w:ascii="Book Antiqua" w:hAnsi="Book Antiqua" w:cs="Arial"/>
        </w:rPr>
        <w:t>we</w:t>
      </w:r>
      <w:r w:rsidRPr="008872E2">
        <w:rPr>
          <w:rFonts w:ascii="Book Antiqua" w:hAnsi="Book Antiqua" w:cs="Arial"/>
        </w:rPr>
        <w:t xml:space="preserve">re that where a child has been in the UK for 7 years or more strong reasons justifying removal of the child are required. As set out in MT &amp; ET.  </w:t>
      </w:r>
    </w:p>
    <w:p w:rsidR="009A5AD7" w:rsidRPr="008872E2" w:rsidRDefault="009A5AD7" w:rsidP="009A5AD7">
      <w:pPr>
        <w:numPr>
          <w:ilvl w:val="0"/>
          <w:numId w:val="1"/>
        </w:numPr>
        <w:spacing w:before="240" w:after="0" w:line="240" w:lineRule="auto"/>
        <w:jc w:val="both"/>
        <w:rPr>
          <w:rFonts w:ascii="Book Antiqua" w:hAnsi="Book Antiqua" w:cs="Arial"/>
        </w:rPr>
      </w:pPr>
      <w:r w:rsidRPr="008872E2">
        <w:rPr>
          <w:rFonts w:ascii="Book Antiqua" w:hAnsi="Book Antiqua" w:cs="Arial"/>
        </w:rPr>
        <w:t>In light of the case law and the policy identified on considering the article 8 rights of the 2</w:t>
      </w:r>
      <w:r w:rsidRPr="00176BCC">
        <w:rPr>
          <w:rFonts w:ascii="Book Antiqua" w:hAnsi="Book Antiqua" w:cs="Arial"/>
          <w:vertAlign w:val="superscript"/>
        </w:rPr>
        <w:t>nd</w:t>
      </w:r>
      <w:r w:rsidRPr="008872E2">
        <w:rPr>
          <w:rFonts w:ascii="Book Antiqua" w:hAnsi="Book Antiqua" w:cs="Arial"/>
        </w:rPr>
        <w:t xml:space="preserve"> appellant the judge was required to consider whether or not there were strong reasons justifying removal. The judge in looking at the position of the 2</w:t>
      </w:r>
      <w:r w:rsidRPr="00176BCC">
        <w:rPr>
          <w:rFonts w:ascii="Book Antiqua" w:hAnsi="Book Antiqua" w:cs="Arial"/>
          <w:vertAlign w:val="superscript"/>
        </w:rPr>
        <w:t>nd</w:t>
      </w:r>
      <w:r w:rsidRPr="008872E2">
        <w:rPr>
          <w:rFonts w:ascii="Book Antiqua" w:hAnsi="Book Antiqua" w:cs="Arial"/>
        </w:rPr>
        <w:t xml:space="preserve"> appellant has found in paragraph 51 that the best interests of the 2</w:t>
      </w:r>
      <w:r w:rsidRPr="00176BCC">
        <w:rPr>
          <w:rFonts w:ascii="Book Antiqua" w:hAnsi="Book Antiqua" w:cs="Arial"/>
          <w:vertAlign w:val="superscript"/>
        </w:rPr>
        <w:t>nd</w:t>
      </w:r>
      <w:r w:rsidRPr="008872E2">
        <w:rPr>
          <w:rFonts w:ascii="Book Antiqua" w:hAnsi="Book Antiqua" w:cs="Arial"/>
        </w:rPr>
        <w:t xml:space="preserve"> appellant are to remain in the United Kingdom. In making that finding he has considered the fact that she has friends and family in the United Kingdom, which would provide her with significant support. The judge has also found that the appellant has been successfully </w:t>
      </w:r>
      <w:r>
        <w:rPr>
          <w:rFonts w:ascii="Book Antiqua" w:hAnsi="Book Antiqua" w:cs="Arial"/>
        </w:rPr>
        <w:t>proceeding</w:t>
      </w:r>
      <w:r w:rsidRPr="008872E2">
        <w:rPr>
          <w:rFonts w:ascii="Book Antiqua" w:hAnsi="Book Antiqua" w:cs="Arial"/>
        </w:rPr>
        <w:t xml:space="preserve"> through the education system in the United Kingdom.</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Thereafter whilst the judge has considered the circumstances that would face the appellant on return to Malawi, there is no identification of any strong reasons that would justify removal.  Given the case law I find that that is material error of law. I therefore set the decision aside.</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At the hearing I invited submissions from the parties as to the course of action that they advocated with regard to the appeal and whether or not there was any requirement for the case to be reheard in full. It was accepted by both parties that I had all the evidence before me upon which I could determine the appeal without a further hearing. I therefore heard submissions from both the Home Office representative and the appellant’s representative as to how I should deal with this appeal.</w:t>
      </w:r>
    </w:p>
    <w:p w:rsidR="009A5AD7" w:rsidRPr="00F052DD" w:rsidRDefault="009A5AD7" w:rsidP="009A5AD7">
      <w:pPr>
        <w:spacing w:before="240" w:after="0" w:line="240" w:lineRule="auto"/>
        <w:ind w:left="567"/>
        <w:jc w:val="both"/>
        <w:rPr>
          <w:rFonts w:ascii="Book Antiqua" w:hAnsi="Book Antiqua" w:cs="Arial"/>
          <w:u w:val="single"/>
        </w:rPr>
      </w:pPr>
      <w:bookmarkStart w:id="5" w:name="_GoBack"/>
      <w:r w:rsidRPr="00F052DD">
        <w:rPr>
          <w:rFonts w:ascii="Book Antiqua" w:hAnsi="Book Antiqua" w:cs="Arial"/>
          <w:u w:val="single"/>
        </w:rPr>
        <w:t>Remaking the decision</w:t>
      </w:r>
    </w:p>
    <w:bookmarkEnd w:id="5"/>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 xml:space="preserve"> I follow the guidance given in the case of MT &amp; ET. </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lastRenderedPageBreak/>
        <w:t xml:space="preserve">As found in paragraph 51 of the decision the best interests of the child are clearly to remain in the United Kingdom. As set out </w:t>
      </w:r>
      <w:proofErr w:type="spellStart"/>
      <w:r>
        <w:rPr>
          <w:rFonts w:ascii="Book Antiqua" w:hAnsi="Book Antiqua" w:cs="Arial"/>
        </w:rPr>
        <w:t>therein</w:t>
      </w:r>
      <w:proofErr w:type="spellEnd"/>
      <w:r>
        <w:rPr>
          <w:rFonts w:ascii="Book Antiqua" w:hAnsi="Book Antiqua" w:cs="Arial"/>
        </w:rPr>
        <w:t xml:space="preserve"> the child has been in the United Kingdom for in excess of 10 years, having entered in 2007. She is well advanced in the education system and indeed seems to be doing reasonably well in her education. </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 xml:space="preserve">The child has relatives in the UK with whom she is close. She has friends at school and has clearly developed close connections with her school mates. There are also connections with local church organisations. </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Looking otherwise the child has no direct experience of Malawi. She has no experience of the education system in Malawi. She would have to commence to establish not only an educational base but friends and social connections if she were returned to Malawi. That would have to be a significant adjustment of the child in seeking to adjust to a totally new education system and life.</w:t>
      </w:r>
    </w:p>
    <w:p w:rsidR="009A5AD7" w:rsidRDefault="009A5AD7" w:rsidP="009A5AD7">
      <w:pPr>
        <w:numPr>
          <w:ilvl w:val="0"/>
          <w:numId w:val="1"/>
        </w:numPr>
        <w:spacing w:before="240" w:after="0" w:line="240" w:lineRule="auto"/>
        <w:jc w:val="both"/>
        <w:rPr>
          <w:rFonts w:ascii="Book Antiqua" w:hAnsi="Book Antiqua" w:cs="Arial"/>
        </w:rPr>
      </w:pPr>
      <w:r>
        <w:rPr>
          <w:rFonts w:ascii="Book Antiqua" w:hAnsi="Book Antiqua" w:cs="Arial"/>
        </w:rPr>
        <w:t>In the circumstances of the present case there are no powerful reasons justifying removal. Whilst the public interest clearly lies in removing a person such as the first appellant, who has flouted the immigration system and remained without lawful leave for a significant period of time, the 2</w:t>
      </w:r>
      <w:r w:rsidRPr="00176BCC">
        <w:rPr>
          <w:rFonts w:ascii="Book Antiqua" w:hAnsi="Book Antiqua" w:cs="Arial"/>
          <w:vertAlign w:val="superscript"/>
        </w:rPr>
        <w:t>nd</w:t>
      </w:r>
      <w:r>
        <w:rPr>
          <w:rFonts w:ascii="Book Antiqua" w:hAnsi="Book Antiqua" w:cs="Arial"/>
        </w:rPr>
        <w:t xml:space="preserve"> appellant cannot be held responsible for such conduct.</w:t>
      </w:r>
    </w:p>
    <w:p w:rsidR="009A5AD7" w:rsidRDefault="009A5AD7" w:rsidP="009A5AD7">
      <w:pPr>
        <w:numPr>
          <w:ilvl w:val="0"/>
          <w:numId w:val="1"/>
        </w:numPr>
        <w:spacing w:before="240" w:after="0" w:line="240" w:lineRule="auto"/>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given the strength of the child’s case I find that the conduct of the first appellant is not such as would come anywhere near justifying removal of the 2</w:t>
      </w:r>
      <w:r w:rsidRPr="00176BCC">
        <w:rPr>
          <w:rFonts w:ascii="Book Antiqua" w:hAnsi="Book Antiqua" w:cs="Arial"/>
          <w:vertAlign w:val="superscript"/>
        </w:rPr>
        <w:t>nd</w:t>
      </w:r>
      <w:r>
        <w:rPr>
          <w:rFonts w:ascii="Book Antiqua" w:hAnsi="Book Antiqua" w:cs="Arial"/>
        </w:rPr>
        <w:t xml:space="preserve"> appellant and therefore the 1</w:t>
      </w:r>
      <w:r w:rsidRPr="00176BCC">
        <w:rPr>
          <w:rFonts w:ascii="Book Antiqua" w:hAnsi="Book Antiqua" w:cs="Arial"/>
          <w:vertAlign w:val="superscript"/>
        </w:rPr>
        <w:t>st</w:t>
      </w:r>
      <w:r>
        <w:rPr>
          <w:rFonts w:ascii="Book Antiqua" w:hAnsi="Book Antiqua" w:cs="Arial"/>
        </w:rPr>
        <w:t xml:space="preserve"> appellant. In coming to that </w:t>
      </w:r>
      <w:proofErr w:type="gramStart"/>
      <w:r>
        <w:rPr>
          <w:rFonts w:ascii="Book Antiqua" w:hAnsi="Book Antiqua" w:cs="Arial"/>
        </w:rPr>
        <w:t>conclusion</w:t>
      </w:r>
      <w:proofErr w:type="gramEnd"/>
      <w:r>
        <w:rPr>
          <w:rFonts w:ascii="Book Antiqua" w:hAnsi="Book Antiqua" w:cs="Arial"/>
        </w:rPr>
        <w:t xml:space="preserve"> I do acknowledge that the first appellant has clearly come to the United Kingdom and sought to remain unlawfully. I take account of the fact that the first appellant has made many applications many without prospect of success and has delayed the proceedings. In that sense I do not seek to excuse or give any form of sanction to the conduct of the first appellant. </w:t>
      </w:r>
      <w:proofErr w:type="gramStart"/>
      <w:r>
        <w:rPr>
          <w:rFonts w:ascii="Book Antiqua" w:hAnsi="Book Antiqua" w:cs="Arial"/>
        </w:rPr>
        <w:t>However</w:t>
      </w:r>
      <w:proofErr w:type="gramEnd"/>
      <w:r>
        <w:rPr>
          <w:rFonts w:ascii="Book Antiqua" w:hAnsi="Book Antiqua" w:cs="Arial"/>
        </w:rPr>
        <w:t xml:space="preserve"> none of this is such as to constitute powerful reasons that would render it reasonable to remove the child to Malawi.</w:t>
      </w:r>
    </w:p>
    <w:p w:rsidR="009A5AD7" w:rsidRPr="00027B4B" w:rsidRDefault="009A5AD7" w:rsidP="009A5AD7">
      <w:pPr>
        <w:numPr>
          <w:ilvl w:val="0"/>
          <w:numId w:val="1"/>
        </w:numPr>
        <w:spacing w:before="240" w:after="0" w:line="240" w:lineRule="auto"/>
        <w:jc w:val="both"/>
        <w:rPr>
          <w:rFonts w:ascii="Book Antiqua" w:hAnsi="Book Antiqua" w:cs="Arial"/>
        </w:rPr>
      </w:pPr>
      <w:r w:rsidRPr="00027B4B">
        <w:rPr>
          <w:rFonts w:ascii="Book Antiqua" w:hAnsi="Book Antiqua" w:cs="Arial"/>
        </w:rPr>
        <w:t xml:space="preserve">In those circumstances I find that the appeal of the </w:t>
      </w:r>
      <w:r>
        <w:rPr>
          <w:rFonts w:ascii="Book Antiqua" w:hAnsi="Book Antiqua" w:cs="Arial"/>
        </w:rPr>
        <w:t>1st</w:t>
      </w:r>
      <w:r w:rsidRPr="00027B4B">
        <w:rPr>
          <w:rFonts w:ascii="Book Antiqua" w:hAnsi="Book Antiqua" w:cs="Arial"/>
        </w:rPr>
        <w:t xml:space="preserve"> appellant and the 2</w:t>
      </w:r>
      <w:r w:rsidRPr="00176BCC">
        <w:rPr>
          <w:rFonts w:ascii="Book Antiqua" w:hAnsi="Book Antiqua" w:cs="Arial"/>
          <w:vertAlign w:val="superscript"/>
        </w:rPr>
        <w:t>nd</w:t>
      </w:r>
      <w:r w:rsidRPr="00027B4B">
        <w:rPr>
          <w:rFonts w:ascii="Book Antiqua" w:hAnsi="Book Antiqua" w:cs="Arial"/>
        </w:rPr>
        <w:t xml:space="preserve"> appellant </w:t>
      </w:r>
      <w:r>
        <w:rPr>
          <w:rFonts w:ascii="Book Antiqua" w:hAnsi="Book Antiqua" w:cs="Arial"/>
        </w:rPr>
        <w:t>are</w:t>
      </w:r>
      <w:r w:rsidRPr="00027B4B">
        <w:rPr>
          <w:rFonts w:ascii="Book Antiqua" w:hAnsi="Book Antiqua" w:cs="Arial"/>
        </w:rPr>
        <w:t xml:space="preserve"> allowed on article 8 grounds</w:t>
      </w:r>
      <w:bookmarkStart w:id="6" w:name="KVWin_undostart"/>
      <w:bookmarkEnd w:id="6"/>
      <w:r>
        <w:rPr>
          <w:rFonts w:ascii="Book Antiqua" w:hAnsi="Book Antiqua" w:cs="Arial"/>
        </w:rPr>
        <w:t xml:space="preserve">. </w:t>
      </w:r>
      <w:r w:rsidRPr="00027B4B">
        <w:rPr>
          <w:rFonts w:ascii="Book Antiqua" w:hAnsi="Book Antiqua" w:cs="Arial"/>
        </w:rPr>
        <w:t xml:space="preserve">In the light of the matters set out the judge has made a material error of law. </w:t>
      </w:r>
      <w:r>
        <w:rPr>
          <w:rFonts w:ascii="Book Antiqua" w:hAnsi="Book Antiqua" w:cs="Arial"/>
        </w:rPr>
        <w:t>I set the decision aside and allow the appeal on article 8 grounds.</w:t>
      </w:r>
    </w:p>
    <w:p w:rsidR="009A5AD7" w:rsidRPr="002D556E" w:rsidRDefault="009A5AD7" w:rsidP="009A5AD7">
      <w:pPr>
        <w:spacing w:before="240" w:after="0" w:line="240" w:lineRule="auto"/>
        <w:ind w:left="567"/>
        <w:jc w:val="both"/>
        <w:rPr>
          <w:rFonts w:ascii="Book Antiqua" w:hAnsi="Book Antiqua" w:cs="Arial"/>
          <w:b/>
          <w:u w:val="single"/>
        </w:rPr>
      </w:pPr>
      <w:r>
        <w:rPr>
          <w:rFonts w:ascii="Book Antiqua" w:hAnsi="Book Antiqua" w:cs="Arial"/>
          <w:b/>
          <w:u w:val="single"/>
        </w:rPr>
        <w:t>Notice of Decision</w:t>
      </w:r>
    </w:p>
    <w:p w:rsidR="009A5AD7" w:rsidRDefault="009A5AD7" w:rsidP="009A5AD7">
      <w:pPr>
        <w:numPr>
          <w:ilvl w:val="0"/>
          <w:numId w:val="1"/>
        </w:numPr>
        <w:tabs>
          <w:tab w:val="clear" w:pos="567"/>
        </w:tabs>
        <w:spacing w:before="240" w:after="0" w:line="240" w:lineRule="auto"/>
        <w:jc w:val="both"/>
        <w:rPr>
          <w:rFonts w:ascii="Book Antiqua" w:hAnsi="Book Antiqua" w:cs="Arial"/>
        </w:rPr>
      </w:pPr>
      <w:r w:rsidRPr="00027B4B">
        <w:rPr>
          <w:rFonts w:ascii="Book Antiqua" w:hAnsi="Book Antiqua" w:cs="Arial"/>
        </w:rPr>
        <w:t xml:space="preserve">I allow the appeals on article 8 grounds. </w:t>
      </w:r>
    </w:p>
    <w:p w:rsidR="009A5AD7" w:rsidRPr="00452057" w:rsidRDefault="002E5C09" w:rsidP="009A5AD7">
      <w:pPr>
        <w:spacing w:before="240" w:after="0" w:line="240" w:lineRule="auto"/>
        <w:ind w:left="567"/>
        <w:jc w:val="both"/>
        <w:rPr>
          <w:rFonts w:ascii="Book Antiqua" w:hAnsi="Book Antiqua" w:cs="Arial"/>
        </w:rPr>
      </w:pPr>
      <w:r>
        <w:rPr>
          <w:rFonts w:ascii="Book Antiqua" w:hAnsi="Book Antiqua" w:cs="Arial"/>
          <w:noProof/>
          <w:lang w:eastAsia="en-GB"/>
        </w:rPr>
        <w:drawing>
          <wp:anchor distT="0" distB="0" distL="114300" distR="114300" simplePos="0" relativeHeight="251657728" behindDoc="0" locked="0" layoutInCell="1" allowOverlap="1">
            <wp:simplePos x="0" y="0"/>
            <wp:positionH relativeFrom="column">
              <wp:posOffset>774700</wp:posOffset>
            </wp:positionH>
            <wp:positionV relativeFrom="paragraph">
              <wp:posOffset>135890</wp:posOffset>
            </wp:positionV>
            <wp:extent cx="1828800" cy="4108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5AD7" w:rsidRDefault="009A5AD7" w:rsidP="009A5AD7">
      <w:pPr>
        <w:tabs>
          <w:tab w:val="left" w:pos="5103"/>
        </w:tabs>
        <w:jc w:val="both"/>
        <w:rPr>
          <w:rFonts w:ascii="Book Antiqua" w:hAnsi="Book Antiqua" w:cs="Arial"/>
        </w:rPr>
      </w:pPr>
      <w:r w:rsidRPr="009D71ED">
        <w:rPr>
          <w:rFonts w:ascii="Book Antiqua" w:hAnsi="Book Antiqua" w:cs="Arial"/>
        </w:rPr>
        <w:t>Signed</w:t>
      </w:r>
      <w:r w:rsidRPr="009D71ED">
        <w:rPr>
          <w:rFonts w:ascii="Book Antiqua" w:hAnsi="Book Antiqua" w:cs="Arial"/>
        </w:rPr>
        <w:tab/>
      </w:r>
    </w:p>
    <w:p w:rsidR="009A5AD7" w:rsidRPr="00F5664C" w:rsidRDefault="009A5AD7" w:rsidP="009A5AD7">
      <w:pPr>
        <w:tabs>
          <w:tab w:val="left" w:pos="5103"/>
        </w:tabs>
        <w:jc w:val="both"/>
        <w:rPr>
          <w:rFonts w:ascii="Book Antiqua" w:hAnsi="Book Antiqua" w:cs="Arial"/>
        </w:rPr>
      </w:pPr>
      <w:r>
        <w:rPr>
          <w:rFonts w:ascii="Book Antiqua" w:hAnsi="Book Antiqua" w:cs="Arial"/>
        </w:rPr>
        <w:t xml:space="preserve">Deputy Upper Tribunal Judge McClure                                     </w:t>
      </w:r>
      <w:r w:rsidRPr="009D71ED">
        <w:rPr>
          <w:rFonts w:ascii="Book Antiqua" w:hAnsi="Book Antiqua" w:cs="Arial"/>
        </w:rPr>
        <w:t>Date</w:t>
      </w:r>
      <w:r>
        <w:rPr>
          <w:rFonts w:ascii="Book Antiqua" w:hAnsi="Book Antiqua" w:cs="Arial"/>
        </w:rPr>
        <w:t xml:space="preserve"> 2</w:t>
      </w:r>
      <w:r w:rsidRPr="00176BCC">
        <w:rPr>
          <w:rFonts w:ascii="Book Antiqua" w:hAnsi="Book Antiqua" w:cs="Arial"/>
          <w:vertAlign w:val="superscript"/>
        </w:rPr>
        <w:t>nd</w:t>
      </w:r>
      <w:r>
        <w:rPr>
          <w:rFonts w:ascii="Book Antiqua" w:hAnsi="Book Antiqua" w:cs="Arial"/>
        </w:rPr>
        <w:t xml:space="preserve"> July 2018</w:t>
      </w:r>
    </w:p>
    <w:p w:rsidR="00F052DD" w:rsidRDefault="00F052DD">
      <w:pPr>
        <w:spacing w:after="0" w:line="240" w:lineRule="auto"/>
      </w:pPr>
      <w:r>
        <w:br w:type="page"/>
      </w:r>
    </w:p>
    <w:p w:rsidR="00F052DD" w:rsidRDefault="00F052DD" w:rsidP="009A5AD7"/>
    <w:p w:rsidR="009A5AD7" w:rsidRPr="00522668" w:rsidRDefault="009A5AD7" w:rsidP="009A5AD7">
      <w:r w:rsidRPr="00522668">
        <w:t>Direction regarding anonymity- rule 14 of the Tribunal Proced</w:t>
      </w:r>
      <w:r>
        <w:t>ure (Upper Tribunal) Rules 2008</w:t>
      </w:r>
    </w:p>
    <w:p w:rsidR="009A5AD7" w:rsidRPr="00522668" w:rsidRDefault="009A5AD7" w:rsidP="009A5AD7">
      <w:r w:rsidRPr="00522668">
        <w:t>Unless and until a tribunal or court directs otherwise, the appellant is granted anonymity. No report of these proceedings shall directly or indirectly identify the appellant or any member of the appellant’s family. This direction applies both to the appellant and the respondent. Failure to comply with this direction could lead to contempt of court proceedings</w:t>
      </w:r>
    </w:p>
    <w:p w:rsidR="009A5AD7" w:rsidRPr="00522668" w:rsidRDefault="002E5C09" w:rsidP="009A5AD7">
      <w:r w:rsidRPr="00522668">
        <w:rPr>
          <w:rFonts w:ascii="Book Antiqua" w:hAnsi="Book Antiqua" w:cs="Arial"/>
          <w:noProof/>
          <w:lang w:eastAsia="en-GB"/>
        </w:rPr>
        <w:drawing>
          <wp:anchor distT="0" distB="0" distL="114300" distR="114300" simplePos="0" relativeHeight="251658752" behindDoc="0" locked="0" layoutInCell="1" allowOverlap="1">
            <wp:simplePos x="0" y="0"/>
            <wp:positionH relativeFrom="column">
              <wp:posOffset>727710</wp:posOffset>
            </wp:positionH>
            <wp:positionV relativeFrom="paragraph">
              <wp:posOffset>142875</wp:posOffset>
            </wp:positionV>
            <wp:extent cx="1828800" cy="4108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5AD7" w:rsidRPr="00522668" w:rsidRDefault="009A5AD7" w:rsidP="009A5AD7"/>
    <w:p w:rsidR="009A5AD7" w:rsidRPr="00522668" w:rsidRDefault="009A5AD7" w:rsidP="009A5AD7">
      <w:r>
        <w:t>Signed</w:t>
      </w:r>
      <w:r>
        <w:tab/>
      </w:r>
      <w:r>
        <w:tab/>
      </w:r>
      <w:r>
        <w:tab/>
      </w:r>
      <w:r>
        <w:tab/>
      </w:r>
      <w:r>
        <w:tab/>
      </w:r>
      <w:r>
        <w:tab/>
      </w:r>
      <w:r>
        <w:tab/>
      </w:r>
      <w:r>
        <w:tab/>
      </w:r>
      <w:r>
        <w:tab/>
        <w:t>Date 2</w:t>
      </w:r>
      <w:r w:rsidRPr="00176BCC">
        <w:rPr>
          <w:vertAlign w:val="superscript"/>
        </w:rPr>
        <w:t>nd</w:t>
      </w:r>
      <w:r>
        <w:t xml:space="preserve"> July </w:t>
      </w:r>
      <w:r w:rsidRPr="00522668">
        <w:t xml:space="preserve">2018 </w:t>
      </w:r>
    </w:p>
    <w:p w:rsidR="001D18CD" w:rsidRDefault="009A5AD7" w:rsidP="009A5AD7">
      <w:r w:rsidRPr="00522668">
        <w:t>De</w:t>
      </w:r>
      <w:r>
        <w:t>puty Upper Tribunal Judge McClure</w:t>
      </w:r>
    </w:p>
    <w:sectPr w:rsidR="001D18CD" w:rsidSect="00EE765D">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1D2" w:rsidRDefault="00DC71D2" w:rsidP="00B423D0">
      <w:pPr>
        <w:spacing w:after="0" w:line="240" w:lineRule="auto"/>
      </w:pPr>
      <w:r>
        <w:separator/>
      </w:r>
    </w:p>
  </w:endnote>
  <w:endnote w:type="continuationSeparator" w:id="0">
    <w:p w:rsidR="00DC71D2" w:rsidRDefault="00DC71D2" w:rsidP="00B42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65D" w:rsidRDefault="00EE765D">
    <w:pPr>
      <w:pStyle w:val="Footer"/>
      <w:jc w:val="center"/>
    </w:pPr>
    <w:r>
      <w:fldChar w:fldCharType="begin"/>
    </w:r>
    <w:r>
      <w:instrText xml:space="preserve"> PAGE   \* MERGEFORMAT </w:instrText>
    </w:r>
    <w:r>
      <w:fldChar w:fldCharType="separate"/>
    </w:r>
    <w:r w:rsidR="00D22D9C">
      <w:rPr>
        <w:noProof/>
      </w:rPr>
      <w:t>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65D" w:rsidRPr="00EE765D" w:rsidRDefault="00EE765D" w:rsidP="00EE765D">
    <w:pPr>
      <w:jc w:val="center"/>
    </w:pPr>
    <w:r w:rsidRPr="00EE765D">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1D2" w:rsidRDefault="00DC71D2" w:rsidP="00B423D0">
      <w:pPr>
        <w:spacing w:after="0" w:line="240" w:lineRule="auto"/>
      </w:pPr>
      <w:r>
        <w:separator/>
      </w:r>
    </w:p>
  </w:footnote>
  <w:footnote w:type="continuationSeparator" w:id="0">
    <w:p w:rsidR="00DC71D2" w:rsidRDefault="00DC71D2" w:rsidP="00B42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65D" w:rsidRDefault="00EE765D" w:rsidP="00EE765D">
    <w:pPr>
      <w:pStyle w:val="Header"/>
      <w:jc w:val="right"/>
    </w:pPr>
    <w:r w:rsidRPr="00EE765D">
      <w:t>HU/10332/2017                                                                                                                                                                                                                                                                                     HU/10328/2017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996C5B0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0AD7C17-9AF3-4009-9CBF-3A2D638E108D}"/>
    <w:docVar w:name="dgnword-eventsink" w:val="530737408"/>
  </w:docVars>
  <w:rsids>
    <w:rsidRoot w:val="009A5AD7"/>
    <w:rsid w:val="001D18CD"/>
    <w:rsid w:val="00240FAE"/>
    <w:rsid w:val="002752C1"/>
    <w:rsid w:val="002845C2"/>
    <w:rsid w:val="002E5C09"/>
    <w:rsid w:val="004B76ED"/>
    <w:rsid w:val="00680D50"/>
    <w:rsid w:val="00891FE6"/>
    <w:rsid w:val="009A5AD7"/>
    <w:rsid w:val="00A02375"/>
    <w:rsid w:val="00B06C76"/>
    <w:rsid w:val="00B423D0"/>
    <w:rsid w:val="00C372ED"/>
    <w:rsid w:val="00D22D9C"/>
    <w:rsid w:val="00DC71D2"/>
    <w:rsid w:val="00EE765D"/>
    <w:rsid w:val="00F052DD"/>
    <w:rsid w:val="00F95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213D58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3D0"/>
    <w:pPr>
      <w:tabs>
        <w:tab w:val="center" w:pos="4513"/>
        <w:tab w:val="right" w:pos="9026"/>
      </w:tabs>
    </w:pPr>
  </w:style>
  <w:style w:type="character" w:customStyle="1" w:styleId="HeaderChar">
    <w:name w:val="Header Char"/>
    <w:link w:val="Header"/>
    <w:uiPriority w:val="99"/>
    <w:rsid w:val="00B423D0"/>
    <w:rPr>
      <w:sz w:val="22"/>
      <w:szCs w:val="22"/>
      <w:lang w:eastAsia="en-US"/>
    </w:rPr>
  </w:style>
  <w:style w:type="paragraph" w:styleId="Footer">
    <w:name w:val="footer"/>
    <w:basedOn w:val="Normal"/>
    <w:link w:val="FooterChar"/>
    <w:uiPriority w:val="99"/>
    <w:unhideWhenUsed/>
    <w:rsid w:val="00B423D0"/>
    <w:pPr>
      <w:tabs>
        <w:tab w:val="center" w:pos="4513"/>
        <w:tab w:val="right" w:pos="9026"/>
      </w:tabs>
    </w:pPr>
  </w:style>
  <w:style w:type="character" w:customStyle="1" w:styleId="FooterChar">
    <w:name w:val="Footer Char"/>
    <w:link w:val="Footer"/>
    <w:uiPriority w:val="99"/>
    <w:rsid w:val="00B423D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2769</Words>
  <Characters>15789</Characters>
  <Application>Microsoft Office Word</Application>
  <DocSecurity>0</DocSecurity>
  <Lines>131</Lines>
  <Paragraphs>37</Paragraphs>
  <ScaleCrop>false</ScaleCrop>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2018-07-19T13:02:00Z</dcterms:created>
  <dcterms:modified xsi:type="dcterms:W3CDTF">2018-07-19T13:02:00Z</dcterms:modified>
</cp:coreProperties>
</file>