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BC0D51" w:rsidRDefault="00551CC2" w:rsidP="00F15FCE">
      <w:pPr>
        <w:jc w:val="center"/>
        <w:rPr>
          <w:rFonts w:ascii="Book Antiqua" w:hAnsi="Book Antiqua" w:cs="Arial"/>
          <w:caps/>
          <w:color w:val="000000"/>
          <w:sz w:val="16"/>
          <w:szCs w:val="16"/>
        </w:rPr>
      </w:pPr>
      <w:r w:rsidRPr="00BC0D51">
        <w:rPr>
          <w:noProof/>
          <w:sz w:val="16"/>
          <w:szCs w:val="16"/>
        </w:rPr>
        <w:drawing>
          <wp:inline distT="0" distB="0" distL="0" distR="0">
            <wp:extent cx="1041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p>
    <w:p w:rsidR="00D94AFC" w:rsidRPr="00BC0D51"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044392" w:rsidRDefault="0050388A" w:rsidP="00B21EBA">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r w:rsidR="000B720E">
        <w:rPr>
          <w:rFonts w:ascii="Book Antiqua" w:hAnsi="Book Antiqua" w:cs="Arial"/>
          <w:color w:val="000000"/>
        </w:rPr>
        <w:t>HU/10368/2015</w:t>
      </w:r>
    </w:p>
    <w:p w:rsidR="000B720E" w:rsidRPr="00B21EBA" w:rsidRDefault="000B720E" w:rsidP="000B720E">
      <w:pPr>
        <w:tabs>
          <w:tab w:val="right" w:pos="9720"/>
        </w:tabs>
        <w:ind w:right="-82"/>
        <w:jc w:val="right"/>
        <w:rPr>
          <w:rFonts w:ascii="Book Antiqua" w:hAnsi="Book Antiqua" w:cs="Arial"/>
          <w:color w:val="000000"/>
        </w:rPr>
      </w:pPr>
      <w:bookmarkStart w:id="0" w:name="_GoBack"/>
      <w:r>
        <w:rPr>
          <w:rFonts w:ascii="Book Antiqua" w:hAnsi="Book Antiqua" w:cs="Arial"/>
          <w:color w:val="000000"/>
        </w:rPr>
        <w:t>HU/10362/2015</w:t>
      </w:r>
    </w:p>
    <w:bookmarkEnd w:id="0"/>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4"/>
        <w:gridCol w:w="785"/>
        <w:gridCol w:w="3889"/>
      </w:tblGrid>
      <w:tr w:rsidR="00D22636" w:rsidRPr="004B65D3" w:rsidTr="00551CC2">
        <w:tc>
          <w:tcPr>
            <w:tcW w:w="5070" w:type="dxa"/>
            <w:shd w:val="clear" w:color="auto" w:fill="auto"/>
          </w:tcPr>
          <w:p w:rsidR="00D22636" w:rsidRPr="004B65D3" w:rsidRDefault="00D22636" w:rsidP="004B65D3">
            <w:pPr>
              <w:jc w:val="both"/>
              <w:rPr>
                <w:rFonts w:ascii="Book Antiqua" w:hAnsi="Book Antiqua" w:cs="Arial"/>
                <w:b/>
              </w:rPr>
            </w:pPr>
            <w:r w:rsidRPr="004B65D3">
              <w:rPr>
                <w:rFonts w:ascii="Book Antiqua" w:hAnsi="Book Antiqua" w:cs="Arial"/>
                <w:b/>
              </w:rPr>
              <w:t xml:space="preserve">Heard at </w:t>
            </w:r>
            <w:r w:rsidR="00F64FEC">
              <w:rPr>
                <w:rFonts w:ascii="Book Antiqua" w:hAnsi="Book Antiqua" w:cs="Arial"/>
                <w:b/>
              </w:rPr>
              <w:t>Field House</w:t>
            </w:r>
          </w:p>
        </w:tc>
        <w:tc>
          <w:tcPr>
            <w:tcW w:w="4758" w:type="dxa"/>
            <w:gridSpan w:val="2"/>
            <w:shd w:val="clear" w:color="auto" w:fill="auto"/>
          </w:tcPr>
          <w:p w:rsidR="00D22636" w:rsidRPr="004B65D3" w:rsidRDefault="00847259" w:rsidP="004B65D3">
            <w:pPr>
              <w:jc w:val="both"/>
              <w:rPr>
                <w:rFonts w:ascii="Book Antiqua" w:hAnsi="Book Antiqua" w:cs="Arial"/>
                <w:b/>
                <w:color w:val="000000"/>
              </w:rPr>
            </w:pPr>
            <w:r w:rsidRPr="004B65D3">
              <w:rPr>
                <w:rFonts w:ascii="Book Antiqua" w:hAnsi="Book Antiqua" w:cs="Arial"/>
                <w:b/>
                <w:color w:val="000000"/>
              </w:rPr>
              <w:t>Decision &amp; Reasons</w:t>
            </w:r>
            <w:r w:rsidR="00283659" w:rsidRPr="004B65D3">
              <w:rPr>
                <w:rFonts w:ascii="Book Antiqua" w:hAnsi="Book Antiqua" w:cs="Arial"/>
                <w:b/>
                <w:color w:val="000000"/>
              </w:rPr>
              <w:t xml:space="preserve"> Promulgated</w:t>
            </w:r>
          </w:p>
        </w:tc>
      </w:tr>
      <w:tr w:rsidR="00D22636" w:rsidRPr="004B65D3" w:rsidTr="00551CC2">
        <w:tc>
          <w:tcPr>
            <w:tcW w:w="5070" w:type="dxa"/>
            <w:shd w:val="clear" w:color="auto" w:fill="auto"/>
          </w:tcPr>
          <w:p w:rsidR="00D22636" w:rsidRPr="004B65D3" w:rsidRDefault="00D22636" w:rsidP="004B65D3">
            <w:pPr>
              <w:jc w:val="both"/>
              <w:rPr>
                <w:rFonts w:ascii="Book Antiqua" w:hAnsi="Book Antiqua" w:cs="Arial"/>
                <w:b/>
              </w:rPr>
            </w:pPr>
            <w:r w:rsidRPr="004B65D3">
              <w:rPr>
                <w:rFonts w:ascii="Book Antiqua" w:hAnsi="Book Antiqua" w:cs="Arial"/>
                <w:b/>
              </w:rPr>
              <w:t xml:space="preserve">On </w:t>
            </w:r>
            <w:r w:rsidR="00F64FEC">
              <w:rPr>
                <w:rFonts w:ascii="Book Antiqua" w:hAnsi="Book Antiqua" w:cs="Arial"/>
                <w:b/>
              </w:rPr>
              <w:t>23</w:t>
            </w:r>
            <w:r w:rsidR="00F64FEC" w:rsidRPr="00F64FEC">
              <w:rPr>
                <w:rFonts w:ascii="Book Antiqua" w:hAnsi="Book Antiqua" w:cs="Arial"/>
                <w:b/>
                <w:vertAlign w:val="superscript"/>
              </w:rPr>
              <w:t>rd</w:t>
            </w:r>
            <w:r w:rsidR="00F64FEC">
              <w:rPr>
                <w:rFonts w:ascii="Book Antiqua" w:hAnsi="Book Antiqua" w:cs="Arial"/>
                <w:b/>
              </w:rPr>
              <w:t xml:space="preserve"> January 2018</w:t>
            </w:r>
          </w:p>
        </w:tc>
        <w:tc>
          <w:tcPr>
            <w:tcW w:w="4758" w:type="dxa"/>
            <w:gridSpan w:val="2"/>
            <w:shd w:val="clear" w:color="auto" w:fill="auto"/>
          </w:tcPr>
          <w:p w:rsidR="00D22636" w:rsidRPr="004B65D3" w:rsidRDefault="00551CC2" w:rsidP="004B65D3">
            <w:pPr>
              <w:jc w:val="both"/>
              <w:rPr>
                <w:rFonts w:ascii="Book Antiqua" w:hAnsi="Book Antiqua" w:cs="Arial"/>
                <w:b/>
              </w:rPr>
            </w:pPr>
            <w:r>
              <w:rPr>
                <w:rFonts w:ascii="Book Antiqua" w:hAnsi="Book Antiqua" w:cs="Arial"/>
                <w:b/>
              </w:rPr>
              <w:t>On 18</w:t>
            </w:r>
            <w:r w:rsidRPr="00551CC2">
              <w:rPr>
                <w:rFonts w:ascii="Book Antiqua" w:hAnsi="Book Antiqua" w:cs="Arial"/>
                <w:b/>
                <w:vertAlign w:val="superscript"/>
              </w:rPr>
              <w:t>th</w:t>
            </w:r>
            <w:r>
              <w:rPr>
                <w:rFonts w:ascii="Book Antiqua" w:hAnsi="Book Antiqua" w:cs="Arial"/>
                <w:b/>
              </w:rPr>
              <w:t xml:space="preserve"> May 2018 </w:t>
            </w:r>
          </w:p>
        </w:tc>
      </w:tr>
      <w:tr w:rsidR="00D22636" w:rsidRPr="004B65D3" w:rsidTr="00551CC2">
        <w:tc>
          <w:tcPr>
            <w:tcW w:w="5868" w:type="dxa"/>
            <w:gridSpan w:val="2"/>
            <w:shd w:val="clear" w:color="auto" w:fill="auto"/>
          </w:tcPr>
          <w:p w:rsidR="00D22636" w:rsidRPr="004B65D3" w:rsidRDefault="00D22636" w:rsidP="004B65D3">
            <w:pPr>
              <w:jc w:val="both"/>
              <w:rPr>
                <w:rFonts w:ascii="Book Antiqua" w:hAnsi="Book Antiqua" w:cs="Arial"/>
                <w:b/>
              </w:rPr>
            </w:pPr>
          </w:p>
        </w:tc>
        <w:tc>
          <w:tcPr>
            <w:tcW w:w="3960" w:type="dxa"/>
            <w:shd w:val="clear" w:color="auto" w:fill="auto"/>
          </w:tcPr>
          <w:p w:rsidR="00D22636" w:rsidRPr="004B65D3" w:rsidRDefault="00D22636" w:rsidP="004B65D3">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02240C" w:rsidRDefault="00347A9C" w:rsidP="0002240C">
      <w:pPr>
        <w:jc w:val="center"/>
        <w:rPr>
          <w:rFonts w:ascii="Book Antiqua" w:hAnsi="Book Antiqua" w:cs="Arial"/>
          <w:b/>
          <w:color w:val="000000"/>
        </w:rPr>
      </w:pPr>
      <w:r>
        <w:rPr>
          <w:rFonts w:ascii="Book Antiqua" w:hAnsi="Book Antiqua" w:cs="Arial"/>
          <w:b/>
          <w:color w:val="000000"/>
        </w:rPr>
        <w:t xml:space="preserve">DEPUTY UPPER TRIBUNAL JUDGE </w:t>
      </w:r>
      <w:r w:rsidR="004A43E0">
        <w:rPr>
          <w:rFonts w:ascii="Book Antiqua" w:hAnsi="Book Antiqua" w:cs="Arial"/>
          <w:b/>
          <w:color w:val="000000"/>
        </w:rPr>
        <w:t>MANDALIA</w:t>
      </w:r>
    </w:p>
    <w:p w:rsidR="00A845DC" w:rsidRPr="00AE6DDE" w:rsidRDefault="00A845DC" w:rsidP="00A15234">
      <w:pPr>
        <w:jc w:val="center"/>
        <w:rPr>
          <w:rFonts w:ascii="Book Antiqua" w:hAnsi="Book Antiqua" w:cs="Arial"/>
          <w:b/>
        </w:rPr>
      </w:pPr>
    </w:p>
    <w:p w:rsidR="00BC0D51" w:rsidRDefault="00BC0D51"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F64FEC" w:rsidRDefault="00F64FEC" w:rsidP="00B21EBA">
      <w:pPr>
        <w:jc w:val="center"/>
        <w:rPr>
          <w:rFonts w:ascii="Book Antiqua" w:hAnsi="Book Antiqua" w:cs="Arial"/>
          <w:b/>
          <w:caps/>
        </w:rPr>
      </w:pPr>
      <w:r>
        <w:rPr>
          <w:rFonts w:ascii="Book Antiqua" w:hAnsi="Book Antiqua" w:cs="Arial"/>
          <w:b/>
          <w:caps/>
        </w:rPr>
        <w:t>mr. sheikh nabeel raza</w:t>
      </w:r>
    </w:p>
    <w:p w:rsidR="000B720E" w:rsidRDefault="000B720E" w:rsidP="000B720E">
      <w:pPr>
        <w:jc w:val="center"/>
        <w:rPr>
          <w:rFonts w:ascii="Book Antiqua" w:hAnsi="Book Antiqua" w:cs="Arial"/>
          <w:b/>
          <w:caps/>
        </w:rPr>
      </w:pPr>
      <w:r>
        <w:rPr>
          <w:rFonts w:ascii="Book Antiqua" w:hAnsi="Book Antiqua" w:cs="Arial"/>
          <w:b/>
          <w:caps/>
        </w:rPr>
        <w:t>MRs. chandni zahra</w:t>
      </w:r>
    </w:p>
    <w:p w:rsidR="00175706" w:rsidRPr="00BC0D51" w:rsidRDefault="00C811BD" w:rsidP="00D47A0F">
      <w:pPr>
        <w:ind w:right="-1"/>
        <w:jc w:val="center"/>
        <w:rPr>
          <w:rFonts w:ascii="Book Antiqua" w:hAnsi="Book Antiqua" w:cs="Arial"/>
          <w:b/>
          <w:caps/>
          <w:sz w:val="22"/>
          <w:szCs w:val="22"/>
        </w:rPr>
      </w:pPr>
      <w:r w:rsidRPr="00BC0D51">
        <w:rPr>
          <w:rFonts w:ascii="Book Antiqua" w:hAnsi="Book Antiqua" w:cs="Arial"/>
          <w:b/>
          <w:caps/>
          <w:sz w:val="22"/>
          <w:szCs w:val="22"/>
        </w:rPr>
        <w:t>(</w:t>
      </w:r>
      <w:r w:rsidR="00F707C7" w:rsidRPr="00BC0D51">
        <w:rPr>
          <w:rFonts w:ascii="Book Antiqua" w:hAnsi="Book Antiqua" w:cs="Arial"/>
          <w:b/>
          <w:caps/>
          <w:sz w:val="22"/>
          <w:szCs w:val="22"/>
        </w:rPr>
        <w:t xml:space="preserve">NO </w:t>
      </w:r>
      <w:r w:rsidR="00D47A0F" w:rsidRPr="00BC0D51">
        <w:rPr>
          <w:rFonts w:ascii="Book Antiqua" w:hAnsi="Book Antiqua" w:cs="Arial"/>
          <w:b/>
          <w:caps/>
          <w:sz w:val="22"/>
          <w:szCs w:val="22"/>
        </w:rPr>
        <w:t>anonymity direction made)</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F64FEC">
        <w:rPr>
          <w:rFonts w:ascii="Book Antiqua" w:hAnsi="Book Antiqua" w:cs="Arial"/>
          <w:u w:val="single"/>
        </w:rPr>
        <w:t>s</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175706" w:rsidRDefault="005B7CA3" w:rsidP="00175706">
      <w:pPr>
        <w:jc w:val="center"/>
        <w:rPr>
          <w:rFonts w:ascii="Book Antiqua" w:hAnsi="Book Antiqua" w:cs="Arial"/>
          <w:b/>
        </w:rPr>
      </w:pPr>
      <w:r w:rsidRPr="00AE6DDE">
        <w:rPr>
          <w:rFonts w:ascii="Book Antiqua" w:hAnsi="Book Antiqua" w:cs="Arial"/>
          <w:b/>
        </w:rPr>
        <w:t xml:space="preserve"> </w:t>
      </w:r>
    </w:p>
    <w:p w:rsidR="00D47A0F" w:rsidRPr="008E5B61" w:rsidRDefault="00D47A0F" w:rsidP="00175706">
      <w:pPr>
        <w:ind w:right="-1"/>
        <w:jc w:val="center"/>
        <w:rPr>
          <w:rFonts w:ascii="Book Antiqua" w:hAnsi="Book Antiqua" w:cs="Arial"/>
          <w:b/>
          <w:caps/>
        </w:rPr>
      </w:pPr>
      <w:r>
        <w:rPr>
          <w:rFonts w:ascii="Book Antiqua" w:hAnsi="Book Antiqua" w:cs="Arial"/>
          <w:b/>
        </w:rPr>
        <w:t>THE 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8E5B61" w:rsidRPr="00AE6DDE" w:rsidRDefault="008E5B61" w:rsidP="00BC0D51">
      <w:pPr>
        <w:tabs>
          <w:tab w:val="left" w:pos="2552"/>
        </w:tabs>
        <w:rPr>
          <w:rFonts w:ascii="Book Antiqua" w:hAnsi="Book Antiqua" w:cs="Arial"/>
        </w:rPr>
      </w:pPr>
      <w:r>
        <w:rPr>
          <w:rFonts w:ascii="Book Antiqua" w:hAnsi="Book Antiqua" w:cs="Arial"/>
        </w:rPr>
        <w:t>For the Appellant:</w:t>
      </w:r>
      <w:r>
        <w:rPr>
          <w:rFonts w:ascii="Book Antiqua" w:hAnsi="Book Antiqua" w:cs="Arial"/>
        </w:rPr>
        <w:tab/>
      </w:r>
      <w:r w:rsidR="00D96B65">
        <w:rPr>
          <w:rFonts w:ascii="Book Antiqua" w:hAnsi="Book Antiqua" w:cs="Arial"/>
        </w:rPr>
        <w:t>M</w:t>
      </w:r>
      <w:r w:rsidR="00275C80">
        <w:rPr>
          <w:rFonts w:ascii="Book Antiqua" w:hAnsi="Book Antiqua" w:cs="Arial"/>
        </w:rPr>
        <w:t>s</w:t>
      </w:r>
      <w:r w:rsidR="00F64FEC">
        <w:rPr>
          <w:rFonts w:ascii="Book Antiqua" w:hAnsi="Book Antiqua" w:cs="Arial"/>
        </w:rPr>
        <w:t>.</w:t>
      </w:r>
      <w:r w:rsidR="00275C80">
        <w:rPr>
          <w:rFonts w:ascii="Book Antiqua" w:hAnsi="Book Antiqua" w:cs="Arial"/>
        </w:rPr>
        <w:t xml:space="preserve"> J Bond</w:t>
      </w:r>
      <w:r w:rsidR="00F64FEC">
        <w:rPr>
          <w:rFonts w:ascii="Book Antiqua" w:hAnsi="Book Antiqua" w:cs="Arial"/>
        </w:rPr>
        <w:t>, instructed by Rainbow Solicitors LLP</w:t>
      </w:r>
    </w:p>
    <w:p w:rsidR="008E5B61" w:rsidRDefault="00DE7DB7" w:rsidP="00BC0D51">
      <w:pPr>
        <w:tabs>
          <w:tab w:val="left" w:pos="2552"/>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FC53FA">
        <w:rPr>
          <w:rFonts w:ascii="Book Antiqua" w:hAnsi="Book Antiqua" w:cs="Arial"/>
        </w:rPr>
        <w:t>Mr.</w:t>
      </w:r>
      <w:r w:rsidR="00275C80">
        <w:rPr>
          <w:rFonts w:ascii="Book Antiqua" w:hAnsi="Book Antiqua" w:cs="Arial"/>
        </w:rPr>
        <w:t xml:space="preserve"> C </w:t>
      </w:r>
      <w:r w:rsidR="00BC0D51">
        <w:rPr>
          <w:rFonts w:ascii="Book Antiqua" w:hAnsi="Book Antiqua" w:cs="Arial"/>
        </w:rPr>
        <w:t>Avery,</w:t>
      </w:r>
      <w:r w:rsidR="00D47A0F">
        <w:rPr>
          <w:rFonts w:ascii="Book Antiqua" w:hAnsi="Book Antiqua" w:cs="Arial"/>
        </w:rPr>
        <w:t xml:space="preserve"> 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5F56D0" w:rsidRPr="00F707C7" w:rsidRDefault="005F56D0" w:rsidP="00BC0D51">
      <w:pPr>
        <w:numPr>
          <w:ilvl w:val="0"/>
          <w:numId w:val="1"/>
        </w:numPr>
        <w:tabs>
          <w:tab w:val="left" w:pos="851"/>
        </w:tabs>
        <w:spacing w:before="240" w:after="240" w:line="360" w:lineRule="auto"/>
        <w:ind w:left="567" w:hanging="567"/>
        <w:jc w:val="both"/>
        <w:rPr>
          <w:rFonts w:ascii="Book Antiqua" w:hAnsi="Book Antiqua" w:cs="Arial"/>
        </w:rPr>
      </w:pPr>
      <w:r w:rsidRPr="00F707C7">
        <w:rPr>
          <w:rFonts w:ascii="Book Antiqua" w:hAnsi="Book Antiqua" w:cs="Arial"/>
        </w:rPr>
        <w:t xml:space="preserve">This is an appeal against the decision of </w:t>
      </w:r>
      <w:r w:rsidR="00E267D9" w:rsidRPr="00F707C7">
        <w:rPr>
          <w:rFonts w:ascii="Book Antiqua" w:hAnsi="Book Antiqua" w:cs="Arial"/>
        </w:rPr>
        <w:t>F</w:t>
      </w:r>
      <w:r w:rsidR="00E267D9" w:rsidRPr="00F707C7">
        <w:rPr>
          <w:rFonts w:ascii="Book Antiqua" w:hAnsi="Book Antiqua" w:cs="Arial"/>
          <w:i/>
        </w:rPr>
        <w:t>t</w:t>
      </w:r>
      <w:r w:rsidR="00E267D9" w:rsidRPr="00F707C7">
        <w:rPr>
          <w:rFonts w:ascii="Book Antiqua" w:hAnsi="Book Antiqua" w:cs="Arial"/>
        </w:rPr>
        <w:t>T</w:t>
      </w:r>
      <w:r w:rsidRPr="00F707C7">
        <w:rPr>
          <w:rFonts w:ascii="Book Antiqua" w:hAnsi="Book Antiqua" w:cs="Arial"/>
        </w:rPr>
        <w:t xml:space="preserve"> Judge </w:t>
      </w:r>
      <w:r w:rsidR="00492BDC">
        <w:rPr>
          <w:rFonts w:ascii="Book Antiqua" w:hAnsi="Book Antiqua" w:cs="Arial"/>
        </w:rPr>
        <w:t>Mayall</w:t>
      </w:r>
      <w:r w:rsidRPr="00F707C7">
        <w:rPr>
          <w:rFonts w:ascii="Book Antiqua" w:hAnsi="Book Antiqua" w:cs="Arial"/>
        </w:rPr>
        <w:t xml:space="preserve"> promulgated on </w:t>
      </w:r>
      <w:r w:rsidR="00492BDC">
        <w:rPr>
          <w:rFonts w:ascii="Book Antiqua" w:hAnsi="Book Antiqua" w:cs="Arial"/>
        </w:rPr>
        <w:t>5</w:t>
      </w:r>
      <w:r w:rsidR="00492BDC" w:rsidRPr="00492BDC">
        <w:rPr>
          <w:rFonts w:ascii="Book Antiqua" w:hAnsi="Book Antiqua" w:cs="Arial"/>
          <w:vertAlign w:val="superscript"/>
        </w:rPr>
        <w:t>th</w:t>
      </w:r>
      <w:r w:rsidR="00492BDC">
        <w:rPr>
          <w:rFonts w:ascii="Book Antiqua" w:hAnsi="Book Antiqua" w:cs="Arial"/>
        </w:rPr>
        <w:t xml:space="preserve"> Dec</w:t>
      </w:r>
      <w:r w:rsidR="00F707C7">
        <w:rPr>
          <w:rFonts w:ascii="Book Antiqua" w:hAnsi="Book Antiqua" w:cs="Arial"/>
        </w:rPr>
        <w:t>ember 2016</w:t>
      </w:r>
      <w:r w:rsidR="000B720E">
        <w:rPr>
          <w:rFonts w:ascii="Book Antiqua" w:hAnsi="Book Antiqua" w:cs="Arial"/>
        </w:rPr>
        <w:t xml:space="preserve">, in which </w:t>
      </w:r>
      <w:r w:rsidRPr="00F707C7">
        <w:rPr>
          <w:rFonts w:ascii="Book Antiqua" w:hAnsi="Book Antiqua" w:cs="Arial"/>
        </w:rPr>
        <w:t xml:space="preserve">he dismissed </w:t>
      </w:r>
      <w:r w:rsidR="00F707C7">
        <w:rPr>
          <w:rFonts w:ascii="Book Antiqua" w:hAnsi="Book Antiqua" w:cs="Arial"/>
        </w:rPr>
        <w:t>the appeal</w:t>
      </w:r>
      <w:r w:rsidR="00492BDC">
        <w:rPr>
          <w:rFonts w:ascii="Book Antiqua" w:hAnsi="Book Antiqua" w:cs="Arial"/>
        </w:rPr>
        <w:t>s</w:t>
      </w:r>
      <w:r w:rsidRPr="00F707C7">
        <w:rPr>
          <w:rFonts w:ascii="Book Antiqua" w:hAnsi="Book Antiqua" w:cs="Arial"/>
        </w:rPr>
        <w:t xml:space="preserve"> by </w:t>
      </w:r>
      <w:r w:rsidR="00F707C7">
        <w:rPr>
          <w:rFonts w:ascii="Book Antiqua" w:hAnsi="Book Antiqua" w:cs="Arial"/>
        </w:rPr>
        <w:t>the appellant</w:t>
      </w:r>
      <w:r w:rsidR="00492BDC">
        <w:rPr>
          <w:rFonts w:ascii="Book Antiqua" w:hAnsi="Book Antiqua" w:cs="Arial"/>
        </w:rPr>
        <w:t>s</w:t>
      </w:r>
      <w:r w:rsidR="00F707C7">
        <w:rPr>
          <w:rFonts w:ascii="Book Antiqua" w:hAnsi="Book Antiqua" w:cs="Arial"/>
        </w:rPr>
        <w:t xml:space="preserve"> against the respondent’s decision</w:t>
      </w:r>
      <w:r w:rsidR="00492BDC">
        <w:rPr>
          <w:rFonts w:ascii="Book Antiqua" w:hAnsi="Book Antiqua" w:cs="Arial"/>
        </w:rPr>
        <w:t>s</w:t>
      </w:r>
      <w:r w:rsidR="00F707C7">
        <w:rPr>
          <w:rFonts w:ascii="Book Antiqua" w:hAnsi="Book Antiqua" w:cs="Arial"/>
        </w:rPr>
        <w:t xml:space="preserve"> of</w:t>
      </w:r>
      <w:r w:rsidR="00492BDC">
        <w:rPr>
          <w:rFonts w:ascii="Book Antiqua" w:hAnsi="Book Antiqua" w:cs="Arial"/>
        </w:rPr>
        <w:t xml:space="preserve"> 26</w:t>
      </w:r>
      <w:r w:rsidR="00492BDC" w:rsidRPr="00492BDC">
        <w:rPr>
          <w:rFonts w:ascii="Book Antiqua" w:hAnsi="Book Antiqua" w:cs="Arial"/>
          <w:vertAlign w:val="superscript"/>
        </w:rPr>
        <w:t>th</w:t>
      </w:r>
      <w:r w:rsidR="00492BDC">
        <w:rPr>
          <w:rFonts w:ascii="Book Antiqua" w:hAnsi="Book Antiqua" w:cs="Arial"/>
        </w:rPr>
        <w:t xml:space="preserve"> October 2015 </w:t>
      </w:r>
      <w:r w:rsidR="00F707C7">
        <w:rPr>
          <w:rFonts w:ascii="Book Antiqua" w:hAnsi="Book Antiqua" w:cs="Arial"/>
        </w:rPr>
        <w:t xml:space="preserve">to refuse </w:t>
      </w:r>
      <w:r w:rsidR="00492BDC">
        <w:rPr>
          <w:rFonts w:ascii="Book Antiqua" w:hAnsi="Book Antiqua" w:cs="Arial"/>
        </w:rPr>
        <w:t>indefinite leave to remain in in the UK.</w:t>
      </w:r>
      <w:r w:rsidR="00F707C7">
        <w:rPr>
          <w:rFonts w:ascii="Book Antiqua" w:hAnsi="Book Antiqua" w:cs="Arial"/>
        </w:rPr>
        <w:t xml:space="preserve"> </w:t>
      </w:r>
    </w:p>
    <w:p w:rsidR="00A83C36" w:rsidRDefault="00F707C7"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lastRenderedPageBreak/>
        <w:t>The appellant</w:t>
      </w:r>
      <w:r w:rsidR="00492BDC">
        <w:rPr>
          <w:rFonts w:ascii="Book Antiqua" w:hAnsi="Book Antiqua" w:cs="Arial"/>
        </w:rPr>
        <w:t xml:space="preserve">s are </w:t>
      </w:r>
      <w:r>
        <w:rPr>
          <w:rFonts w:ascii="Book Antiqua" w:hAnsi="Book Antiqua" w:cs="Arial"/>
        </w:rPr>
        <w:t>national</w:t>
      </w:r>
      <w:r w:rsidR="00492BDC">
        <w:rPr>
          <w:rFonts w:ascii="Book Antiqua" w:hAnsi="Book Antiqua" w:cs="Arial"/>
        </w:rPr>
        <w:t>s</w:t>
      </w:r>
      <w:r>
        <w:rPr>
          <w:rFonts w:ascii="Book Antiqua" w:hAnsi="Book Antiqua" w:cs="Arial"/>
        </w:rPr>
        <w:t xml:space="preserve"> of </w:t>
      </w:r>
      <w:r w:rsidR="00492BDC">
        <w:rPr>
          <w:rFonts w:ascii="Book Antiqua" w:hAnsi="Book Antiqua" w:cs="Arial"/>
        </w:rPr>
        <w:t>Pakistan</w:t>
      </w:r>
      <w:r w:rsidR="000B720E">
        <w:rPr>
          <w:rFonts w:ascii="Book Antiqua" w:hAnsi="Book Antiqua" w:cs="Arial"/>
        </w:rPr>
        <w:t>.  The first appellant arrived in the UK with leave to enter as a student valid until 31</w:t>
      </w:r>
      <w:r w:rsidR="000B720E" w:rsidRPr="000B720E">
        <w:rPr>
          <w:rFonts w:ascii="Book Antiqua" w:hAnsi="Book Antiqua" w:cs="Arial"/>
          <w:vertAlign w:val="superscript"/>
        </w:rPr>
        <w:t>st</w:t>
      </w:r>
      <w:r w:rsidR="000B720E">
        <w:rPr>
          <w:rFonts w:ascii="Book Antiqua" w:hAnsi="Book Antiqua" w:cs="Arial"/>
        </w:rPr>
        <w:t xml:space="preserve"> October 2005</w:t>
      </w:r>
      <w:r w:rsidR="00CD7373">
        <w:rPr>
          <w:rFonts w:ascii="Book Antiqua" w:hAnsi="Book Antiqua" w:cs="Arial"/>
        </w:rPr>
        <w:t>.  He was granted successive leave to remain as a student until July 2009.  In August 2009 he was granted l</w:t>
      </w:r>
      <w:r w:rsidR="00711F5A">
        <w:rPr>
          <w:rFonts w:ascii="Book Antiqua" w:hAnsi="Book Antiqua" w:cs="Arial"/>
        </w:rPr>
        <w:t>eave to remain as a Tier 1 Post</w:t>
      </w:r>
      <w:r w:rsidR="00CD7373">
        <w:rPr>
          <w:rFonts w:ascii="Book Antiqua" w:hAnsi="Book Antiqua" w:cs="Arial"/>
        </w:rPr>
        <w:t xml:space="preserve"> Study worker until 22</w:t>
      </w:r>
      <w:r w:rsidR="00CD7373" w:rsidRPr="00CD7373">
        <w:rPr>
          <w:rFonts w:ascii="Book Antiqua" w:hAnsi="Book Antiqua" w:cs="Arial"/>
          <w:vertAlign w:val="superscript"/>
        </w:rPr>
        <w:t>nd</w:t>
      </w:r>
      <w:r w:rsidR="00CD7373">
        <w:rPr>
          <w:rFonts w:ascii="Book Antiqua" w:hAnsi="Book Antiqua" w:cs="Arial"/>
        </w:rPr>
        <w:t xml:space="preserve"> August 2010.  On 18</w:t>
      </w:r>
      <w:r w:rsidR="00CD7373" w:rsidRPr="00CD7373">
        <w:rPr>
          <w:rFonts w:ascii="Book Antiqua" w:hAnsi="Book Antiqua" w:cs="Arial"/>
          <w:vertAlign w:val="superscript"/>
        </w:rPr>
        <w:t>th</w:t>
      </w:r>
      <w:r w:rsidR="00CD7373">
        <w:rPr>
          <w:rFonts w:ascii="Book Antiqua" w:hAnsi="Book Antiqua" w:cs="Arial"/>
        </w:rPr>
        <w:t xml:space="preserve"> August 2010, he applied for leave to remain as a Tier 1 Migrant.  That application was refused</w:t>
      </w:r>
      <w:r w:rsidR="00A83C36">
        <w:rPr>
          <w:rFonts w:ascii="Book Antiqua" w:hAnsi="Book Antiqua" w:cs="Arial"/>
        </w:rPr>
        <w:t>.  The respondent noted that the appellant had relied upon a Post Graduate Diploma in Management Studies and a transcript mark sheet from the London College of Management and IT.  The respondent was satisfied that the documents were false because upon contacting</w:t>
      </w:r>
      <w:r w:rsidR="00466C06">
        <w:rPr>
          <w:rFonts w:ascii="Book Antiqua" w:hAnsi="Book Antiqua" w:cs="Arial"/>
        </w:rPr>
        <w:t xml:space="preserve"> the Lon</w:t>
      </w:r>
      <w:r w:rsidR="00AB104E">
        <w:rPr>
          <w:rFonts w:ascii="Book Antiqua" w:hAnsi="Book Antiqua" w:cs="Arial"/>
        </w:rPr>
        <w:t>don College of M</w:t>
      </w:r>
      <w:r w:rsidR="00466C06">
        <w:rPr>
          <w:rFonts w:ascii="Book Antiqua" w:hAnsi="Book Antiqua" w:cs="Arial"/>
        </w:rPr>
        <w:t>anagement and IT, the respondent was informed that the appellant had never been registered as a student at that establishment.</w:t>
      </w:r>
      <w:r w:rsidR="009C1DEC">
        <w:rPr>
          <w:rFonts w:ascii="Book Antiqua" w:hAnsi="Book Antiqua" w:cs="Arial"/>
        </w:rPr>
        <w:t xml:space="preserve">  The respondent also awarded the applicant no points for previous earnings.  The applicant had claimed £19,748.25 previous earnings from an employer HTL.</w:t>
      </w:r>
      <w:r w:rsidR="00196FE6">
        <w:rPr>
          <w:rFonts w:ascii="Book Antiqua" w:hAnsi="Book Antiqua" w:cs="Arial"/>
        </w:rPr>
        <w:t xml:space="preserve"> Enquiries had</w:t>
      </w:r>
      <w:r w:rsidR="009C1DEC">
        <w:rPr>
          <w:rFonts w:ascii="Book Antiqua" w:hAnsi="Book Antiqua" w:cs="Arial"/>
        </w:rPr>
        <w:t xml:space="preserve"> been made with HTL via telephone and correspondence</w:t>
      </w:r>
      <w:r w:rsidR="00196FE6">
        <w:rPr>
          <w:rFonts w:ascii="Book Antiqua" w:hAnsi="Book Antiqua" w:cs="Arial"/>
        </w:rPr>
        <w:t>,</w:t>
      </w:r>
      <w:r w:rsidR="009C1DEC">
        <w:rPr>
          <w:rFonts w:ascii="Book Antiqua" w:hAnsi="Book Antiqua" w:cs="Arial"/>
        </w:rPr>
        <w:t xml:space="preserve"> but the respondent had been unable to establish if the documents in question were genuine.</w:t>
      </w:r>
    </w:p>
    <w:p w:rsidR="009C1DEC" w:rsidRDefault="00466C06" w:rsidP="00BC0D51">
      <w:pPr>
        <w:numPr>
          <w:ilvl w:val="0"/>
          <w:numId w:val="1"/>
        </w:numPr>
        <w:tabs>
          <w:tab w:val="left" w:pos="851"/>
        </w:tabs>
        <w:spacing w:before="240" w:after="240" w:line="360" w:lineRule="auto"/>
        <w:ind w:left="567" w:hanging="567"/>
        <w:jc w:val="both"/>
        <w:rPr>
          <w:rFonts w:ascii="Book Antiqua" w:hAnsi="Book Antiqua" w:cs="Arial"/>
        </w:rPr>
      </w:pPr>
      <w:r w:rsidRPr="00466C06">
        <w:rPr>
          <w:rFonts w:ascii="Book Antiqua" w:hAnsi="Book Antiqua" w:cs="Arial"/>
        </w:rPr>
        <w:t xml:space="preserve">The appellant </w:t>
      </w:r>
      <w:r w:rsidR="00CD7373" w:rsidRPr="00466C06">
        <w:rPr>
          <w:rFonts w:ascii="Book Antiqua" w:hAnsi="Book Antiqua" w:cs="Arial"/>
        </w:rPr>
        <w:t>appeal</w:t>
      </w:r>
      <w:r w:rsidRPr="00466C06">
        <w:rPr>
          <w:rFonts w:ascii="Book Antiqua" w:hAnsi="Book Antiqua" w:cs="Arial"/>
        </w:rPr>
        <w:t>ed</w:t>
      </w:r>
      <w:r w:rsidR="00CD7373" w:rsidRPr="00466C06">
        <w:rPr>
          <w:rFonts w:ascii="Book Antiqua" w:hAnsi="Book Antiqua" w:cs="Arial"/>
        </w:rPr>
        <w:t xml:space="preserve"> to the First-tier Tribunal (“F</w:t>
      </w:r>
      <w:r w:rsidR="00CD7373" w:rsidRPr="00466C06">
        <w:rPr>
          <w:rFonts w:ascii="Book Antiqua" w:hAnsi="Book Antiqua" w:cs="Arial"/>
          <w:i/>
        </w:rPr>
        <w:t>t</w:t>
      </w:r>
      <w:r w:rsidR="00CD7373" w:rsidRPr="00466C06">
        <w:rPr>
          <w:rFonts w:ascii="Book Antiqua" w:hAnsi="Book Antiqua" w:cs="Arial"/>
        </w:rPr>
        <w:t>T”</w:t>
      </w:r>
      <w:r w:rsidRPr="00466C06">
        <w:rPr>
          <w:rFonts w:ascii="Book Antiqua" w:hAnsi="Book Antiqua" w:cs="Arial"/>
        </w:rPr>
        <w:t>), and at the hearing of his appeal before F</w:t>
      </w:r>
      <w:r w:rsidRPr="00466C06">
        <w:rPr>
          <w:rFonts w:ascii="Book Antiqua" w:hAnsi="Book Antiqua" w:cs="Arial"/>
          <w:i/>
        </w:rPr>
        <w:t>t</w:t>
      </w:r>
      <w:r w:rsidRPr="00466C06">
        <w:rPr>
          <w:rFonts w:ascii="Book Antiqua" w:hAnsi="Book Antiqua" w:cs="Arial"/>
        </w:rPr>
        <w:t xml:space="preserve">T Judge Kelsey, the appellant provided an exchange of correspondence between his solicitors and the college.  </w:t>
      </w:r>
      <w:r w:rsidR="00F247F9">
        <w:rPr>
          <w:rFonts w:ascii="Book Antiqua" w:hAnsi="Book Antiqua" w:cs="Arial"/>
        </w:rPr>
        <w:t xml:space="preserve">The Judge was satisfied that the appellant was a genuine student at the college and had attained the qualifications that he claimed.  </w:t>
      </w:r>
      <w:r w:rsidR="00FF7888">
        <w:rPr>
          <w:rFonts w:ascii="Book Antiqua" w:hAnsi="Book Antiqua" w:cs="Arial"/>
        </w:rPr>
        <w:t>F</w:t>
      </w:r>
      <w:r w:rsidR="00FF7888">
        <w:rPr>
          <w:rFonts w:ascii="Book Antiqua" w:hAnsi="Book Antiqua" w:cs="Arial"/>
          <w:i/>
        </w:rPr>
        <w:t>t</w:t>
      </w:r>
      <w:r w:rsidR="00FF7888">
        <w:rPr>
          <w:rFonts w:ascii="Book Antiqua" w:hAnsi="Book Antiqua" w:cs="Arial"/>
        </w:rPr>
        <w:t>T J</w:t>
      </w:r>
      <w:r w:rsidRPr="00466C06">
        <w:rPr>
          <w:rFonts w:ascii="Book Antiqua" w:hAnsi="Book Antiqua" w:cs="Arial"/>
        </w:rPr>
        <w:t>udge</w:t>
      </w:r>
      <w:r w:rsidR="00FF7888">
        <w:rPr>
          <w:rFonts w:ascii="Book Antiqua" w:hAnsi="Book Antiqua" w:cs="Arial"/>
        </w:rPr>
        <w:t xml:space="preserve"> Kelsey</w:t>
      </w:r>
      <w:r w:rsidRPr="00466C06">
        <w:rPr>
          <w:rFonts w:ascii="Book Antiqua" w:hAnsi="Book Antiqua" w:cs="Arial"/>
        </w:rPr>
        <w:t xml:space="preserve"> found that the </w:t>
      </w:r>
      <w:r w:rsidR="00FF7888">
        <w:rPr>
          <w:rFonts w:ascii="Book Antiqua" w:hAnsi="Book Antiqua" w:cs="Arial"/>
        </w:rPr>
        <w:t xml:space="preserve">respondent had not discharged the burden of proving that the documents were false.  </w:t>
      </w:r>
      <w:r w:rsidR="009C1DEC">
        <w:rPr>
          <w:rFonts w:ascii="Book Antiqua" w:hAnsi="Book Antiqua" w:cs="Arial"/>
        </w:rPr>
        <w:t xml:space="preserve">As to the </w:t>
      </w:r>
      <w:r w:rsidR="00F247F9">
        <w:rPr>
          <w:rFonts w:ascii="Book Antiqua" w:hAnsi="Book Antiqua" w:cs="Arial"/>
        </w:rPr>
        <w:t xml:space="preserve">first </w:t>
      </w:r>
      <w:r w:rsidR="009C1DEC">
        <w:rPr>
          <w:rFonts w:ascii="Book Antiqua" w:hAnsi="Book Antiqua" w:cs="Arial"/>
        </w:rPr>
        <w:t>appellant</w:t>
      </w:r>
      <w:r w:rsidR="00F247F9">
        <w:rPr>
          <w:rFonts w:ascii="Book Antiqua" w:hAnsi="Book Antiqua" w:cs="Arial"/>
        </w:rPr>
        <w:t>’</w:t>
      </w:r>
      <w:r w:rsidR="009C1DEC">
        <w:rPr>
          <w:rFonts w:ascii="Book Antiqua" w:hAnsi="Book Antiqua" w:cs="Arial"/>
        </w:rPr>
        <w:t>s previous earnings, F</w:t>
      </w:r>
      <w:r w:rsidR="009C1DEC">
        <w:rPr>
          <w:rFonts w:ascii="Book Antiqua" w:hAnsi="Book Antiqua" w:cs="Arial"/>
          <w:i/>
        </w:rPr>
        <w:t>t</w:t>
      </w:r>
      <w:r w:rsidR="009C1DEC">
        <w:rPr>
          <w:rFonts w:ascii="Book Antiqua" w:hAnsi="Book Antiqua" w:cs="Arial"/>
        </w:rPr>
        <w:t xml:space="preserve">T Judge </w:t>
      </w:r>
      <w:r w:rsidR="005B2B18">
        <w:rPr>
          <w:rFonts w:ascii="Book Antiqua" w:hAnsi="Book Antiqua" w:cs="Arial"/>
        </w:rPr>
        <w:t>Kelsey stated:</w:t>
      </w:r>
    </w:p>
    <w:p w:rsidR="005B2B18" w:rsidRPr="005B2B18" w:rsidRDefault="005B2B18" w:rsidP="00BC0D51">
      <w:pPr>
        <w:tabs>
          <w:tab w:val="left" w:pos="2268"/>
        </w:tabs>
        <w:spacing w:before="120" w:after="120"/>
        <w:ind w:left="1701" w:right="567"/>
        <w:jc w:val="both"/>
        <w:rPr>
          <w:rFonts w:ascii="Book Antiqua" w:hAnsi="Book Antiqua" w:cs="Arial"/>
          <w:sz w:val="22"/>
          <w:szCs w:val="22"/>
        </w:rPr>
      </w:pPr>
      <w:r>
        <w:rPr>
          <w:rFonts w:ascii="Book Antiqua" w:hAnsi="Book Antiqua" w:cs="Arial"/>
          <w:sz w:val="22"/>
          <w:szCs w:val="22"/>
        </w:rPr>
        <w:t>“22.</w:t>
      </w:r>
      <w:r>
        <w:rPr>
          <w:rFonts w:ascii="Book Antiqua" w:hAnsi="Book Antiqua" w:cs="Arial"/>
          <w:sz w:val="22"/>
          <w:szCs w:val="22"/>
        </w:rPr>
        <w:tab/>
        <w:t>… So far as previous earnings are concerned, the appellant has provided evidence which validates his claim for 25 points. The only reason given by the respondent to deny him those points was that UKBA had been unable to get a response from the company HTL, for whom the appellant worked. The company has written a letter confirming the Appellant’s earnings from that source. The appellant therefore meets the burden of proof in showing that he earned more than £40,000 and is entitled to 25 points</w:t>
      </w:r>
      <w:r w:rsidR="00BC0D51">
        <w:rPr>
          <w:rFonts w:ascii="Book Antiqua" w:hAnsi="Book Antiqua" w:cs="Arial"/>
          <w:sz w:val="22"/>
          <w:szCs w:val="22"/>
        </w:rPr>
        <w:t xml:space="preserve"> </w:t>
      </w:r>
      <w:r>
        <w:rPr>
          <w:rFonts w:ascii="Book Antiqua" w:hAnsi="Book Antiqua" w:cs="Arial"/>
          <w:sz w:val="22"/>
          <w:szCs w:val="22"/>
        </w:rPr>
        <w:t>...”</w:t>
      </w:r>
    </w:p>
    <w:p w:rsidR="00A5679B" w:rsidRPr="00FF7888" w:rsidRDefault="00466C06" w:rsidP="00BC0D51">
      <w:pPr>
        <w:numPr>
          <w:ilvl w:val="0"/>
          <w:numId w:val="1"/>
        </w:numPr>
        <w:tabs>
          <w:tab w:val="left" w:pos="851"/>
        </w:tabs>
        <w:spacing w:before="240" w:after="240" w:line="360" w:lineRule="auto"/>
        <w:ind w:left="567" w:hanging="567"/>
        <w:jc w:val="both"/>
        <w:rPr>
          <w:rFonts w:ascii="Book Antiqua" w:hAnsi="Book Antiqua" w:cs="Arial"/>
        </w:rPr>
      </w:pPr>
      <w:r w:rsidRPr="00FF7888">
        <w:rPr>
          <w:rFonts w:ascii="Book Antiqua" w:hAnsi="Book Antiqua" w:cs="Arial"/>
        </w:rPr>
        <w:t xml:space="preserve">The appellant’s appeal was allowed </w:t>
      </w:r>
      <w:r w:rsidR="00F247F9">
        <w:rPr>
          <w:rFonts w:ascii="Book Antiqua" w:hAnsi="Book Antiqua" w:cs="Arial"/>
        </w:rPr>
        <w:t xml:space="preserve">and </w:t>
      </w:r>
      <w:r w:rsidR="00C06914">
        <w:rPr>
          <w:rFonts w:ascii="Book Antiqua" w:hAnsi="Book Antiqua" w:cs="Arial"/>
        </w:rPr>
        <w:t>on 4</w:t>
      </w:r>
      <w:r w:rsidR="00C06914" w:rsidRPr="00C06914">
        <w:rPr>
          <w:rFonts w:ascii="Book Antiqua" w:hAnsi="Book Antiqua" w:cs="Arial"/>
          <w:vertAlign w:val="superscript"/>
        </w:rPr>
        <w:t>th</w:t>
      </w:r>
      <w:r w:rsidR="00C06914">
        <w:rPr>
          <w:rFonts w:ascii="Book Antiqua" w:hAnsi="Book Antiqua" w:cs="Arial"/>
        </w:rPr>
        <w:t xml:space="preserve"> November 2011, the appellant</w:t>
      </w:r>
      <w:r w:rsidRPr="00FF7888">
        <w:rPr>
          <w:rFonts w:ascii="Book Antiqua" w:hAnsi="Book Antiqua" w:cs="Arial"/>
        </w:rPr>
        <w:t xml:space="preserve"> </w:t>
      </w:r>
      <w:r w:rsidR="00CD7373" w:rsidRPr="00FF7888">
        <w:rPr>
          <w:rFonts w:ascii="Book Antiqua" w:hAnsi="Book Antiqua" w:cs="Arial"/>
        </w:rPr>
        <w:t>was granted leave to remai</w:t>
      </w:r>
      <w:r w:rsidR="00FF7888">
        <w:rPr>
          <w:rFonts w:ascii="Book Antiqua" w:hAnsi="Book Antiqua" w:cs="Arial"/>
        </w:rPr>
        <w:t>n</w:t>
      </w:r>
      <w:r w:rsidR="00711F5A">
        <w:rPr>
          <w:rFonts w:ascii="Book Antiqua" w:hAnsi="Book Antiqua" w:cs="Arial"/>
        </w:rPr>
        <w:t xml:space="preserve"> until 10</w:t>
      </w:r>
      <w:r w:rsidR="00711F5A" w:rsidRPr="00711F5A">
        <w:rPr>
          <w:rFonts w:ascii="Book Antiqua" w:hAnsi="Book Antiqua" w:cs="Arial"/>
          <w:vertAlign w:val="superscript"/>
        </w:rPr>
        <w:t>th</w:t>
      </w:r>
      <w:r w:rsidR="00711F5A">
        <w:rPr>
          <w:rFonts w:ascii="Book Antiqua" w:hAnsi="Book Antiqua" w:cs="Arial"/>
        </w:rPr>
        <w:t xml:space="preserve"> April 2014</w:t>
      </w:r>
      <w:r w:rsidR="00FF7888">
        <w:rPr>
          <w:rFonts w:ascii="Book Antiqua" w:hAnsi="Book Antiqua" w:cs="Arial"/>
        </w:rPr>
        <w:t xml:space="preserve">.  </w:t>
      </w:r>
    </w:p>
    <w:p w:rsidR="00711F5A" w:rsidRDefault="00C06914"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 xml:space="preserve">By a Notice dated the same day </w:t>
      </w:r>
      <w:r w:rsidRPr="00C06914">
        <w:rPr>
          <w:rFonts w:ascii="Book Antiqua" w:hAnsi="Book Antiqua" w:cs="Arial"/>
          <w:i/>
        </w:rPr>
        <w:t>(</w:t>
      </w:r>
      <w:r w:rsidR="00CD7373" w:rsidRPr="00C06914">
        <w:rPr>
          <w:rFonts w:ascii="Book Antiqua" w:hAnsi="Book Antiqua" w:cs="Arial"/>
          <w:i/>
        </w:rPr>
        <w:t>4</w:t>
      </w:r>
      <w:r w:rsidR="00CD7373" w:rsidRPr="00C06914">
        <w:rPr>
          <w:rFonts w:ascii="Book Antiqua" w:hAnsi="Book Antiqua" w:cs="Arial"/>
          <w:i/>
          <w:vertAlign w:val="superscript"/>
        </w:rPr>
        <w:t>th</w:t>
      </w:r>
      <w:r w:rsidR="00CD7373" w:rsidRPr="00C06914">
        <w:rPr>
          <w:rFonts w:ascii="Book Antiqua" w:hAnsi="Book Antiqua" w:cs="Arial"/>
          <w:i/>
        </w:rPr>
        <w:t xml:space="preserve"> November 2011</w:t>
      </w:r>
      <w:r w:rsidRPr="00C06914">
        <w:rPr>
          <w:rFonts w:ascii="Book Antiqua" w:hAnsi="Book Antiqua" w:cs="Arial"/>
          <w:i/>
        </w:rPr>
        <w:t>)</w:t>
      </w:r>
      <w:r w:rsidR="00CD7373">
        <w:rPr>
          <w:rFonts w:ascii="Book Antiqua" w:hAnsi="Book Antiqua" w:cs="Arial"/>
        </w:rPr>
        <w:t xml:space="preserve">, the first appellant’s </w:t>
      </w:r>
      <w:r>
        <w:rPr>
          <w:rFonts w:ascii="Book Antiqua" w:hAnsi="Book Antiqua" w:cs="Arial"/>
        </w:rPr>
        <w:t>leave to remain was curtailed and the first appellant again appealed to the F</w:t>
      </w:r>
      <w:r>
        <w:rPr>
          <w:rFonts w:ascii="Book Antiqua" w:hAnsi="Book Antiqua" w:cs="Arial"/>
          <w:i/>
        </w:rPr>
        <w:t>t</w:t>
      </w:r>
      <w:r>
        <w:rPr>
          <w:rFonts w:ascii="Book Antiqua" w:hAnsi="Book Antiqua" w:cs="Arial"/>
        </w:rPr>
        <w:t xml:space="preserve">T.  His appeal was heard </w:t>
      </w:r>
      <w:r>
        <w:rPr>
          <w:rFonts w:ascii="Book Antiqua" w:hAnsi="Book Antiqua" w:cs="Arial"/>
        </w:rPr>
        <w:lastRenderedPageBreak/>
        <w:t>by F</w:t>
      </w:r>
      <w:r>
        <w:rPr>
          <w:rFonts w:ascii="Book Antiqua" w:hAnsi="Book Antiqua" w:cs="Arial"/>
          <w:i/>
        </w:rPr>
        <w:t>t</w:t>
      </w:r>
      <w:r>
        <w:rPr>
          <w:rFonts w:ascii="Book Antiqua" w:hAnsi="Book Antiqua" w:cs="Arial"/>
        </w:rPr>
        <w:t xml:space="preserve">T Judge </w:t>
      </w:r>
      <w:r w:rsidR="00C24098">
        <w:rPr>
          <w:rFonts w:ascii="Book Antiqua" w:hAnsi="Book Antiqua" w:cs="Arial"/>
        </w:rPr>
        <w:t>Morgan</w:t>
      </w:r>
      <w:r>
        <w:rPr>
          <w:rFonts w:ascii="Book Antiqua" w:hAnsi="Book Antiqua" w:cs="Arial"/>
        </w:rPr>
        <w:t xml:space="preserve"> who allowed the appeal for the reasons given in a decision promulgated on 2</w:t>
      </w:r>
      <w:r w:rsidRPr="00C06914">
        <w:rPr>
          <w:rFonts w:ascii="Book Antiqua" w:hAnsi="Book Antiqua" w:cs="Arial"/>
          <w:vertAlign w:val="superscript"/>
        </w:rPr>
        <w:t>nd</w:t>
      </w:r>
      <w:r>
        <w:rPr>
          <w:rFonts w:ascii="Book Antiqua" w:hAnsi="Book Antiqua" w:cs="Arial"/>
        </w:rPr>
        <w:t xml:space="preserve"> March 2012.  F</w:t>
      </w:r>
      <w:r>
        <w:rPr>
          <w:rFonts w:ascii="Book Antiqua" w:hAnsi="Book Antiqua" w:cs="Arial"/>
          <w:i/>
        </w:rPr>
        <w:t>t</w:t>
      </w:r>
      <w:r>
        <w:rPr>
          <w:rFonts w:ascii="Book Antiqua" w:hAnsi="Book Antiqua" w:cs="Arial"/>
        </w:rPr>
        <w:t>T Judge Morgan noted that this is the second occasion on which the respondent had purported to question the veracity of the</w:t>
      </w:r>
      <w:r w:rsidR="00F247F9">
        <w:rPr>
          <w:rFonts w:ascii="Book Antiqua" w:hAnsi="Book Antiqua" w:cs="Arial"/>
        </w:rPr>
        <w:t xml:space="preserve"> first appellant’s</w:t>
      </w:r>
      <w:r>
        <w:rPr>
          <w:rFonts w:ascii="Book Antiqua" w:hAnsi="Book Antiqua" w:cs="Arial"/>
        </w:rPr>
        <w:t xml:space="preserve"> qualification and that the evidence relied upon by the respondent was even less persuasive than that that was placed before F</w:t>
      </w:r>
      <w:r>
        <w:rPr>
          <w:rFonts w:ascii="Book Antiqua" w:hAnsi="Book Antiqua" w:cs="Arial"/>
          <w:i/>
        </w:rPr>
        <w:t>t</w:t>
      </w:r>
      <w:r>
        <w:rPr>
          <w:rFonts w:ascii="Book Antiqua" w:hAnsi="Book Antiqua" w:cs="Arial"/>
        </w:rPr>
        <w:t>T Judge Kelsey previously.  He noted that the allegation made by the respondent is a serious one, but was not made out by the evidence provided.</w:t>
      </w:r>
      <w:r w:rsidR="00CD7373">
        <w:rPr>
          <w:rFonts w:ascii="Book Antiqua" w:hAnsi="Book Antiqua" w:cs="Arial"/>
        </w:rPr>
        <w:t xml:space="preserve"> </w:t>
      </w:r>
      <w:r>
        <w:rPr>
          <w:rFonts w:ascii="Book Antiqua" w:hAnsi="Book Antiqua" w:cs="Arial"/>
        </w:rPr>
        <w:t xml:space="preserve"> In light of that decision</w:t>
      </w:r>
      <w:r w:rsidR="00711F5A">
        <w:rPr>
          <w:rFonts w:ascii="Book Antiqua" w:hAnsi="Book Antiqua" w:cs="Arial"/>
        </w:rPr>
        <w:t>,</w:t>
      </w:r>
      <w:r>
        <w:rPr>
          <w:rFonts w:ascii="Book Antiqua" w:hAnsi="Book Antiqua" w:cs="Arial"/>
        </w:rPr>
        <w:t xml:space="preserve"> the grant of leave to remain</w:t>
      </w:r>
      <w:r w:rsidR="00711F5A">
        <w:rPr>
          <w:rFonts w:ascii="Book Antiqua" w:hAnsi="Book Antiqua" w:cs="Arial"/>
        </w:rPr>
        <w:t xml:space="preserve"> previously made to the appella</w:t>
      </w:r>
      <w:r w:rsidR="000F5575">
        <w:rPr>
          <w:rFonts w:ascii="Book Antiqua" w:hAnsi="Book Antiqua" w:cs="Arial"/>
        </w:rPr>
        <w:t>nt was reinstated so that the first appellant had leave to remain until 10</w:t>
      </w:r>
      <w:r w:rsidR="000F5575" w:rsidRPr="000F5575">
        <w:rPr>
          <w:rFonts w:ascii="Book Antiqua" w:hAnsi="Book Antiqua" w:cs="Arial"/>
          <w:vertAlign w:val="superscript"/>
        </w:rPr>
        <w:t>th</w:t>
      </w:r>
      <w:r w:rsidR="000F5575">
        <w:rPr>
          <w:rFonts w:ascii="Book Antiqua" w:hAnsi="Book Antiqua" w:cs="Arial"/>
        </w:rPr>
        <w:t xml:space="preserve"> April 2014.</w:t>
      </w:r>
    </w:p>
    <w:p w:rsidR="00CD7373" w:rsidRDefault="00711F5A" w:rsidP="00BC0D51">
      <w:pPr>
        <w:numPr>
          <w:ilvl w:val="0"/>
          <w:numId w:val="1"/>
        </w:numPr>
        <w:tabs>
          <w:tab w:val="left" w:pos="851"/>
        </w:tabs>
        <w:spacing w:before="240" w:after="240" w:line="360" w:lineRule="auto"/>
        <w:ind w:left="567" w:hanging="567"/>
        <w:jc w:val="both"/>
        <w:rPr>
          <w:rFonts w:ascii="Book Antiqua" w:hAnsi="Book Antiqua" w:cs="Arial"/>
        </w:rPr>
      </w:pPr>
      <w:r w:rsidRPr="00711F5A">
        <w:rPr>
          <w:rFonts w:ascii="Book Antiqua" w:hAnsi="Book Antiqua" w:cs="Arial"/>
        </w:rPr>
        <w:t>The second appellant arrived in the UK in July 2013 as the spouse of the first appellant. She was granted limited leave to remain until 10th April 2014.  On 10</w:t>
      </w:r>
      <w:r w:rsidRPr="00711F5A">
        <w:rPr>
          <w:rFonts w:ascii="Book Antiqua" w:hAnsi="Book Antiqua" w:cs="Arial"/>
          <w:vertAlign w:val="superscript"/>
        </w:rPr>
        <w:t>th</w:t>
      </w:r>
      <w:r w:rsidRPr="00711F5A">
        <w:rPr>
          <w:rFonts w:ascii="Book Antiqua" w:hAnsi="Book Antiqua" w:cs="Arial"/>
        </w:rPr>
        <w:t xml:space="preserve"> April 2014, the first appellant applied for leave to remai</w:t>
      </w:r>
      <w:r>
        <w:rPr>
          <w:rFonts w:ascii="Book Antiqua" w:hAnsi="Book Antiqua" w:cs="Arial"/>
        </w:rPr>
        <w:t xml:space="preserve">n as a Tier 1 (General) Migrant. The second appellant was named as a dependent.  They were both </w:t>
      </w:r>
      <w:r w:rsidRPr="00711F5A">
        <w:rPr>
          <w:rFonts w:ascii="Book Antiqua" w:hAnsi="Book Antiqua" w:cs="Arial"/>
        </w:rPr>
        <w:t>granted leave to remain until 14</w:t>
      </w:r>
      <w:r w:rsidRPr="00711F5A">
        <w:rPr>
          <w:rFonts w:ascii="Book Antiqua" w:hAnsi="Book Antiqua" w:cs="Arial"/>
          <w:vertAlign w:val="superscript"/>
        </w:rPr>
        <w:t>th</w:t>
      </w:r>
      <w:r w:rsidRPr="00711F5A">
        <w:rPr>
          <w:rFonts w:ascii="Book Antiqua" w:hAnsi="Book Antiqua" w:cs="Arial"/>
        </w:rPr>
        <w:t xml:space="preserve"> May 2017.</w:t>
      </w:r>
    </w:p>
    <w:p w:rsidR="00711F5A" w:rsidRDefault="00711F5A"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On 20</w:t>
      </w:r>
      <w:r w:rsidRPr="00711F5A">
        <w:rPr>
          <w:rFonts w:ascii="Book Antiqua" w:hAnsi="Book Antiqua" w:cs="Arial"/>
          <w:vertAlign w:val="superscript"/>
        </w:rPr>
        <w:t>th</w:t>
      </w:r>
      <w:r>
        <w:rPr>
          <w:rFonts w:ascii="Book Antiqua" w:hAnsi="Book Antiqua" w:cs="Arial"/>
        </w:rPr>
        <w:t xml:space="preserve"> April 2015, the first appellant applied for indefinite leave to remain in the United Kingdom on the grounds of long residence.  On 26</w:t>
      </w:r>
      <w:r w:rsidRPr="00711F5A">
        <w:rPr>
          <w:rFonts w:ascii="Book Antiqua" w:hAnsi="Book Antiqua" w:cs="Arial"/>
          <w:vertAlign w:val="superscript"/>
        </w:rPr>
        <w:t>th</w:t>
      </w:r>
      <w:r>
        <w:rPr>
          <w:rFonts w:ascii="Book Antiqua" w:hAnsi="Book Antiqua" w:cs="Arial"/>
        </w:rPr>
        <w:t xml:space="preserve"> October 2015, that application was refused</w:t>
      </w:r>
      <w:r w:rsidR="000F5575">
        <w:rPr>
          <w:rFonts w:ascii="Book Antiqua" w:hAnsi="Book Antiqua" w:cs="Arial"/>
        </w:rPr>
        <w:t xml:space="preserve"> and appellants leave to remain was curtailed.  It was the refusal of that application and the curtailment of leave to remain, that was the subject of the appeal before F</w:t>
      </w:r>
      <w:r w:rsidR="000F5575">
        <w:rPr>
          <w:rFonts w:ascii="Book Antiqua" w:hAnsi="Book Antiqua" w:cs="Arial"/>
          <w:i/>
        </w:rPr>
        <w:t>t</w:t>
      </w:r>
      <w:r w:rsidR="000F5575">
        <w:rPr>
          <w:rFonts w:ascii="Book Antiqua" w:hAnsi="Book Antiqua" w:cs="Arial"/>
        </w:rPr>
        <w:t>T Judge Mayall.</w:t>
      </w:r>
    </w:p>
    <w:p w:rsidR="000F5575" w:rsidRPr="000F5575" w:rsidRDefault="000F5575" w:rsidP="000F5575">
      <w:pPr>
        <w:tabs>
          <w:tab w:val="left" w:pos="851"/>
        </w:tabs>
        <w:spacing w:before="360" w:after="360" w:line="360" w:lineRule="auto"/>
        <w:ind w:left="73"/>
        <w:jc w:val="both"/>
        <w:rPr>
          <w:rFonts w:ascii="Book Antiqua" w:hAnsi="Book Antiqua" w:cs="Arial"/>
          <w:u w:val="single"/>
        </w:rPr>
      </w:pPr>
      <w:r>
        <w:rPr>
          <w:rFonts w:ascii="Book Antiqua" w:hAnsi="Book Antiqua" w:cs="Arial"/>
          <w:u w:val="single"/>
        </w:rPr>
        <w:t>The decision of F</w:t>
      </w:r>
      <w:r>
        <w:rPr>
          <w:rFonts w:ascii="Book Antiqua" w:hAnsi="Book Antiqua" w:cs="Arial"/>
          <w:i/>
          <w:u w:val="single"/>
        </w:rPr>
        <w:t>t</w:t>
      </w:r>
      <w:r>
        <w:rPr>
          <w:rFonts w:ascii="Book Antiqua" w:hAnsi="Book Antiqua" w:cs="Arial"/>
          <w:u w:val="single"/>
        </w:rPr>
        <w:t>T Judge Mayall</w:t>
      </w:r>
    </w:p>
    <w:p w:rsidR="00711F5A" w:rsidRDefault="000F5575"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At paragraph [2] of his decision, the Judge sets out the reasons provided by the respondent in the decision of 26</w:t>
      </w:r>
      <w:r w:rsidRPr="000F5575">
        <w:rPr>
          <w:rFonts w:ascii="Book Antiqua" w:hAnsi="Book Antiqua" w:cs="Arial"/>
          <w:vertAlign w:val="superscript"/>
        </w:rPr>
        <w:t>th</w:t>
      </w:r>
      <w:r>
        <w:rPr>
          <w:rFonts w:ascii="Book Antiqua" w:hAnsi="Book Antiqua" w:cs="Arial"/>
        </w:rPr>
        <w:t xml:space="preserve"> October 2015 for refusing the first appellant’s application</w:t>
      </w:r>
      <w:r w:rsidR="000A5AB0">
        <w:rPr>
          <w:rFonts w:ascii="Book Antiqua" w:hAnsi="Book Antiqua" w:cs="Arial"/>
        </w:rPr>
        <w:t>,</w:t>
      </w:r>
      <w:r>
        <w:rPr>
          <w:rFonts w:ascii="Book Antiqua" w:hAnsi="Book Antiqua" w:cs="Arial"/>
        </w:rPr>
        <w:t xml:space="preserve"> and to curtail the </w:t>
      </w:r>
      <w:r w:rsidR="000A5AB0">
        <w:rPr>
          <w:rFonts w:ascii="Book Antiqua" w:hAnsi="Book Antiqua" w:cs="Arial"/>
        </w:rPr>
        <w:t>leave to remain granted to the appellants previously.  At paragraph [5] of his decision, the Judge states:</w:t>
      </w:r>
    </w:p>
    <w:p w:rsidR="000A5AB0" w:rsidRPr="00F247F9" w:rsidRDefault="000A5AB0" w:rsidP="00BC0D51">
      <w:pPr>
        <w:spacing w:before="120" w:after="120"/>
        <w:ind w:left="1701" w:right="567"/>
        <w:jc w:val="both"/>
        <w:rPr>
          <w:rFonts w:ascii="Book Antiqua" w:hAnsi="Book Antiqua" w:cs="Arial"/>
          <w:sz w:val="22"/>
          <w:szCs w:val="22"/>
        </w:rPr>
      </w:pPr>
      <w:r w:rsidRPr="00F247F9">
        <w:rPr>
          <w:rFonts w:ascii="Book Antiqua" w:hAnsi="Book Antiqua" w:cs="Arial"/>
          <w:sz w:val="22"/>
          <w:szCs w:val="22"/>
        </w:rPr>
        <w:t>“The appeal came before me on 14</w:t>
      </w:r>
      <w:r w:rsidRPr="00F247F9">
        <w:rPr>
          <w:rFonts w:ascii="Book Antiqua" w:hAnsi="Book Antiqua" w:cs="Arial"/>
          <w:sz w:val="22"/>
          <w:szCs w:val="22"/>
          <w:vertAlign w:val="superscript"/>
        </w:rPr>
        <w:t>th</w:t>
      </w:r>
      <w:r w:rsidRPr="00F247F9">
        <w:rPr>
          <w:rFonts w:ascii="Book Antiqua" w:hAnsi="Book Antiqua" w:cs="Arial"/>
          <w:sz w:val="22"/>
          <w:szCs w:val="22"/>
        </w:rPr>
        <w:t xml:space="preserve"> October 2016. The respondent chose not to field a representative. Mr Balroop, at the outset of the hearing, confirmed that there was but one single issue in the appeal, i.e. whether his employment with HTL had been genuine or not. There had been submitted a large bundle of documents on behalf of the appellant. This included a witness statement of the appellant and his wife, documents relating to his earlier appeals </w:t>
      </w:r>
      <w:r w:rsidRPr="00F247F9">
        <w:rPr>
          <w:rFonts w:ascii="Book Antiqua" w:hAnsi="Book Antiqua" w:cs="Arial"/>
          <w:sz w:val="22"/>
          <w:szCs w:val="22"/>
        </w:rPr>
        <w:lastRenderedPageBreak/>
        <w:t>including a copy of the determination of Judge Kelsey dated 4</w:t>
      </w:r>
      <w:r w:rsidRPr="00F247F9">
        <w:rPr>
          <w:rFonts w:ascii="Book Antiqua" w:hAnsi="Book Antiqua" w:cs="Arial"/>
          <w:sz w:val="22"/>
          <w:szCs w:val="22"/>
          <w:vertAlign w:val="superscript"/>
        </w:rPr>
        <w:t>th</w:t>
      </w:r>
      <w:r w:rsidRPr="00F247F9">
        <w:rPr>
          <w:rFonts w:ascii="Book Antiqua" w:hAnsi="Book Antiqua" w:cs="Arial"/>
          <w:sz w:val="22"/>
          <w:szCs w:val="22"/>
        </w:rPr>
        <w:t xml:space="preserve"> March 2011 and a copy of the respondent’s bundle for that appeal.”</w:t>
      </w:r>
    </w:p>
    <w:p w:rsidR="000A5AB0" w:rsidRDefault="000A5AB0"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 xml:space="preserve">At paragraphs [6] to [20] of his decision, the Judge sets out the evidence that he received.  At paragraph [22], the Judge </w:t>
      </w:r>
      <w:r w:rsidR="00810702">
        <w:rPr>
          <w:rFonts w:ascii="Book Antiqua" w:hAnsi="Book Antiqua" w:cs="Arial"/>
        </w:rPr>
        <w:t xml:space="preserve">noted that the appeal before him was a human rights appeal.  </w:t>
      </w:r>
      <w:r>
        <w:rPr>
          <w:rFonts w:ascii="Book Antiqua" w:hAnsi="Book Antiqua" w:cs="Arial"/>
        </w:rPr>
        <w:t>At paragraph [23], the Judge states:</w:t>
      </w:r>
    </w:p>
    <w:p w:rsidR="000A5AB0" w:rsidRPr="000A5AB0" w:rsidRDefault="000A5AB0" w:rsidP="00BC0D51">
      <w:pPr>
        <w:spacing w:before="120" w:after="120"/>
        <w:ind w:left="1701" w:right="567"/>
        <w:jc w:val="both"/>
        <w:rPr>
          <w:rFonts w:ascii="Book Antiqua" w:hAnsi="Book Antiqua" w:cs="Arial"/>
          <w:sz w:val="22"/>
          <w:szCs w:val="22"/>
        </w:rPr>
      </w:pPr>
      <w:r>
        <w:rPr>
          <w:rFonts w:ascii="Book Antiqua" w:hAnsi="Book Antiqua" w:cs="Arial"/>
          <w:sz w:val="22"/>
          <w:szCs w:val="22"/>
        </w:rPr>
        <w:t>“In practice, in this case it is accepted on behalf of the appellant that if I am satisfied to the requisite standard that he did use deception to procure his last leave, then it could not be said that these decisions amounted to an unlawful interference with his rights. The decisions would be entirely justified. Conversely, however, if I was not satisfied that he had e</w:t>
      </w:r>
      <w:r w:rsidR="00F247F9">
        <w:rPr>
          <w:rFonts w:ascii="Book Antiqua" w:hAnsi="Book Antiqua" w:cs="Arial"/>
          <w:sz w:val="22"/>
          <w:szCs w:val="22"/>
        </w:rPr>
        <w:t>mployed deception to obtain the previous leave</w:t>
      </w:r>
      <w:r>
        <w:rPr>
          <w:rFonts w:ascii="Book Antiqua" w:hAnsi="Book Antiqua" w:cs="Arial"/>
          <w:sz w:val="22"/>
          <w:szCs w:val="22"/>
        </w:rPr>
        <w:t>, then there would be no public interest in removing him and interfering with the private and family life that he has established in the UK.”</w:t>
      </w:r>
      <w:r>
        <w:rPr>
          <w:rFonts w:ascii="Book Antiqua" w:hAnsi="Book Antiqua" w:cs="Arial"/>
          <w:sz w:val="22"/>
          <w:szCs w:val="22"/>
        </w:rPr>
        <w:tab/>
      </w:r>
    </w:p>
    <w:p w:rsidR="000A5AB0" w:rsidRDefault="00810702"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The Judge’s assessment of the evidence is to be found at paragraphs [26</w:t>
      </w:r>
      <w:r w:rsidR="00F247F9">
        <w:rPr>
          <w:rFonts w:ascii="Book Antiqua" w:hAnsi="Book Antiqua" w:cs="Arial"/>
        </w:rPr>
        <w:t>] to [32] of his decision. The J</w:t>
      </w:r>
      <w:r>
        <w:rPr>
          <w:rFonts w:ascii="Book Antiqua" w:hAnsi="Book Antiqua" w:cs="Arial"/>
        </w:rPr>
        <w:t>udge did not find the appellant to be an honest or credible witness. For the reasons set out at paragraphs [27] to [32] of the decision, the Judge was satisfied that the first appellant did use deception to obtain</w:t>
      </w:r>
      <w:r w:rsidR="00F247F9">
        <w:rPr>
          <w:rFonts w:ascii="Book Antiqua" w:hAnsi="Book Antiqua" w:cs="Arial"/>
        </w:rPr>
        <w:t xml:space="preserve"> his previous leave to remain</w:t>
      </w:r>
      <w:r>
        <w:rPr>
          <w:rFonts w:ascii="Book Antiqua" w:hAnsi="Book Antiqua" w:cs="Arial"/>
        </w:rPr>
        <w:t>.</w:t>
      </w:r>
    </w:p>
    <w:p w:rsidR="00810702" w:rsidRDefault="00810702"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At paragraph [33] of his decision, F</w:t>
      </w:r>
      <w:r>
        <w:rPr>
          <w:rFonts w:ascii="Book Antiqua" w:hAnsi="Book Antiqua" w:cs="Arial"/>
          <w:i/>
        </w:rPr>
        <w:t>t</w:t>
      </w:r>
      <w:r>
        <w:rPr>
          <w:rFonts w:ascii="Book Antiqua" w:hAnsi="Book Antiqua" w:cs="Arial"/>
        </w:rPr>
        <w:t>T Judge Mayall states:</w:t>
      </w:r>
    </w:p>
    <w:p w:rsidR="00810702" w:rsidRPr="00810702" w:rsidRDefault="00810702" w:rsidP="00BC0D51">
      <w:pPr>
        <w:spacing w:before="120" w:after="120"/>
        <w:ind w:left="1701" w:right="567"/>
        <w:jc w:val="both"/>
        <w:rPr>
          <w:rFonts w:ascii="Book Antiqua" w:hAnsi="Book Antiqua" w:cs="Arial"/>
          <w:sz w:val="22"/>
          <w:szCs w:val="22"/>
        </w:rPr>
      </w:pPr>
      <w:r>
        <w:rPr>
          <w:rFonts w:ascii="Book Antiqua" w:hAnsi="Book Antiqua" w:cs="Arial"/>
          <w:sz w:val="22"/>
          <w:szCs w:val="22"/>
        </w:rPr>
        <w:t>“The fact remains that Immigration Judge Kelsey relied upon the letter of 2</w:t>
      </w:r>
      <w:r w:rsidRPr="00810702">
        <w:rPr>
          <w:rFonts w:ascii="Book Antiqua" w:hAnsi="Book Antiqua" w:cs="Arial"/>
          <w:sz w:val="22"/>
          <w:szCs w:val="22"/>
          <w:vertAlign w:val="superscript"/>
        </w:rPr>
        <w:t>nd</w:t>
      </w:r>
      <w:r>
        <w:rPr>
          <w:rFonts w:ascii="Book Antiqua" w:hAnsi="Book Antiqua" w:cs="Arial"/>
          <w:sz w:val="22"/>
          <w:szCs w:val="22"/>
        </w:rPr>
        <w:t xml:space="preserve"> February 2011 in the previous determination.  Under normal </w:t>
      </w:r>
      <w:r>
        <w:rPr>
          <w:rFonts w:ascii="Book Antiqua" w:hAnsi="Book Antiqua" w:cs="Arial"/>
          <w:b/>
          <w:sz w:val="22"/>
          <w:szCs w:val="22"/>
          <w:u w:val="single"/>
        </w:rPr>
        <w:t>Devalseelan</w:t>
      </w:r>
      <w:r>
        <w:rPr>
          <w:rFonts w:ascii="Book Antiqua" w:hAnsi="Book Antiqua" w:cs="Arial"/>
          <w:sz w:val="22"/>
          <w:szCs w:val="22"/>
        </w:rPr>
        <w:t xml:space="preserve"> principles that must be my starting point, i.e. that there was no suggestion that that was not a genuine document. I note, however, that at the hearing before Immigration Judge Kelsey, it was not the respondent</w:t>
      </w:r>
      <w:r w:rsidR="00F247F9">
        <w:rPr>
          <w:rFonts w:ascii="Book Antiqua" w:hAnsi="Book Antiqua" w:cs="Arial"/>
          <w:sz w:val="22"/>
          <w:szCs w:val="22"/>
        </w:rPr>
        <w:t>’</w:t>
      </w:r>
      <w:r>
        <w:rPr>
          <w:rFonts w:ascii="Book Antiqua" w:hAnsi="Book Antiqua" w:cs="Arial"/>
          <w:sz w:val="22"/>
          <w:szCs w:val="22"/>
        </w:rPr>
        <w:t>s case that that document was not genuine. Their case on the earnings was that they had simply not been able to get them verified. The appellant then put in that further letter purportedly from HTL which satisfie</w:t>
      </w:r>
      <w:r w:rsidR="00F247F9">
        <w:rPr>
          <w:rFonts w:ascii="Book Antiqua" w:hAnsi="Book Antiqua" w:cs="Arial"/>
          <w:sz w:val="22"/>
          <w:szCs w:val="22"/>
        </w:rPr>
        <w:t xml:space="preserve">d </w:t>
      </w:r>
      <w:r>
        <w:rPr>
          <w:rFonts w:ascii="Book Antiqua" w:hAnsi="Book Antiqua" w:cs="Arial"/>
          <w:sz w:val="22"/>
          <w:szCs w:val="22"/>
        </w:rPr>
        <w:t>the judge that the earnings had been verified. There was not, however, an issue as</w:t>
      </w:r>
      <w:r w:rsidR="00F247F9">
        <w:rPr>
          <w:rFonts w:ascii="Book Antiqua" w:hAnsi="Book Antiqua" w:cs="Arial"/>
          <w:sz w:val="22"/>
          <w:szCs w:val="22"/>
        </w:rPr>
        <w:t xml:space="preserve"> to the genuineness of that or </w:t>
      </w:r>
      <w:r>
        <w:rPr>
          <w:rFonts w:ascii="Book Antiqua" w:hAnsi="Book Antiqua" w:cs="Arial"/>
          <w:sz w:val="22"/>
          <w:szCs w:val="22"/>
        </w:rPr>
        <w:t>the other documents.</w:t>
      </w:r>
      <w:r w:rsidR="004550F2">
        <w:rPr>
          <w:rFonts w:ascii="Book Antiqua" w:hAnsi="Book Antiqua" w:cs="Arial"/>
          <w:sz w:val="22"/>
          <w:szCs w:val="22"/>
        </w:rPr>
        <w:t xml:space="preserve"> I have no doubt whatso</w:t>
      </w:r>
      <w:r w:rsidR="00F247F9">
        <w:rPr>
          <w:rFonts w:ascii="Book Antiqua" w:hAnsi="Book Antiqua" w:cs="Arial"/>
          <w:sz w:val="22"/>
          <w:szCs w:val="22"/>
        </w:rPr>
        <w:t>ever that had Judge Kelsey been</w:t>
      </w:r>
      <w:r w:rsidR="004550F2">
        <w:rPr>
          <w:rFonts w:ascii="Book Antiqua" w:hAnsi="Book Antiqua" w:cs="Arial"/>
          <w:sz w:val="22"/>
          <w:szCs w:val="22"/>
        </w:rPr>
        <w:t xml:space="preserve"> presented with the evidence that was before me, and heard the same evidence about this issue as the appellant gave before me, he would have come to exactly the same conclusion. The fact is that the evidence before him was very different from the evidence before me. Accordingly, I do not regard the earlier decision as being binding upon me on this issue, i.e. As to whether the documents were genuine. As stated, on the evidence before me, I am entirely satisfied that they were not.”</w:t>
      </w:r>
    </w:p>
    <w:p w:rsidR="00810702" w:rsidRPr="004550F2" w:rsidRDefault="004550F2" w:rsidP="004550F2">
      <w:pPr>
        <w:tabs>
          <w:tab w:val="left" w:pos="851"/>
        </w:tabs>
        <w:spacing w:before="360" w:after="360" w:line="360" w:lineRule="auto"/>
        <w:jc w:val="both"/>
        <w:rPr>
          <w:rFonts w:ascii="Book Antiqua" w:hAnsi="Book Antiqua" w:cs="Arial"/>
          <w:u w:val="single"/>
        </w:rPr>
      </w:pPr>
      <w:r>
        <w:rPr>
          <w:rFonts w:ascii="Book Antiqua" w:hAnsi="Book Antiqua" w:cs="Arial"/>
          <w:u w:val="single"/>
        </w:rPr>
        <w:t>The appeal before me</w:t>
      </w:r>
    </w:p>
    <w:p w:rsidR="000A5AB0" w:rsidRPr="000A5AB0" w:rsidRDefault="005F1C50"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 xml:space="preserve">Permission to appeal to the Upper Tribunal was granted by </w:t>
      </w:r>
      <w:r w:rsidR="00A92433">
        <w:rPr>
          <w:rFonts w:ascii="Book Antiqua" w:hAnsi="Book Antiqua" w:cs="Arial"/>
        </w:rPr>
        <w:t>Upper Tribunal Judge Jackson o</w:t>
      </w:r>
      <w:r>
        <w:rPr>
          <w:rFonts w:ascii="Book Antiqua" w:hAnsi="Book Antiqua" w:cs="Arial"/>
        </w:rPr>
        <w:t>n 2</w:t>
      </w:r>
      <w:r w:rsidR="00A92433">
        <w:rPr>
          <w:rFonts w:ascii="Book Antiqua" w:hAnsi="Book Antiqua" w:cs="Arial"/>
        </w:rPr>
        <w:t>3</w:t>
      </w:r>
      <w:r w:rsidR="00A92433" w:rsidRPr="00A92433">
        <w:rPr>
          <w:rFonts w:ascii="Book Antiqua" w:hAnsi="Book Antiqua" w:cs="Arial"/>
          <w:vertAlign w:val="superscript"/>
        </w:rPr>
        <w:t>rd</w:t>
      </w:r>
      <w:r w:rsidR="00A92433">
        <w:rPr>
          <w:rFonts w:ascii="Book Antiqua" w:hAnsi="Book Antiqua" w:cs="Arial"/>
        </w:rPr>
        <w:t xml:space="preserve"> </w:t>
      </w:r>
      <w:r>
        <w:rPr>
          <w:rFonts w:ascii="Book Antiqua" w:hAnsi="Book Antiqua" w:cs="Arial"/>
        </w:rPr>
        <w:t xml:space="preserve">October 2017.  </w:t>
      </w:r>
      <w:r w:rsidR="00A92433">
        <w:rPr>
          <w:rFonts w:ascii="Book Antiqua" w:hAnsi="Book Antiqua" w:cs="Arial"/>
        </w:rPr>
        <w:t xml:space="preserve">  Although the appellant advanced a number of grounds </w:t>
      </w:r>
      <w:r w:rsidR="00A92433">
        <w:rPr>
          <w:rFonts w:ascii="Book Antiqua" w:hAnsi="Book Antiqua" w:cs="Arial"/>
        </w:rPr>
        <w:lastRenderedPageBreak/>
        <w:t>of appeal, permission to appeal was limited to the first and fourth grounds. First, the F</w:t>
      </w:r>
      <w:r w:rsidR="00A92433">
        <w:rPr>
          <w:rFonts w:ascii="Book Antiqua" w:hAnsi="Book Antiqua" w:cs="Arial"/>
          <w:i/>
        </w:rPr>
        <w:t>t</w:t>
      </w:r>
      <w:r w:rsidR="00A92433">
        <w:rPr>
          <w:rFonts w:ascii="Book Antiqua" w:hAnsi="Book Antiqua" w:cs="Arial"/>
        </w:rPr>
        <w:t>T Judge erred in departing from the findings previously made by F</w:t>
      </w:r>
      <w:r w:rsidR="00A92433">
        <w:rPr>
          <w:rFonts w:ascii="Book Antiqua" w:hAnsi="Book Antiqua" w:cs="Arial"/>
          <w:i/>
        </w:rPr>
        <w:t>t</w:t>
      </w:r>
      <w:r w:rsidR="00A92433">
        <w:rPr>
          <w:rFonts w:ascii="Book Antiqua" w:hAnsi="Book Antiqua" w:cs="Arial"/>
        </w:rPr>
        <w:t>T Judge Kelsey as to the appellant’s employment with HTL.  Second, although the appeal was an appeal on Article 8 grounds, the decision of the F</w:t>
      </w:r>
      <w:r w:rsidR="00A92433">
        <w:rPr>
          <w:rFonts w:ascii="Book Antiqua" w:hAnsi="Book Antiqua" w:cs="Arial"/>
          <w:i/>
        </w:rPr>
        <w:t>t</w:t>
      </w:r>
      <w:r w:rsidR="00A92433">
        <w:rPr>
          <w:rFonts w:ascii="Book Antiqua" w:hAnsi="Book Antiqua" w:cs="Arial"/>
        </w:rPr>
        <w:t xml:space="preserve">T does not contain any proper analysis of the Article 8 claim. </w:t>
      </w:r>
      <w:r w:rsidRPr="00A92433">
        <w:rPr>
          <w:rFonts w:ascii="Book Antiqua" w:hAnsi="Book Antiqua" w:cs="Arial"/>
        </w:rPr>
        <w:t>The</w:t>
      </w:r>
      <w:r w:rsidRPr="00590DA0">
        <w:rPr>
          <w:rFonts w:ascii="Book Antiqua" w:hAnsi="Book Antiqua" w:cs="Arial"/>
        </w:rPr>
        <w:t xml:space="preserve"> matter comes before me to determine whether the decision of the F</w:t>
      </w:r>
      <w:r w:rsidRPr="00590DA0">
        <w:rPr>
          <w:rFonts w:ascii="Book Antiqua" w:hAnsi="Book Antiqua" w:cs="Arial"/>
          <w:i/>
        </w:rPr>
        <w:t>t</w:t>
      </w:r>
      <w:r w:rsidRPr="00590DA0">
        <w:rPr>
          <w:rFonts w:ascii="Book Antiqua" w:hAnsi="Book Antiqua" w:cs="Arial"/>
        </w:rPr>
        <w:t>T contains a material error of law, and if so, to remake the decision.</w:t>
      </w:r>
    </w:p>
    <w:p w:rsidR="00C06914" w:rsidRDefault="00A92433"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There are two strands to the first ground of appeal.  First, F</w:t>
      </w:r>
      <w:r>
        <w:rPr>
          <w:rFonts w:ascii="Book Antiqua" w:hAnsi="Book Antiqua" w:cs="Arial"/>
          <w:i/>
        </w:rPr>
        <w:t>t</w:t>
      </w:r>
      <w:r>
        <w:rPr>
          <w:rFonts w:ascii="Book Antiqua" w:hAnsi="Book Antiqua" w:cs="Arial"/>
        </w:rPr>
        <w:t xml:space="preserve">T Judge Mayall erred </w:t>
      </w:r>
      <w:r w:rsidR="00BA6969">
        <w:rPr>
          <w:rFonts w:ascii="Book Antiqua" w:hAnsi="Book Antiqua" w:cs="Arial"/>
        </w:rPr>
        <w:t>in reconsidering the issue as to the appellant’s employment with HTL, and second, if it was open to the Ju</w:t>
      </w:r>
      <w:r w:rsidR="00DF50AB">
        <w:rPr>
          <w:rFonts w:ascii="Book Antiqua" w:hAnsi="Book Antiqua" w:cs="Arial"/>
        </w:rPr>
        <w:t>dge to look again at that issue</w:t>
      </w:r>
      <w:r w:rsidR="00BA6969">
        <w:rPr>
          <w:rFonts w:ascii="Book Antiqua" w:hAnsi="Book Antiqua" w:cs="Arial"/>
        </w:rPr>
        <w:t xml:space="preserve">, the Judge should have </w:t>
      </w:r>
      <w:r w:rsidR="00F42BE7">
        <w:rPr>
          <w:rFonts w:ascii="Book Antiqua" w:hAnsi="Book Antiqua" w:cs="Arial"/>
        </w:rPr>
        <w:t xml:space="preserve">adopted the approach set out by the Upper Tribunal in </w:t>
      </w:r>
      <w:r w:rsidR="00882AAF">
        <w:rPr>
          <w:rFonts w:ascii="Book Antiqua" w:hAnsi="Book Antiqua" w:cs="Arial"/>
          <w:u w:val="single"/>
        </w:rPr>
        <w:t>Mabu and others (immigration appeals – res judicata) [2012] UKUT 00398</w:t>
      </w:r>
      <w:r w:rsidR="00882AAF">
        <w:rPr>
          <w:rFonts w:ascii="Book Antiqua" w:hAnsi="Book Antiqua" w:cs="Arial"/>
        </w:rPr>
        <w:t xml:space="preserve"> and the Court of Appeal in </w:t>
      </w:r>
      <w:r w:rsidR="00882AAF">
        <w:rPr>
          <w:rFonts w:ascii="Book Antiqua" w:hAnsi="Book Antiqua" w:cs="Arial"/>
          <w:u w:val="single"/>
        </w:rPr>
        <w:t>TB (Jamaica) -v- SSHD [2008] EWCA Civ 977</w:t>
      </w:r>
      <w:r w:rsidR="00882AAF">
        <w:rPr>
          <w:rFonts w:ascii="Book Antiqua" w:hAnsi="Book Antiqua" w:cs="Arial"/>
        </w:rPr>
        <w:t xml:space="preserve">.  That is, the failure of the respondent to provide the evidence now relied upon regarding the </w:t>
      </w:r>
      <w:r w:rsidR="00F247F9">
        <w:rPr>
          <w:rFonts w:ascii="Book Antiqua" w:hAnsi="Book Antiqua" w:cs="Arial"/>
        </w:rPr>
        <w:t xml:space="preserve">first </w:t>
      </w:r>
      <w:r w:rsidR="00882AAF">
        <w:rPr>
          <w:rFonts w:ascii="Book Antiqua" w:hAnsi="Book Antiqua" w:cs="Arial"/>
        </w:rPr>
        <w:t>appellant’s employment with HTL before F</w:t>
      </w:r>
      <w:r w:rsidR="00882AAF">
        <w:rPr>
          <w:rFonts w:ascii="Book Antiqua" w:hAnsi="Book Antiqua" w:cs="Arial"/>
          <w:i/>
        </w:rPr>
        <w:t>t</w:t>
      </w:r>
      <w:r w:rsidR="00882AAF">
        <w:rPr>
          <w:rFonts w:ascii="Book Antiqua" w:hAnsi="Book Antiqua" w:cs="Arial"/>
        </w:rPr>
        <w:t>T Judge Kelsey is such that the determination of F</w:t>
      </w:r>
      <w:r w:rsidR="00882AAF">
        <w:rPr>
          <w:rFonts w:ascii="Book Antiqua" w:hAnsi="Book Antiqua" w:cs="Arial"/>
          <w:i/>
        </w:rPr>
        <w:t>t</w:t>
      </w:r>
      <w:r w:rsidR="00882AAF">
        <w:rPr>
          <w:rFonts w:ascii="Book Antiqua" w:hAnsi="Book Antiqua" w:cs="Arial"/>
        </w:rPr>
        <w:t>T Judge Kelsey should be treated as settling the issue of the first appellant’s employment with HTL.</w:t>
      </w:r>
    </w:p>
    <w:p w:rsidR="00F247F9" w:rsidRDefault="00DF50AB"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 xml:space="preserve">Ms Bond submits that in his appeal </w:t>
      </w:r>
      <w:r w:rsidR="005B2B18">
        <w:rPr>
          <w:rFonts w:ascii="Book Antiqua" w:hAnsi="Book Antiqua" w:cs="Arial"/>
        </w:rPr>
        <w:t>before F</w:t>
      </w:r>
      <w:r w:rsidR="005B2B18">
        <w:rPr>
          <w:rFonts w:ascii="Book Antiqua" w:hAnsi="Book Antiqua" w:cs="Arial"/>
          <w:i/>
        </w:rPr>
        <w:t>t</w:t>
      </w:r>
      <w:r w:rsidR="005B2B18">
        <w:rPr>
          <w:rFonts w:ascii="Book Antiqua" w:hAnsi="Book Antiqua" w:cs="Arial"/>
        </w:rPr>
        <w:t>T Judge Kelsey, to verify his earnings and in particular the claimed earnings of £19,748.25 from HTL, the appellant had provided a letter dated 14</w:t>
      </w:r>
      <w:r w:rsidR="005B2B18" w:rsidRPr="005B2B18">
        <w:rPr>
          <w:rFonts w:ascii="Book Antiqua" w:hAnsi="Book Antiqua" w:cs="Arial"/>
          <w:vertAlign w:val="superscript"/>
        </w:rPr>
        <w:t>th</w:t>
      </w:r>
      <w:r w:rsidR="005B2B18">
        <w:rPr>
          <w:rFonts w:ascii="Book Antiqua" w:hAnsi="Book Antiqua" w:cs="Arial"/>
        </w:rPr>
        <w:t xml:space="preserve"> February 2011 from Mr Girish Chadda of HTL.  A copy of that letter was at page [140] of the appellant’s bundle and is the letter that was referred to by F</w:t>
      </w:r>
      <w:r w:rsidR="005B2B18">
        <w:rPr>
          <w:rFonts w:ascii="Book Antiqua" w:hAnsi="Book Antiqua" w:cs="Arial"/>
          <w:i/>
        </w:rPr>
        <w:t>t</w:t>
      </w:r>
      <w:r w:rsidR="005B2B18">
        <w:rPr>
          <w:rFonts w:ascii="Book Antiqua" w:hAnsi="Book Antiqua" w:cs="Arial"/>
        </w:rPr>
        <w:t>T Judge Kelsey at pa</w:t>
      </w:r>
      <w:r w:rsidR="00F247F9">
        <w:rPr>
          <w:rFonts w:ascii="Book Antiqua" w:hAnsi="Book Antiqua" w:cs="Arial"/>
        </w:rPr>
        <w:t>ragraph [22] of his decision.  She s</w:t>
      </w:r>
      <w:r w:rsidR="005B2B18">
        <w:rPr>
          <w:rFonts w:ascii="Book Antiqua" w:hAnsi="Book Antiqua" w:cs="Arial"/>
        </w:rPr>
        <w:t>ubmits that the respondent did not seek to appeal that decision and the evidence that is now relied upon by the respondent, ought to have been, or could have been with</w:t>
      </w:r>
      <w:r w:rsidR="009354BE">
        <w:rPr>
          <w:rFonts w:ascii="Book Antiqua" w:hAnsi="Book Antiqua" w:cs="Arial"/>
        </w:rPr>
        <w:t xml:space="preserve"> reasonable diligence, made available to F</w:t>
      </w:r>
      <w:r w:rsidR="009354BE">
        <w:rPr>
          <w:rFonts w:ascii="Book Antiqua" w:hAnsi="Book Antiqua" w:cs="Arial"/>
          <w:i/>
        </w:rPr>
        <w:t>t</w:t>
      </w:r>
      <w:r w:rsidR="009354BE">
        <w:rPr>
          <w:rFonts w:ascii="Book Antiqua" w:hAnsi="Book Antiqua" w:cs="Arial"/>
        </w:rPr>
        <w:t xml:space="preserve">T Judge </w:t>
      </w:r>
      <w:r w:rsidR="00C24098">
        <w:rPr>
          <w:rFonts w:ascii="Book Antiqua" w:hAnsi="Book Antiqua" w:cs="Arial"/>
        </w:rPr>
        <w:t>Kelsey</w:t>
      </w:r>
      <w:r w:rsidR="009354BE">
        <w:rPr>
          <w:rFonts w:ascii="Book Antiqua" w:hAnsi="Book Antiqua" w:cs="Arial"/>
        </w:rPr>
        <w:t xml:space="preserve">.  She submits that applying the principles set out in the decision in </w:t>
      </w:r>
      <w:r w:rsidR="009354BE">
        <w:rPr>
          <w:rFonts w:ascii="Book Antiqua" w:hAnsi="Book Antiqua" w:cs="Arial"/>
          <w:u w:val="single"/>
        </w:rPr>
        <w:t>Mabu and others</w:t>
      </w:r>
      <w:r w:rsidR="009354BE">
        <w:rPr>
          <w:rFonts w:ascii="Book Antiqua" w:hAnsi="Book Antiqua" w:cs="Arial"/>
        </w:rPr>
        <w:t>, F</w:t>
      </w:r>
      <w:r w:rsidR="009354BE">
        <w:rPr>
          <w:rFonts w:ascii="Book Antiqua" w:hAnsi="Book Antiqua" w:cs="Arial"/>
          <w:i/>
        </w:rPr>
        <w:t>t</w:t>
      </w:r>
      <w:r w:rsidR="009354BE">
        <w:rPr>
          <w:rFonts w:ascii="Book Antiqua" w:hAnsi="Book Antiqua" w:cs="Arial"/>
        </w:rPr>
        <w:t>T Judge Mayall erred in going behind the previous decisions of F</w:t>
      </w:r>
      <w:r w:rsidR="009354BE">
        <w:rPr>
          <w:rFonts w:ascii="Book Antiqua" w:hAnsi="Book Antiqua" w:cs="Arial"/>
          <w:i/>
        </w:rPr>
        <w:t>t</w:t>
      </w:r>
      <w:r w:rsidR="009354BE">
        <w:rPr>
          <w:rFonts w:ascii="Book Antiqua" w:hAnsi="Book Antiqua" w:cs="Arial"/>
        </w:rPr>
        <w:t>T Kelsey and F</w:t>
      </w:r>
      <w:r w:rsidR="009354BE">
        <w:rPr>
          <w:rFonts w:ascii="Book Antiqua" w:hAnsi="Book Antiqua" w:cs="Arial"/>
          <w:i/>
        </w:rPr>
        <w:t>t</w:t>
      </w:r>
      <w:r w:rsidR="009354BE">
        <w:rPr>
          <w:rFonts w:ascii="Book Antiqua" w:hAnsi="Book Antiqua" w:cs="Arial"/>
        </w:rPr>
        <w:t>T Judge Morgan.</w:t>
      </w:r>
      <w:r w:rsidR="007077B6">
        <w:rPr>
          <w:rFonts w:ascii="Book Antiqua" w:hAnsi="Book Antiqua" w:cs="Arial"/>
        </w:rPr>
        <w:t xml:space="preserve">  </w:t>
      </w:r>
    </w:p>
    <w:p w:rsidR="003C17C0" w:rsidRPr="00F247F9" w:rsidRDefault="009354BE" w:rsidP="00BC0D51">
      <w:pPr>
        <w:numPr>
          <w:ilvl w:val="0"/>
          <w:numId w:val="1"/>
        </w:numPr>
        <w:tabs>
          <w:tab w:val="left" w:pos="851"/>
        </w:tabs>
        <w:spacing w:before="240" w:after="240" w:line="360" w:lineRule="auto"/>
        <w:ind w:left="567" w:hanging="567"/>
        <w:jc w:val="both"/>
        <w:rPr>
          <w:rFonts w:ascii="Book Antiqua" w:hAnsi="Book Antiqua" w:cs="Arial"/>
        </w:rPr>
      </w:pPr>
      <w:r w:rsidRPr="007077B6">
        <w:rPr>
          <w:rFonts w:ascii="Book Antiqua" w:hAnsi="Book Antiqua" w:cs="Arial"/>
        </w:rPr>
        <w:t xml:space="preserve">There can be no doubt that the respondent </w:t>
      </w:r>
      <w:r w:rsidRPr="007077B6">
        <w:rPr>
          <w:rFonts w:ascii="Book Antiqua" w:hAnsi="Book Antiqua" w:cs="Arial"/>
          <w:lang w:eastAsia="en-GB"/>
        </w:rPr>
        <w:t xml:space="preserve">is required to carry out the judgments of the Tribunal and that it is not open to the respondent to circumvent a decision of the Tribunal by making a new administrative decision.  </w:t>
      </w:r>
      <w:r w:rsidRPr="00F247F9">
        <w:rPr>
          <w:rFonts w:ascii="Book Antiqua" w:hAnsi="Book Antiqua" w:cs="Arial"/>
          <w:lang w:eastAsia="en-GB"/>
        </w:rPr>
        <w:t>Here, the respondent gave effect to the decision of F</w:t>
      </w:r>
      <w:r w:rsidRPr="00F247F9">
        <w:rPr>
          <w:rFonts w:ascii="Book Antiqua" w:hAnsi="Book Antiqua" w:cs="Arial"/>
          <w:i/>
          <w:lang w:eastAsia="en-GB"/>
        </w:rPr>
        <w:t>t</w:t>
      </w:r>
      <w:r w:rsidRPr="00F247F9">
        <w:rPr>
          <w:rFonts w:ascii="Book Antiqua" w:hAnsi="Book Antiqua" w:cs="Arial"/>
          <w:lang w:eastAsia="en-GB"/>
        </w:rPr>
        <w:t xml:space="preserve">T Judge Kelsey by </w:t>
      </w:r>
      <w:r w:rsidR="009427EE" w:rsidRPr="00F247F9">
        <w:rPr>
          <w:rFonts w:ascii="Book Antiqua" w:hAnsi="Book Antiqua" w:cs="Arial"/>
        </w:rPr>
        <w:t>granting the first appellant</w:t>
      </w:r>
      <w:r w:rsidRPr="00F247F9">
        <w:rPr>
          <w:rFonts w:ascii="Book Antiqua" w:hAnsi="Book Antiqua" w:cs="Arial"/>
        </w:rPr>
        <w:t xml:space="preserve"> leave to remain until 10</w:t>
      </w:r>
      <w:r w:rsidRPr="00F247F9">
        <w:rPr>
          <w:rFonts w:ascii="Book Antiqua" w:hAnsi="Book Antiqua" w:cs="Arial"/>
          <w:vertAlign w:val="superscript"/>
        </w:rPr>
        <w:t>th</w:t>
      </w:r>
      <w:r w:rsidRPr="00F247F9">
        <w:rPr>
          <w:rFonts w:ascii="Book Antiqua" w:hAnsi="Book Antiqua" w:cs="Arial"/>
        </w:rPr>
        <w:t xml:space="preserve"> April 2014.  The attempt by the respondent, by a Notice dated 4</w:t>
      </w:r>
      <w:r w:rsidRPr="00F247F9">
        <w:rPr>
          <w:rFonts w:ascii="Book Antiqua" w:hAnsi="Book Antiqua" w:cs="Arial"/>
          <w:vertAlign w:val="superscript"/>
        </w:rPr>
        <w:t>th</w:t>
      </w:r>
      <w:r w:rsidRPr="00F247F9">
        <w:rPr>
          <w:rFonts w:ascii="Book Antiqua" w:hAnsi="Book Antiqua" w:cs="Arial"/>
        </w:rPr>
        <w:t xml:space="preserve"> November 2011 </w:t>
      </w:r>
      <w:r w:rsidRPr="00F247F9">
        <w:rPr>
          <w:rFonts w:ascii="Book Antiqua" w:hAnsi="Book Antiqua" w:cs="Arial"/>
        </w:rPr>
        <w:lastRenderedPageBreak/>
        <w:t>to curtail the first appellant’s leave to remain, was, rejected by F</w:t>
      </w:r>
      <w:r w:rsidRPr="00F247F9">
        <w:rPr>
          <w:rFonts w:ascii="Book Antiqua" w:hAnsi="Book Antiqua" w:cs="Arial"/>
          <w:i/>
        </w:rPr>
        <w:t>t</w:t>
      </w:r>
      <w:r w:rsidRPr="00F247F9">
        <w:rPr>
          <w:rFonts w:ascii="Book Antiqua" w:hAnsi="Book Antiqua" w:cs="Arial"/>
        </w:rPr>
        <w:t xml:space="preserve">T Judge </w:t>
      </w:r>
      <w:r w:rsidR="00C24098" w:rsidRPr="00F247F9">
        <w:rPr>
          <w:rFonts w:ascii="Book Antiqua" w:hAnsi="Book Antiqua" w:cs="Arial"/>
        </w:rPr>
        <w:t>Morgan</w:t>
      </w:r>
      <w:r w:rsidRPr="00F247F9">
        <w:rPr>
          <w:rFonts w:ascii="Book Antiqua" w:hAnsi="Book Antiqua" w:cs="Arial"/>
        </w:rPr>
        <w:t xml:space="preserve"> who allowed the appeal for the reasons given in a decision promulgated on 2</w:t>
      </w:r>
      <w:r w:rsidRPr="00F247F9">
        <w:rPr>
          <w:rFonts w:ascii="Book Antiqua" w:hAnsi="Book Antiqua" w:cs="Arial"/>
          <w:vertAlign w:val="superscript"/>
        </w:rPr>
        <w:t>nd</w:t>
      </w:r>
      <w:r w:rsidRPr="00F247F9">
        <w:rPr>
          <w:rFonts w:ascii="Book Antiqua" w:hAnsi="Book Antiqua" w:cs="Arial"/>
        </w:rPr>
        <w:t xml:space="preserve"> March 2012.  </w:t>
      </w:r>
      <w:r w:rsidR="003C17C0" w:rsidRPr="00F247F9">
        <w:rPr>
          <w:rFonts w:ascii="Book Antiqua" w:hAnsi="Book Antiqua" w:cs="Arial"/>
        </w:rPr>
        <w:t xml:space="preserve">The fresh evidence relied upon by the respondent </w:t>
      </w:r>
      <w:r w:rsidR="00F247F9">
        <w:rPr>
          <w:rFonts w:ascii="Book Antiqua" w:hAnsi="Book Antiqua" w:cs="Arial"/>
        </w:rPr>
        <w:t xml:space="preserve">at that time </w:t>
      </w:r>
      <w:r w:rsidR="003C17C0" w:rsidRPr="00F247F9">
        <w:rPr>
          <w:rFonts w:ascii="Book Antiqua" w:hAnsi="Book Antiqua" w:cs="Arial"/>
        </w:rPr>
        <w:t xml:space="preserve">to support the decision to curtail the first appellant’s leave to remain in the UK </w:t>
      </w:r>
      <w:r w:rsidR="00F247F9">
        <w:rPr>
          <w:rFonts w:ascii="Book Antiqua" w:hAnsi="Book Antiqua" w:cs="Arial"/>
        </w:rPr>
        <w:t xml:space="preserve">was </w:t>
      </w:r>
      <w:r w:rsidR="003C17C0" w:rsidRPr="00F247F9">
        <w:rPr>
          <w:rFonts w:ascii="Book Antiqua" w:hAnsi="Book Antiqua" w:cs="Arial"/>
        </w:rPr>
        <w:t>directed to the first appellant’s qualification</w:t>
      </w:r>
      <w:r w:rsidR="009427EE" w:rsidRPr="00F247F9">
        <w:rPr>
          <w:rFonts w:ascii="Book Antiqua" w:hAnsi="Book Antiqua" w:cs="Arial"/>
        </w:rPr>
        <w:t>s</w:t>
      </w:r>
      <w:r w:rsidR="003C17C0" w:rsidRPr="00F247F9">
        <w:rPr>
          <w:rFonts w:ascii="Book Antiqua" w:hAnsi="Book Antiqua" w:cs="Arial"/>
        </w:rPr>
        <w:t>.  The fresh evidence was described by F</w:t>
      </w:r>
      <w:r w:rsidR="003C17C0" w:rsidRPr="00F247F9">
        <w:rPr>
          <w:rFonts w:ascii="Book Antiqua" w:hAnsi="Book Antiqua" w:cs="Arial"/>
          <w:i/>
        </w:rPr>
        <w:t>t</w:t>
      </w:r>
      <w:r w:rsidR="003C17C0" w:rsidRPr="00F247F9">
        <w:rPr>
          <w:rFonts w:ascii="Book Antiqua" w:hAnsi="Book Antiqua" w:cs="Arial"/>
        </w:rPr>
        <w:t>T Judge Morgan in the following way:</w:t>
      </w:r>
    </w:p>
    <w:p w:rsidR="003C17C0" w:rsidRPr="003C17C0" w:rsidRDefault="003C17C0" w:rsidP="00BC0D51">
      <w:pPr>
        <w:tabs>
          <w:tab w:val="left" w:pos="2268"/>
        </w:tabs>
        <w:spacing w:before="120" w:after="120"/>
        <w:ind w:left="1701" w:right="567"/>
        <w:jc w:val="both"/>
        <w:rPr>
          <w:rFonts w:ascii="Book Antiqua" w:hAnsi="Book Antiqua" w:cs="Arial"/>
          <w:sz w:val="22"/>
          <w:szCs w:val="22"/>
        </w:rPr>
      </w:pPr>
      <w:r>
        <w:rPr>
          <w:rFonts w:ascii="Book Antiqua" w:hAnsi="Book Antiqua" w:cs="Arial"/>
          <w:sz w:val="22"/>
          <w:szCs w:val="22"/>
        </w:rPr>
        <w:t>“8.</w:t>
      </w:r>
      <w:r>
        <w:rPr>
          <w:rFonts w:ascii="Book Antiqua" w:hAnsi="Book Antiqua" w:cs="Arial"/>
          <w:sz w:val="22"/>
          <w:szCs w:val="22"/>
        </w:rPr>
        <w:tab/>
        <w:t>… the fresh evidence, if it can be called that, can be found</w:t>
      </w:r>
      <w:r w:rsidR="00F247F9">
        <w:rPr>
          <w:rFonts w:ascii="Book Antiqua" w:hAnsi="Book Antiqua" w:cs="Arial"/>
          <w:sz w:val="22"/>
          <w:szCs w:val="22"/>
        </w:rPr>
        <w:t xml:space="preserve"> at I</w:t>
      </w:r>
      <w:r>
        <w:rPr>
          <w:rFonts w:ascii="Book Antiqua" w:hAnsi="Book Antiqua" w:cs="Arial"/>
          <w:sz w:val="22"/>
          <w:szCs w:val="22"/>
        </w:rPr>
        <w:t>1 of the respondent’s bundle. This consisted of email correspondence between the respondent and the institution (see above)</w:t>
      </w:r>
      <w:r w:rsidR="00BC0D51">
        <w:rPr>
          <w:rFonts w:ascii="Book Antiqua" w:hAnsi="Book Antiqua" w:cs="Arial"/>
          <w:sz w:val="22"/>
          <w:szCs w:val="22"/>
        </w:rPr>
        <w:t xml:space="preserve"> </w:t>
      </w:r>
      <w:r>
        <w:rPr>
          <w:rFonts w:ascii="Book Antiqua" w:hAnsi="Book Antiqua" w:cs="Arial"/>
          <w:sz w:val="22"/>
          <w:szCs w:val="22"/>
        </w:rPr>
        <w:t>… The email asks if the appellant studied at the college but makes no reference to either the appellant’s student number or the appellant’s surname, which can be found on the qualification</w:t>
      </w:r>
      <w:r w:rsidR="00BC0D51">
        <w:rPr>
          <w:rFonts w:ascii="Book Antiqua" w:hAnsi="Book Antiqua" w:cs="Arial"/>
          <w:sz w:val="22"/>
          <w:szCs w:val="22"/>
        </w:rPr>
        <w:t xml:space="preserve"> </w:t>
      </w:r>
      <w:r>
        <w:rPr>
          <w:rFonts w:ascii="Book Antiqua" w:hAnsi="Book Antiqua" w:cs="Arial"/>
          <w:sz w:val="22"/>
          <w:szCs w:val="22"/>
        </w:rPr>
        <w:t>… This is the second occasion on which the respondent has purported to question the veracity of the qualification and the evidence produced is even less persuasive than that that was placed before the previous judge. Whilst I have some sympathy for the respondent, the institution in question does not appear to have co-operated with the respondent’s enquiries, nevertheless the allegations made by the respondent are serious, and in my judgement not made out by the evidence provided</w:t>
      </w:r>
      <w:r w:rsidR="00BC0D51">
        <w:rPr>
          <w:rFonts w:ascii="Book Antiqua" w:hAnsi="Book Antiqua" w:cs="Arial"/>
          <w:sz w:val="22"/>
          <w:szCs w:val="22"/>
        </w:rPr>
        <w:t xml:space="preserve"> </w:t>
      </w:r>
      <w:r>
        <w:rPr>
          <w:rFonts w:ascii="Book Antiqua" w:hAnsi="Book Antiqua" w:cs="Arial"/>
          <w:sz w:val="22"/>
          <w:szCs w:val="22"/>
        </w:rPr>
        <w:t>…”</w:t>
      </w:r>
    </w:p>
    <w:p w:rsidR="00F247F9" w:rsidRDefault="009427EE" w:rsidP="00BC0D51">
      <w:pPr>
        <w:numPr>
          <w:ilvl w:val="0"/>
          <w:numId w:val="1"/>
        </w:numPr>
        <w:tabs>
          <w:tab w:val="left" w:pos="851"/>
        </w:tabs>
        <w:spacing w:before="240" w:after="240" w:line="360" w:lineRule="auto"/>
        <w:ind w:left="567" w:hanging="567"/>
        <w:jc w:val="both"/>
        <w:rPr>
          <w:rFonts w:ascii="Book Antiqua" w:hAnsi="Book Antiqua" w:cs="Arial"/>
          <w:lang w:eastAsia="en-GB"/>
        </w:rPr>
      </w:pPr>
      <w:r>
        <w:rPr>
          <w:rFonts w:ascii="Book Antiqua" w:hAnsi="Book Antiqua" w:cs="Arial"/>
          <w:lang w:eastAsia="en-GB"/>
        </w:rPr>
        <w:t>The decision</w:t>
      </w:r>
      <w:r w:rsidR="000343AB">
        <w:rPr>
          <w:rFonts w:ascii="Book Antiqua" w:hAnsi="Book Antiqua" w:cs="Arial"/>
          <w:lang w:eastAsia="en-GB"/>
        </w:rPr>
        <w:t xml:space="preserve">s that were </w:t>
      </w:r>
      <w:r>
        <w:rPr>
          <w:rFonts w:ascii="Book Antiqua" w:hAnsi="Book Antiqua" w:cs="Arial"/>
          <w:lang w:eastAsia="en-GB"/>
        </w:rPr>
        <w:t>the subject of the appeal before F</w:t>
      </w:r>
      <w:r>
        <w:rPr>
          <w:rFonts w:ascii="Book Antiqua" w:hAnsi="Book Antiqua" w:cs="Arial"/>
          <w:i/>
          <w:lang w:eastAsia="en-GB"/>
        </w:rPr>
        <w:t>t</w:t>
      </w:r>
      <w:r>
        <w:rPr>
          <w:rFonts w:ascii="Book Antiqua" w:hAnsi="Book Antiqua" w:cs="Arial"/>
          <w:lang w:eastAsia="en-GB"/>
        </w:rPr>
        <w:t xml:space="preserve">T Judge Mayall </w:t>
      </w:r>
      <w:r w:rsidR="000343AB">
        <w:rPr>
          <w:rFonts w:ascii="Book Antiqua" w:hAnsi="Book Antiqua" w:cs="Arial"/>
          <w:lang w:eastAsia="en-GB"/>
        </w:rPr>
        <w:t>were the respondent’s decisions of 26</w:t>
      </w:r>
      <w:r w:rsidR="000343AB" w:rsidRPr="000343AB">
        <w:rPr>
          <w:rFonts w:ascii="Book Antiqua" w:hAnsi="Book Antiqua" w:cs="Arial"/>
          <w:vertAlign w:val="superscript"/>
          <w:lang w:eastAsia="en-GB"/>
        </w:rPr>
        <w:t>th</w:t>
      </w:r>
      <w:r w:rsidR="000343AB">
        <w:rPr>
          <w:rFonts w:ascii="Book Antiqua" w:hAnsi="Book Antiqua" w:cs="Arial"/>
          <w:lang w:eastAsia="en-GB"/>
        </w:rPr>
        <w:t xml:space="preserve"> October 2015 to refuse the first appellant’s application</w:t>
      </w:r>
      <w:r w:rsidR="000343AB" w:rsidRPr="000343AB">
        <w:rPr>
          <w:rFonts w:ascii="Book Antiqua" w:hAnsi="Book Antiqua" w:cs="Arial"/>
          <w:lang w:eastAsia="en-GB"/>
        </w:rPr>
        <w:t xml:space="preserve"> for indefinite leave to remain in the United Kingdom on the </w:t>
      </w:r>
      <w:r w:rsidR="000343AB">
        <w:rPr>
          <w:rFonts w:ascii="Book Antiqua" w:hAnsi="Book Antiqua" w:cs="Arial"/>
          <w:lang w:eastAsia="en-GB"/>
        </w:rPr>
        <w:t>grounds of long residence, and to curtail the appellants leave to remain</w:t>
      </w:r>
      <w:r w:rsidR="000343AB" w:rsidRPr="000343AB">
        <w:rPr>
          <w:rFonts w:ascii="Book Antiqua" w:hAnsi="Book Antiqua" w:cs="Arial"/>
          <w:lang w:eastAsia="en-GB"/>
        </w:rPr>
        <w:t>.</w:t>
      </w:r>
      <w:r w:rsidR="000343AB">
        <w:rPr>
          <w:rFonts w:ascii="Book Antiqua" w:hAnsi="Book Antiqua" w:cs="Arial"/>
          <w:lang w:eastAsia="en-GB"/>
        </w:rPr>
        <w:t xml:space="preserve">  </w:t>
      </w:r>
      <w:r w:rsidRPr="000343AB">
        <w:rPr>
          <w:rFonts w:ascii="Book Antiqua" w:hAnsi="Book Antiqua" w:cs="Arial"/>
          <w:lang w:eastAsia="en-GB"/>
        </w:rPr>
        <w:t xml:space="preserve">The respondent was not represented at the hearing of the appeal before </w:t>
      </w:r>
      <w:r w:rsidR="003C17C0" w:rsidRPr="000343AB">
        <w:rPr>
          <w:rFonts w:ascii="Book Antiqua" w:hAnsi="Book Antiqua" w:cs="Arial"/>
          <w:lang w:eastAsia="en-GB"/>
        </w:rPr>
        <w:t>F</w:t>
      </w:r>
      <w:r w:rsidR="003C17C0" w:rsidRPr="000343AB">
        <w:rPr>
          <w:rFonts w:ascii="Book Antiqua" w:hAnsi="Book Antiqua" w:cs="Arial"/>
          <w:i/>
          <w:lang w:eastAsia="en-GB"/>
        </w:rPr>
        <w:t>t</w:t>
      </w:r>
      <w:r w:rsidR="003C17C0" w:rsidRPr="000343AB">
        <w:rPr>
          <w:rFonts w:ascii="Book Antiqua" w:hAnsi="Book Antiqua" w:cs="Arial"/>
          <w:lang w:eastAsia="en-GB"/>
        </w:rPr>
        <w:t xml:space="preserve">T Judge </w:t>
      </w:r>
      <w:r w:rsidRPr="000343AB">
        <w:rPr>
          <w:rFonts w:ascii="Book Antiqua" w:hAnsi="Book Antiqua" w:cs="Arial"/>
          <w:lang w:eastAsia="en-GB"/>
        </w:rPr>
        <w:t>Mayall.  Counsel for the appellant noted, as the Judge recorded at paragraph [5] of his decision that there was a single issue in the appeal as to whether the appellant’s employment with</w:t>
      </w:r>
      <w:r w:rsidR="003C17C0" w:rsidRPr="000343AB">
        <w:rPr>
          <w:rFonts w:ascii="Book Antiqua" w:hAnsi="Book Antiqua" w:cs="Arial"/>
          <w:lang w:eastAsia="en-GB"/>
        </w:rPr>
        <w:t xml:space="preserve"> </w:t>
      </w:r>
      <w:r w:rsidRPr="000343AB">
        <w:rPr>
          <w:rFonts w:ascii="Book Antiqua" w:hAnsi="Book Antiqua" w:cs="Arial"/>
          <w:lang w:eastAsia="en-GB"/>
        </w:rPr>
        <w:t xml:space="preserve">HTL was genuine or not.  </w:t>
      </w:r>
      <w:r w:rsidR="009354BE" w:rsidRPr="000343AB">
        <w:rPr>
          <w:rFonts w:ascii="Book Antiqua" w:hAnsi="Book Antiqua" w:cs="Arial"/>
          <w:lang w:eastAsia="en-GB"/>
        </w:rPr>
        <w:t xml:space="preserve">The question </w:t>
      </w:r>
      <w:r w:rsidRPr="000343AB">
        <w:rPr>
          <w:rFonts w:ascii="Book Antiqua" w:hAnsi="Book Antiqua" w:cs="Arial"/>
          <w:lang w:eastAsia="en-GB"/>
        </w:rPr>
        <w:t>raised in the appeal before me is whether F</w:t>
      </w:r>
      <w:r w:rsidRPr="000343AB">
        <w:rPr>
          <w:rFonts w:ascii="Book Antiqua" w:hAnsi="Book Antiqua" w:cs="Arial"/>
          <w:i/>
          <w:lang w:eastAsia="en-GB"/>
        </w:rPr>
        <w:t>t</w:t>
      </w:r>
      <w:r w:rsidRPr="000343AB">
        <w:rPr>
          <w:rFonts w:ascii="Book Antiqua" w:hAnsi="Book Antiqua" w:cs="Arial"/>
          <w:lang w:eastAsia="en-GB"/>
        </w:rPr>
        <w:t>T Judge Mayall, was entitled to go behind the finding previously made by F</w:t>
      </w:r>
      <w:r w:rsidRPr="000343AB">
        <w:rPr>
          <w:rFonts w:ascii="Book Antiqua" w:hAnsi="Book Antiqua" w:cs="Arial"/>
          <w:i/>
          <w:lang w:eastAsia="en-GB"/>
        </w:rPr>
        <w:t>t</w:t>
      </w:r>
      <w:r w:rsidRPr="000343AB">
        <w:rPr>
          <w:rFonts w:ascii="Book Antiqua" w:hAnsi="Book Antiqua" w:cs="Arial"/>
          <w:lang w:eastAsia="en-GB"/>
        </w:rPr>
        <w:t xml:space="preserve">T Judge Kelsey as to the appellant’s employment with HTL.   </w:t>
      </w:r>
    </w:p>
    <w:p w:rsidR="00317903" w:rsidRPr="00F247F9" w:rsidRDefault="007077B6" w:rsidP="00BC0D51">
      <w:pPr>
        <w:numPr>
          <w:ilvl w:val="0"/>
          <w:numId w:val="1"/>
        </w:numPr>
        <w:tabs>
          <w:tab w:val="left" w:pos="851"/>
        </w:tabs>
        <w:spacing w:before="240" w:after="240" w:line="360" w:lineRule="auto"/>
        <w:ind w:left="567" w:hanging="567"/>
        <w:jc w:val="both"/>
        <w:rPr>
          <w:rFonts w:ascii="Book Antiqua" w:hAnsi="Book Antiqua" w:cs="Arial"/>
          <w:lang w:eastAsia="en-GB"/>
        </w:rPr>
      </w:pPr>
      <w:r>
        <w:rPr>
          <w:rFonts w:ascii="Book Antiqua" w:hAnsi="Book Antiqua" w:cs="Arial"/>
        </w:rPr>
        <w:t>I reject the submission that the determination of F</w:t>
      </w:r>
      <w:r>
        <w:rPr>
          <w:rFonts w:ascii="Book Antiqua" w:hAnsi="Book Antiqua" w:cs="Arial"/>
          <w:i/>
        </w:rPr>
        <w:t>t</w:t>
      </w:r>
      <w:r>
        <w:rPr>
          <w:rFonts w:ascii="Book Antiqua" w:hAnsi="Book Antiqua" w:cs="Arial"/>
        </w:rPr>
        <w:t>T Judge Kelsey should be treated as settling the issue of the first appellant’s employment with HTL.</w:t>
      </w:r>
      <w:r w:rsidR="00F247F9">
        <w:rPr>
          <w:rFonts w:ascii="Book Antiqua" w:hAnsi="Book Antiqua" w:cs="Arial"/>
          <w:lang w:eastAsia="en-GB"/>
        </w:rPr>
        <w:t xml:space="preserve">  </w:t>
      </w:r>
      <w:r w:rsidR="000343AB" w:rsidRPr="00F247F9">
        <w:rPr>
          <w:rFonts w:ascii="Book Antiqua" w:hAnsi="Book Antiqua" w:cs="Arial"/>
          <w:lang w:eastAsia="en-GB"/>
        </w:rPr>
        <w:t>I accept that it is not open to the respondent to circumvent a decision</w:t>
      </w:r>
      <w:r w:rsidR="009354BE" w:rsidRPr="00F247F9">
        <w:rPr>
          <w:rFonts w:ascii="Book Antiqua" w:hAnsi="Book Antiqua" w:cs="Arial"/>
          <w:lang w:eastAsia="en-GB"/>
        </w:rPr>
        <w:t xml:space="preserve"> of the Tribunal by making a new administrative decision. </w:t>
      </w:r>
      <w:r w:rsidR="000343AB" w:rsidRPr="00F247F9">
        <w:rPr>
          <w:rFonts w:ascii="Book Antiqua" w:hAnsi="Book Antiqua" w:cs="Arial"/>
          <w:lang w:eastAsia="en-GB"/>
        </w:rPr>
        <w:t xml:space="preserve"> </w:t>
      </w:r>
      <w:r w:rsidR="00F247F9">
        <w:rPr>
          <w:rFonts w:ascii="Book Antiqua" w:hAnsi="Book Antiqua" w:cs="Arial"/>
          <w:lang w:eastAsia="en-GB"/>
        </w:rPr>
        <w:t>In</w:t>
      </w:r>
      <w:r w:rsidR="009354BE" w:rsidRPr="00F247F9">
        <w:rPr>
          <w:rFonts w:ascii="Book Antiqua" w:hAnsi="Book Antiqua" w:cs="Arial"/>
          <w:lang w:eastAsia="en-GB"/>
        </w:rPr>
        <w:t xml:space="preserve"> </w:t>
      </w:r>
      <w:r w:rsidR="009354BE" w:rsidRPr="00F247F9">
        <w:rPr>
          <w:rFonts w:ascii="Book Antiqua" w:hAnsi="Book Antiqua" w:cs="Arial"/>
          <w:u w:val="single"/>
          <w:lang w:eastAsia="en-GB"/>
        </w:rPr>
        <w:t>SSHD v TB (Jamaica) [2008] EWCA Civ 977</w:t>
      </w:r>
      <w:r w:rsidR="00317903" w:rsidRPr="00F247F9">
        <w:rPr>
          <w:rFonts w:ascii="Book Antiqua" w:hAnsi="Book Antiqua" w:cs="Arial"/>
          <w:lang w:eastAsia="en-GB"/>
        </w:rPr>
        <w:t>,</w:t>
      </w:r>
      <w:r w:rsidR="00F247F9">
        <w:rPr>
          <w:rFonts w:ascii="Book Antiqua" w:hAnsi="Book Antiqua" w:cs="Arial"/>
          <w:lang w:eastAsia="en-GB"/>
        </w:rPr>
        <w:t xml:space="preserve"> the issue that</w:t>
      </w:r>
      <w:r w:rsidR="00317903" w:rsidRPr="00F247F9">
        <w:rPr>
          <w:rFonts w:ascii="Book Antiqua" w:hAnsi="Book Antiqua" w:cs="Arial"/>
          <w:lang w:eastAsia="en-GB"/>
        </w:rPr>
        <w:t xml:space="preserve"> arose was the status of an earlier decision of an Immigration Judge in a person's case</w:t>
      </w:r>
      <w:r w:rsidR="00F247F9">
        <w:rPr>
          <w:rFonts w:ascii="Book Antiqua" w:hAnsi="Book Antiqua" w:cs="Arial"/>
          <w:lang w:eastAsia="en-GB"/>
        </w:rPr>
        <w:t>,</w:t>
      </w:r>
      <w:r w:rsidR="00317903" w:rsidRPr="00F247F9">
        <w:rPr>
          <w:rFonts w:ascii="Book Antiqua" w:hAnsi="Book Antiqua" w:cs="Arial"/>
          <w:lang w:eastAsia="en-GB"/>
        </w:rPr>
        <w:t xml:space="preserve"> when considering a subsequent application. The relevant paragraphs of</w:t>
      </w:r>
      <w:r w:rsidR="00F247F9">
        <w:rPr>
          <w:rFonts w:ascii="Book Antiqua" w:hAnsi="Book Antiqua" w:cs="Arial"/>
          <w:lang w:eastAsia="en-GB"/>
        </w:rPr>
        <w:t xml:space="preserve"> Stanley </w:t>
      </w:r>
      <w:r w:rsidR="00F247F9">
        <w:rPr>
          <w:rFonts w:ascii="Book Antiqua" w:hAnsi="Book Antiqua" w:cs="Arial"/>
          <w:lang w:eastAsia="en-GB"/>
        </w:rPr>
        <w:lastRenderedPageBreak/>
        <w:t xml:space="preserve">Burnton LJ's judgment, </w:t>
      </w:r>
      <w:r w:rsidR="00317903" w:rsidRPr="00F247F9">
        <w:rPr>
          <w:rFonts w:ascii="Book Antiqua" w:hAnsi="Book Antiqua" w:cs="Arial"/>
          <w:lang w:eastAsia="en-GB"/>
        </w:rPr>
        <w:t xml:space="preserve">which were adopted and applied by this Tribunal in the case of </w:t>
      </w:r>
      <w:r w:rsidR="00317903" w:rsidRPr="00F247F9">
        <w:rPr>
          <w:rFonts w:ascii="Book Antiqua" w:hAnsi="Book Antiqua" w:cs="Arial"/>
          <w:u w:val="single"/>
          <w:lang w:eastAsia="en-GB"/>
        </w:rPr>
        <w:t>Chomanga (Binding effect of unappealed decisions) Z</w:t>
      </w:r>
      <w:r w:rsidR="00F247F9">
        <w:rPr>
          <w:rFonts w:ascii="Book Antiqua" w:hAnsi="Book Antiqua" w:cs="Arial"/>
          <w:u w:val="single"/>
          <w:lang w:eastAsia="en-GB"/>
        </w:rPr>
        <w:t>imbabwe [2011] UKUT 00312 (IAC</w:t>
      </w:r>
      <w:r w:rsidR="00317903" w:rsidRPr="00F247F9">
        <w:rPr>
          <w:rFonts w:ascii="Book Antiqua" w:hAnsi="Book Antiqua" w:cs="Arial"/>
          <w:u w:val="single"/>
          <w:lang w:eastAsia="en-GB"/>
        </w:rPr>
        <w:t>)</w:t>
      </w:r>
      <w:r w:rsidR="00317903" w:rsidRPr="00F247F9">
        <w:rPr>
          <w:rFonts w:ascii="Book Antiqua" w:hAnsi="Book Antiqua" w:cs="Arial"/>
          <w:lang w:eastAsia="en-GB"/>
        </w:rPr>
        <w:t xml:space="preserve"> were as follows:</w:t>
      </w:r>
    </w:p>
    <w:p w:rsidR="00317903" w:rsidRPr="00317903" w:rsidRDefault="00BC0D51" w:rsidP="00BC0D51">
      <w:pPr>
        <w:tabs>
          <w:tab w:val="left" w:pos="2268"/>
        </w:tabs>
        <w:spacing w:before="120" w:after="120"/>
        <w:ind w:left="1701" w:right="567"/>
        <w:jc w:val="both"/>
        <w:rPr>
          <w:rFonts w:ascii="Book Antiqua" w:hAnsi="Book Antiqua" w:cs="Arial"/>
          <w:sz w:val="22"/>
          <w:szCs w:val="22"/>
          <w:lang w:eastAsia="en-GB"/>
        </w:rPr>
      </w:pPr>
      <w:r>
        <w:rPr>
          <w:rFonts w:ascii="Book Antiqua" w:hAnsi="Book Antiqua" w:cs="Arial"/>
          <w:sz w:val="22"/>
          <w:szCs w:val="22"/>
          <w:lang w:eastAsia="en-GB"/>
        </w:rPr>
        <w:t>"32.</w:t>
      </w:r>
      <w:r>
        <w:rPr>
          <w:rFonts w:ascii="Book Antiqua" w:hAnsi="Book Antiqua" w:cs="Arial"/>
          <w:sz w:val="22"/>
          <w:szCs w:val="22"/>
          <w:lang w:eastAsia="en-GB"/>
        </w:rPr>
        <w:tab/>
      </w:r>
      <w:r w:rsidR="00317903" w:rsidRPr="00317903">
        <w:rPr>
          <w:rFonts w:ascii="Book Antiqua" w:hAnsi="Book Antiqua" w:cs="Arial"/>
          <w:sz w:val="22"/>
          <w:szCs w:val="22"/>
          <w:lang w:eastAsia="en-GB"/>
        </w:rPr>
        <w:t>As a matter of principle, it cannot be right for the Home Secretary to be able to circumvent the decision of the IAT by administrative decision. If she could do so, the statutory appeal system would be undermined; indeed, in a case such as the present, the decision of the Immigration Judge on the application of the Refugee Convention would be made irrelevant. That would be inconsistent with the statutory scheme.</w:t>
      </w:r>
    </w:p>
    <w:p w:rsidR="00317903" w:rsidRPr="00317903" w:rsidRDefault="00BC0D51" w:rsidP="00BC0D51">
      <w:pPr>
        <w:tabs>
          <w:tab w:val="left" w:pos="2268"/>
        </w:tabs>
        <w:spacing w:before="120" w:after="120"/>
        <w:ind w:left="1701" w:right="567"/>
        <w:jc w:val="both"/>
        <w:rPr>
          <w:rFonts w:ascii="Book Antiqua" w:hAnsi="Book Antiqua" w:cs="Arial"/>
          <w:sz w:val="22"/>
          <w:szCs w:val="22"/>
          <w:lang w:eastAsia="en-GB"/>
        </w:rPr>
      </w:pPr>
      <w:r>
        <w:rPr>
          <w:rFonts w:ascii="Book Antiqua" w:hAnsi="Book Antiqua" w:cs="Arial"/>
          <w:sz w:val="22"/>
          <w:szCs w:val="22"/>
          <w:lang w:eastAsia="en-GB"/>
        </w:rPr>
        <w:t>33.</w:t>
      </w:r>
      <w:r>
        <w:rPr>
          <w:rFonts w:ascii="Book Antiqua" w:hAnsi="Book Antiqua" w:cs="Arial"/>
          <w:sz w:val="22"/>
          <w:szCs w:val="22"/>
          <w:lang w:eastAsia="en-GB"/>
        </w:rPr>
        <w:tab/>
      </w:r>
      <w:r w:rsidR="00317903" w:rsidRPr="00317903">
        <w:rPr>
          <w:rFonts w:ascii="Book Antiqua" w:hAnsi="Book Antiqua" w:cs="Arial"/>
          <w:sz w:val="22"/>
          <w:szCs w:val="22"/>
          <w:lang w:eastAsia="en-GB"/>
        </w:rPr>
        <w:t xml:space="preserve">The principle that the decision of the Tribunal is binding on the parties, and in particular on the Home Secretary, has been consistently upheld by the Courts. In R (Mersin) v Home Secretary [2000] EWHC Admin </w:t>
      </w:r>
      <w:r w:rsidRPr="00317903">
        <w:rPr>
          <w:rFonts w:ascii="Book Antiqua" w:hAnsi="Book Antiqua" w:cs="Arial"/>
          <w:sz w:val="22"/>
          <w:szCs w:val="22"/>
          <w:lang w:eastAsia="en-GB"/>
        </w:rPr>
        <w:t>348,</w:t>
      </w:r>
      <w:r w:rsidR="00317903" w:rsidRPr="00317903">
        <w:rPr>
          <w:rFonts w:ascii="Book Antiqua" w:hAnsi="Book Antiqua" w:cs="Arial"/>
          <w:sz w:val="22"/>
          <w:szCs w:val="22"/>
          <w:lang w:eastAsia="en-GB"/>
        </w:rPr>
        <w:t xml:space="preserve"> Elias J said:</w:t>
      </w:r>
    </w:p>
    <w:p w:rsidR="00317903" w:rsidRPr="00317903" w:rsidRDefault="00317903" w:rsidP="00BC0D51">
      <w:pPr>
        <w:spacing w:before="120" w:after="120"/>
        <w:ind w:left="2268" w:right="567"/>
        <w:jc w:val="both"/>
        <w:rPr>
          <w:rFonts w:ascii="Book Antiqua" w:hAnsi="Book Antiqua" w:cs="Arial"/>
          <w:sz w:val="22"/>
          <w:szCs w:val="22"/>
          <w:lang w:eastAsia="en-GB"/>
        </w:rPr>
      </w:pPr>
      <w:r w:rsidRPr="00317903">
        <w:rPr>
          <w:rFonts w:ascii="Book Antiqua" w:hAnsi="Book Antiqua" w:cs="Arial"/>
          <w:sz w:val="22"/>
          <w:szCs w:val="22"/>
          <w:lang w:eastAsia="en-GB"/>
        </w:rPr>
        <w:t>"In my opinion there is a clear duty on the Secretary of State to give effect to the Special Adjudicator's decision. Even if he can refuse to do so in the event of changed circumstances or because there is another country to which the applicant can be sent, there is still a duty unless and until that situation arises. It would wholly undermine the rule of law if he could simply ignore the ruling of the Special Adjudicator without appealing it, and indeed Mr. Catchpole [counsel for the Home Secretary] does not suggest that he can. Nor in my opinion could he deliberately delay giving effect to the ruling in the hope that something might turn up to justify not implementing it. In my judgment, once the adjudicator had determined the application in the applicant's favour, the applicant had a right to be granted refugee status, at least unless and until there was a change in the position."</w:t>
      </w:r>
    </w:p>
    <w:p w:rsidR="00317903" w:rsidRPr="00317903" w:rsidRDefault="00BC0D51" w:rsidP="00BC0D51">
      <w:pPr>
        <w:tabs>
          <w:tab w:val="left" w:pos="2268"/>
        </w:tabs>
        <w:spacing w:before="120" w:after="120"/>
        <w:ind w:left="1701" w:right="567"/>
        <w:jc w:val="both"/>
        <w:rPr>
          <w:rFonts w:ascii="Book Antiqua" w:hAnsi="Book Antiqua" w:cs="Arial"/>
          <w:sz w:val="22"/>
          <w:szCs w:val="22"/>
          <w:lang w:eastAsia="en-GB"/>
        </w:rPr>
      </w:pPr>
      <w:r>
        <w:rPr>
          <w:rFonts w:ascii="Book Antiqua" w:hAnsi="Book Antiqua" w:cs="Arial"/>
          <w:sz w:val="22"/>
          <w:szCs w:val="22"/>
          <w:lang w:eastAsia="en-GB"/>
        </w:rPr>
        <w:t>34.</w:t>
      </w:r>
      <w:r>
        <w:rPr>
          <w:rFonts w:ascii="Book Antiqua" w:hAnsi="Book Antiqua" w:cs="Arial"/>
          <w:sz w:val="22"/>
          <w:szCs w:val="22"/>
          <w:lang w:eastAsia="en-GB"/>
        </w:rPr>
        <w:tab/>
      </w:r>
      <w:r w:rsidR="00317903" w:rsidRPr="00317903">
        <w:rPr>
          <w:rFonts w:ascii="Book Antiqua" w:hAnsi="Book Antiqua" w:cs="Arial"/>
          <w:sz w:val="22"/>
          <w:szCs w:val="22"/>
          <w:lang w:eastAsia="en-GB"/>
        </w:rPr>
        <w:t xml:space="preserve">In R (Boafo) v Home Secretary [2002] EWCA Civ, [2002] 1 WLR 44, Auld LJ said at [26] in a judgment with which the other members of the Court of Appeal agreed, '… an unappealed decision of an adjudicator is binding on the parties.' In R (Saribal) v Home Secretary [2002] EWHC 1542 (Admin), [2002] INLR </w:t>
      </w:r>
      <w:r w:rsidRPr="00317903">
        <w:rPr>
          <w:rFonts w:ascii="Book Antiqua" w:hAnsi="Book Antiqua" w:cs="Arial"/>
          <w:sz w:val="22"/>
          <w:szCs w:val="22"/>
          <w:lang w:eastAsia="en-GB"/>
        </w:rPr>
        <w:t>596,</w:t>
      </w:r>
      <w:r w:rsidR="00317903" w:rsidRPr="00317903">
        <w:rPr>
          <w:rFonts w:ascii="Book Antiqua" w:hAnsi="Book Antiqua" w:cs="Arial"/>
          <w:sz w:val="22"/>
          <w:szCs w:val="22"/>
          <w:lang w:eastAsia="en-GB"/>
        </w:rPr>
        <w:t xml:space="preserve"> Moses J said:</w:t>
      </w:r>
    </w:p>
    <w:p w:rsidR="00317903" w:rsidRPr="00317903" w:rsidRDefault="00317903" w:rsidP="00317903">
      <w:pPr>
        <w:tabs>
          <w:tab w:val="left" w:pos="851"/>
        </w:tabs>
        <w:spacing w:before="120" w:after="240"/>
        <w:ind w:left="2367"/>
        <w:jc w:val="both"/>
        <w:rPr>
          <w:rFonts w:ascii="Book Antiqua" w:hAnsi="Book Antiqua" w:cs="Arial"/>
          <w:sz w:val="22"/>
          <w:szCs w:val="22"/>
          <w:lang w:eastAsia="en-GB"/>
        </w:rPr>
      </w:pPr>
      <w:r w:rsidRPr="00317903">
        <w:rPr>
          <w:rFonts w:ascii="Book Antiqua" w:hAnsi="Book Antiqua" w:cs="Arial"/>
          <w:sz w:val="22"/>
          <w:szCs w:val="22"/>
          <w:lang w:eastAsia="en-GB"/>
        </w:rPr>
        <w:t>"17. The decision in </w:t>
      </w:r>
      <w:r w:rsidRPr="00317903">
        <w:rPr>
          <w:rFonts w:ascii="Book Antiqua" w:hAnsi="Book Antiqua" w:cs="Arial"/>
          <w:i/>
          <w:iCs/>
          <w:sz w:val="22"/>
          <w:szCs w:val="22"/>
          <w:lang w:eastAsia="en-GB"/>
        </w:rPr>
        <w:t>ex parte</w:t>
      </w:r>
      <w:r w:rsidRPr="00317903">
        <w:rPr>
          <w:rFonts w:ascii="Book Antiqua" w:hAnsi="Book Antiqua" w:cs="Arial"/>
          <w:sz w:val="22"/>
          <w:szCs w:val="22"/>
          <w:lang w:eastAsia="en-GB"/>
        </w:rPr>
        <w:t> Boafo demonstrates an important principle at the heart of these proceedings. The Secretary of State is not entitled to disregard the determination of the IAT and refuse a claimant's right to indefinite leave to remain as a refugee unless he can set aside that determination by appropriate procedure founded on appropriate evidence."</w:t>
      </w:r>
    </w:p>
    <w:p w:rsidR="00317903" w:rsidRPr="00317903" w:rsidRDefault="00BC0D51" w:rsidP="00BC0D51">
      <w:pPr>
        <w:tabs>
          <w:tab w:val="left" w:pos="2268"/>
        </w:tabs>
        <w:spacing w:before="120" w:after="120"/>
        <w:ind w:left="1701" w:right="567"/>
        <w:jc w:val="both"/>
        <w:rPr>
          <w:rFonts w:ascii="Book Antiqua" w:hAnsi="Book Antiqua" w:cs="Arial"/>
          <w:sz w:val="22"/>
          <w:szCs w:val="22"/>
          <w:lang w:eastAsia="en-GB"/>
        </w:rPr>
      </w:pPr>
      <w:r>
        <w:rPr>
          <w:rFonts w:ascii="Book Antiqua" w:hAnsi="Book Antiqua" w:cs="Arial"/>
          <w:sz w:val="22"/>
          <w:szCs w:val="22"/>
          <w:lang w:eastAsia="en-GB"/>
        </w:rPr>
        <w:t>35.</w:t>
      </w:r>
      <w:r>
        <w:rPr>
          <w:rFonts w:ascii="Book Antiqua" w:hAnsi="Book Antiqua" w:cs="Arial"/>
          <w:sz w:val="22"/>
          <w:szCs w:val="22"/>
          <w:lang w:eastAsia="en-GB"/>
        </w:rPr>
        <w:tab/>
      </w:r>
      <w:r w:rsidR="00317903" w:rsidRPr="00317903">
        <w:rPr>
          <w:rFonts w:ascii="Book Antiqua" w:hAnsi="Book Antiqua" w:cs="Arial"/>
          <w:sz w:val="22"/>
          <w:szCs w:val="22"/>
          <w:lang w:eastAsia="en-GB"/>
        </w:rPr>
        <w:t>Of course, different considerations may apply where there is relevant fresh evidence that was not available at the date of the hearing, or a change in the law, and the principle has no application where there is a change in circumstances or there are new events after the date of the decision: see Auld LJ in Boafo at [28]. But this is not such a case."</w:t>
      </w:r>
    </w:p>
    <w:p w:rsidR="008D6815" w:rsidRPr="008D6815" w:rsidRDefault="000343AB" w:rsidP="00BC0D51">
      <w:pPr>
        <w:numPr>
          <w:ilvl w:val="0"/>
          <w:numId w:val="1"/>
        </w:numPr>
        <w:tabs>
          <w:tab w:val="left" w:pos="851"/>
        </w:tabs>
        <w:spacing w:before="240" w:after="240" w:line="360" w:lineRule="auto"/>
        <w:ind w:left="567" w:hanging="567"/>
        <w:jc w:val="both"/>
        <w:rPr>
          <w:rFonts w:ascii="Book Antiqua" w:hAnsi="Book Antiqua" w:cs="Arial"/>
          <w:lang w:eastAsia="en-GB"/>
        </w:rPr>
      </w:pPr>
      <w:r w:rsidRPr="008D6815">
        <w:rPr>
          <w:rFonts w:ascii="Book Antiqua" w:hAnsi="Book Antiqua" w:cs="Arial"/>
          <w:lang w:eastAsia="en-GB"/>
        </w:rPr>
        <w:t xml:space="preserve"> </w:t>
      </w:r>
      <w:r w:rsidRPr="008D6815">
        <w:rPr>
          <w:rFonts w:ascii="Book Antiqua" w:hAnsi="Book Antiqua" w:cs="Arial"/>
        </w:rPr>
        <w:t xml:space="preserve">Procedurally, </w:t>
      </w:r>
      <w:r w:rsidR="00364747" w:rsidRPr="008D6815">
        <w:rPr>
          <w:rFonts w:ascii="Book Antiqua" w:hAnsi="Book Antiqua" w:cs="Arial"/>
        </w:rPr>
        <w:t>the respondent did not simply make a new administrative decision, but was responding to the first appellant’s application, made on 20</w:t>
      </w:r>
      <w:r w:rsidR="00364747" w:rsidRPr="008D6815">
        <w:rPr>
          <w:rFonts w:ascii="Book Antiqua" w:hAnsi="Book Antiqua" w:cs="Arial"/>
          <w:vertAlign w:val="superscript"/>
        </w:rPr>
        <w:t>th</w:t>
      </w:r>
      <w:r w:rsidR="00364747" w:rsidRPr="008D6815">
        <w:rPr>
          <w:rFonts w:ascii="Book Antiqua" w:hAnsi="Book Antiqua" w:cs="Arial"/>
        </w:rPr>
        <w:t xml:space="preserve"> April 2015, for </w:t>
      </w:r>
      <w:r w:rsidR="00364747" w:rsidRPr="008D6815">
        <w:rPr>
          <w:rFonts w:ascii="Book Antiqua" w:hAnsi="Book Antiqua" w:cs="Arial"/>
        </w:rPr>
        <w:lastRenderedPageBreak/>
        <w:t>indefinite leave to remain in the United Kingdom on the grounds of long residence.  That was a further immigration decision carrying a right of appeal</w:t>
      </w:r>
      <w:r w:rsidR="00A45DDF" w:rsidRPr="008D6815">
        <w:rPr>
          <w:rFonts w:ascii="Book Antiqua" w:hAnsi="Book Antiqua" w:cs="Arial"/>
        </w:rPr>
        <w:t>.</w:t>
      </w:r>
      <w:r w:rsidR="008D6815" w:rsidRPr="008D6815">
        <w:rPr>
          <w:rFonts w:ascii="Book Antiqua" w:hAnsi="Book Antiqua" w:cs="Arial"/>
        </w:rPr>
        <w:t xml:space="preserve">  In </w:t>
      </w:r>
      <w:r w:rsidR="008D6815" w:rsidRPr="008D6815">
        <w:rPr>
          <w:rFonts w:ascii="Book Antiqua" w:hAnsi="Book Antiqua" w:cs="Arial"/>
          <w:u w:val="single"/>
        </w:rPr>
        <w:t>TB (Jamaica)</w:t>
      </w:r>
      <w:r w:rsidR="008D6815" w:rsidRPr="008D6815">
        <w:rPr>
          <w:rFonts w:ascii="Book Antiqua" w:hAnsi="Book Antiqua" w:cs="Arial"/>
        </w:rPr>
        <w:t xml:space="preserve">, the </w:t>
      </w:r>
      <w:r w:rsidR="008D6815" w:rsidRPr="008D6815">
        <w:rPr>
          <w:rFonts w:ascii="Book Antiqua" w:hAnsi="Book Antiqua" w:cs="Arial"/>
          <w:lang w:eastAsia="en-GB"/>
        </w:rPr>
        <w:t>Secretary of State had sought to</w:t>
      </w:r>
      <w:r w:rsidR="008D6815">
        <w:rPr>
          <w:rFonts w:ascii="Book Antiqua" w:hAnsi="Book Antiqua" w:cs="Arial"/>
          <w:lang w:eastAsia="en-GB"/>
        </w:rPr>
        <w:t xml:space="preserve"> go behind the decision of the T</w:t>
      </w:r>
      <w:r w:rsidR="008D6815" w:rsidRPr="008D6815">
        <w:rPr>
          <w:rFonts w:ascii="Book Antiqua" w:hAnsi="Book Antiqua" w:cs="Arial"/>
          <w:lang w:eastAsia="en-GB"/>
        </w:rPr>
        <w:t xml:space="preserve">ribunal </w:t>
      </w:r>
      <w:r w:rsidR="008D6815">
        <w:rPr>
          <w:rFonts w:ascii="Book Antiqua" w:hAnsi="Book Antiqua" w:cs="Arial"/>
          <w:lang w:eastAsia="en-GB"/>
        </w:rPr>
        <w:t>and</w:t>
      </w:r>
      <w:r w:rsidR="008D6815" w:rsidRPr="008D6815">
        <w:rPr>
          <w:rFonts w:ascii="Book Antiqua" w:hAnsi="Book Antiqua" w:cs="Arial"/>
          <w:lang w:eastAsia="en-GB"/>
        </w:rPr>
        <w:t xml:space="preserve"> refused to</w:t>
      </w:r>
      <w:r w:rsidR="008D6815">
        <w:rPr>
          <w:rFonts w:ascii="Book Antiqua" w:hAnsi="Book Antiqua" w:cs="Arial"/>
          <w:lang w:eastAsia="en-GB"/>
        </w:rPr>
        <w:t xml:space="preserve"> implement the decision of the T</w:t>
      </w:r>
      <w:r w:rsidR="008D6815" w:rsidRPr="008D6815">
        <w:rPr>
          <w:rFonts w:ascii="Book Antiqua" w:hAnsi="Book Antiqua" w:cs="Arial"/>
          <w:lang w:eastAsia="en-GB"/>
        </w:rPr>
        <w:t xml:space="preserve">ribunal. </w:t>
      </w:r>
      <w:r w:rsidR="00D81668">
        <w:rPr>
          <w:rFonts w:ascii="Book Antiqua" w:hAnsi="Book Antiqua" w:cs="Arial"/>
          <w:lang w:eastAsia="en-GB"/>
        </w:rPr>
        <w:t>Here, the respondent</w:t>
      </w:r>
      <w:r w:rsidR="008D6815" w:rsidRPr="008D6815">
        <w:rPr>
          <w:rFonts w:ascii="Book Antiqua" w:hAnsi="Book Antiqua" w:cs="Arial"/>
          <w:lang w:eastAsia="en-GB"/>
        </w:rPr>
        <w:t xml:space="preserve"> duly complied with the decision</w:t>
      </w:r>
      <w:r w:rsidR="00D81668">
        <w:rPr>
          <w:rFonts w:ascii="Book Antiqua" w:hAnsi="Book Antiqua" w:cs="Arial"/>
          <w:lang w:eastAsia="en-GB"/>
        </w:rPr>
        <w:t xml:space="preserve"> of F</w:t>
      </w:r>
      <w:r w:rsidR="00D81668">
        <w:rPr>
          <w:rFonts w:ascii="Book Antiqua" w:hAnsi="Book Antiqua" w:cs="Arial"/>
          <w:i/>
          <w:lang w:eastAsia="en-GB"/>
        </w:rPr>
        <w:t>t</w:t>
      </w:r>
      <w:r w:rsidR="00D81668">
        <w:rPr>
          <w:rFonts w:ascii="Book Antiqua" w:hAnsi="Book Antiqua" w:cs="Arial"/>
          <w:lang w:eastAsia="en-GB"/>
        </w:rPr>
        <w:t>T Judge Kelsey</w:t>
      </w:r>
      <w:r w:rsidR="008D6815" w:rsidRPr="008D6815">
        <w:rPr>
          <w:rFonts w:ascii="Book Antiqua" w:hAnsi="Book Antiqua" w:cs="Arial"/>
          <w:lang w:eastAsia="en-GB"/>
        </w:rPr>
        <w:t xml:space="preserve"> by gra</w:t>
      </w:r>
      <w:r w:rsidR="00D81668">
        <w:rPr>
          <w:rFonts w:ascii="Book Antiqua" w:hAnsi="Book Antiqua" w:cs="Arial"/>
          <w:lang w:eastAsia="en-GB"/>
        </w:rPr>
        <w:t xml:space="preserve">nting the respondent </w:t>
      </w:r>
      <w:r w:rsidR="008D6815" w:rsidRPr="008D6815">
        <w:rPr>
          <w:rFonts w:ascii="Book Antiqua" w:hAnsi="Book Antiqua" w:cs="Arial"/>
          <w:lang w:eastAsia="en-GB"/>
        </w:rPr>
        <w:t xml:space="preserve">leave to remain. The question of </w:t>
      </w:r>
      <w:r w:rsidR="00D81668">
        <w:rPr>
          <w:rFonts w:ascii="Book Antiqua" w:hAnsi="Book Antiqua" w:cs="Arial"/>
          <w:lang w:eastAsia="en-GB"/>
        </w:rPr>
        <w:t>whether the appellant was entitled to indefinite leave to remain</w:t>
      </w:r>
      <w:r w:rsidR="008D6815" w:rsidRPr="008D6815">
        <w:rPr>
          <w:rFonts w:ascii="Book Antiqua" w:hAnsi="Book Antiqua" w:cs="Arial"/>
          <w:lang w:eastAsia="en-GB"/>
        </w:rPr>
        <w:t xml:space="preserve"> </w:t>
      </w:r>
      <w:r w:rsidR="00D81668">
        <w:rPr>
          <w:rFonts w:ascii="Book Antiqua" w:hAnsi="Book Antiqua" w:cs="Arial"/>
          <w:lang w:eastAsia="en-GB"/>
        </w:rPr>
        <w:t xml:space="preserve">on Article 8 grounds </w:t>
      </w:r>
      <w:r w:rsidR="008D6815" w:rsidRPr="008D6815">
        <w:rPr>
          <w:rFonts w:ascii="Book Antiqua" w:hAnsi="Book Antiqua" w:cs="Arial"/>
          <w:lang w:eastAsia="en-GB"/>
        </w:rPr>
        <w:t xml:space="preserve">was not before </w:t>
      </w:r>
      <w:r w:rsidR="00D81668">
        <w:rPr>
          <w:rFonts w:ascii="Book Antiqua" w:hAnsi="Book Antiqua" w:cs="Arial"/>
          <w:lang w:eastAsia="en-GB"/>
        </w:rPr>
        <w:t>F</w:t>
      </w:r>
      <w:r w:rsidR="00D81668">
        <w:rPr>
          <w:rFonts w:ascii="Book Antiqua" w:hAnsi="Book Antiqua" w:cs="Arial"/>
          <w:i/>
          <w:lang w:eastAsia="en-GB"/>
        </w:rPr>
        <w:t>t</w:t>
      </w:r>
      <w:r w:rsidR="00D81668">
        <w:rPr>
          <w:rFonts w:ascii="Book Antiqua" w:hAnsi="Book Antiqua" w:cs="Arial"/>
          <w:lang w:eastAsia="en-GB"/>
        </w:rPr>
        <w:t>T Judge Kelsey.</w:t>
      </w:r>
    </w:p>
    <w:p w:rsidR="00884B5E" w:rsidRPr="00D81668" w:rsidRDefault="0086139E" w:rsidP="00BC0D51">
      <w:pPr>
        <w:numPr>
          <w:ilvl w:val="0"/>
          <w:numId w:val="1"/>
        </w:numPr>
        <w:tabs>
          <w:tab w:val="left" w:pos="851"/>
        </w:tabs>
        <w:spacing w:before="240" w:after="240" w:line="360" w:lineRule="auto"/>
        <w:ind w:left="567" w:hanging="567"/>
        <w:jc w:val="both"/>
        <w:rPr>
          <w:rFonts w:ascii="Book Antiqua" w:hAnsi="Book Antiqua" w:cs="Arial"/>
          <w:lang w:eastAsia="en-GB"/>
        </w:rPr>
      </w:pPr>
      <w:r w:rsidRPr="00D81668">
        <w:rPr>
          <w:rFonts w:ascii="Book Antiqua" w:hAnsi="Book Antiqua" w:cs="Arial"/>
        </w:rPr>
        <w:t>In deciding t</w:t>
      </w:r>
      <w:r w:rsidR="00D81668">
        <w:rPr>
          <w:rFonts w:ascii="Book Antiqua" w:hAnsi="Book Antiqua" w:cs="Arial"/>
        </w:rPr>
        <w:t xml:space="preserve">he subsequent application for indefinite leave to remain, </w:t>
      </w:r>
      <w:r w:rsidR="008F7C66" w:rsidRPr="00D81668">
        <w:rPr>
          <w:rFonts w:ascii="Book Antiqua" w:hAnsi="Book Antiqua" w:cs="Arial"/>
        </w:rPr>
        <w:t xml:space="preserve">the respondent noted </w:t>
      </w:r>
      <w:r w:rsidR="00884B5E" w:rsidRPr="00D81668">
        <w:rPr>
          <w:rFonts w:ascii="Book Antiqua" w:hAnsi="Book Antiqua" w:cs="Arial"/>
        </w:rPr>
        <w:t>in her decision of 26</w:t>
      </w:r>
      <w:r w:rsidR="00884B5E" w:rsidRPr="00D81668">
        <w:rPr>
          <w:rFonts w:ascii="Book Antiqua" w:hAnsi="Book Antiqua" w:cs="Arial"/>
          <w:vertAlign w:val="superscript"/>
        </w:rPr>
        <w:t>th</w:t>
      </w:r>
      <w:r w:rsidR="00884B5E" w:rsidRPr="00D81668">
        <w:rPr>
          <w:rFonts w:ascii="Book Antiqua" w:hAnsi="Book Antiqua" w:cs="Arial"/>
        </w:rPr>
        <w:t xml:space="preserve"> October 2015 </w:t>
      </w:r>
      <w:r w:rsidR="008F7C66" w:rsidRPr="00D81668">
        <w:rPr>
          <w:rFonts w:ascii="Book Antiqua" w:hAnsi="Book Antiqua" w:cs="Arial"/>
        </w:rPr>
        <w:t>that the letters relied upon by the appellant from HTL dated 12</w:t>
      </w:r>
      <w:r w:rsidR="008F7C66" w:rsidRPr="00D81668">
        <w:rPr>
          <w:rFonts w:ascii="Book Antiqua" w:hAnsi="Book Antiqua" w:cs="Arial"/>
          <w:vertAlign w:val="superscript"/>
        </w:rPr>
        <w:t>th</w:t>
      </w:r>
      <w:r w:rsidR="008F7C66" w:rsidRPr="00D81668">
        <w:rPr>
          <w:rFonts w:ascii="Book Antiqua" w:hAnsi="Book Antiqua" w:cs="Arial"/>
        </w:rPr>
        <w:t xml:space="preserve"> August 2010 and 1</w:t>
      </w:r>
      <w:r w:rsidR="008F7C66" w:rsidRPr="00D81668">
        <w:rPr>
          <w:rFonts w:ascii="Book Antiqua" w:hAnsi="Book Antiqua" w:cs="Arial"/>
          <w:vertAlign w:val="superscript"/>
        </w:rPr>
        <w:t>st</w:t>
      </w:r>
      <w:r w:rsidR="008F7C66" w:rsidRPr="00D81668">
        <w:rPr>
          <w:rFonts w:ascii="Book Antiqua" w:hAnsi="Book Antiqua" w:cs="Arial"/>
        </w:rPr>
        <w:t xml:space="preserve"> September 2010 gave an address of ‘4-6 Old Montague Road, London, E1 5NG’.  A search of the Royal Mail postcode finder revealed that the postcode relates to the address; ‘4-6 Old Montague </w:t>
      </w:r>
      <w:r w:rsidR="008F7C66" w:rsidRPr="00D81668">
        <w:rPr>
          <w:rFonts w:ascii="Book Antiqua" w:hAnsi="Book Antiqua" w:cs="Arial"/>
          <w:u w:val="single"/>
        </w:rPr>
        <w:t>Street</w:t>
      </w:r>
      <w:r w:rsidR="008F7C66" w:rsidRPr="00D81668">
        <w:rPr>
          <w:rFonts w:ascii="Book Antiqua" w:hAnsi="Book Antiqua" w:cs="Arial"/>
        </w:rPr>
        <w:t>, London.’</w:t>
      </w:r>
      <w:r w:rsidR="005D18AD" w:rsidRPr="00D81668">
        <w:rPr>
          <w:rFonts w:ascii="Book Antiqua" w:hAnsi="Book Antiqua" w:cs="Arial"/>
        </w:rPr>
        <w:t xml:space="preserve">.  </w:t>
      </w:r>
      <w:proofErr w:type="gramStart"/>
      <w:r w:rsidR="005D18AD" w:rsidRPr="00D81668">
        <w:rPr>
          <w:rFonts w:ascii="Book Antiqua" w:hAnsi="Book Antiqua" w:cs="Arial"/>
        </w:rPr>
        <w:t>Furthermore</w:t>
      </w:r>
      <w:proofErr w:type="gramEnd"/>
      <w:r w:rsidR="005D18AD" w:rsidRPr="00D81668">
        <w:rPr>
          <w:rFonts w:ascii="Book Antiqua" w:hAnsi="Book Antiqua" w:cs="Arial"/>
        </w:rPr>
        <w:t xml:space="preserve"> an attempt was made by UKBA on 25 August 2010 to contact HTL at the ‘Old Montague Road’ address but the correspondence had been returned by the Post Office marked ‘address incomplete’.  Those enquiries obviously pre-date the hearing of the appeal before F</w:t>
      </w:r>
      <w:r w:rsidR="005D18AD" w:rsidRPr="00D81668">
        <w:rPr>
          <w:rFonts w:ascii="Book Antiqua" w:hAnsi="Book Antiqua" w:cs="Arial"/>
          <w:i/>
        </w:rPr>
        <w:t>t</w:t>
      </w:r>
      <w:r w:rsidR="005D18AD" w:rsidRPr="00D81668">
        <w:rPr>
          <w:rFonts w:ascii="Book Antiqua" w:hAnsi="Book Antiqua" w:cs="Arial"/>
        </w:rPr>
        <w:t>T Judge Kelsey, at which the respondent was not represented.  In my judgment, if the respondent fails to put her case properly before the F</w:t>
      </w:r>
      <w:r w:rsidR="005D18AD" w:rsidRPr="00D81668">
        <w:rPr>
          <w:rFonts w:ascii="Book Antiqua" w:hAnsi="Book Antiqua" w:cs="Arial"/>
          <w:i/>
        </w:rPr>
        <w:t>t</w:t>
      </w:r>
      <w:r w:rsidR="005D18AD" w:rsidRPr="00D81668">
        <w:rPr>
          <w:rFonts w:ascii="Book Antiqua" w:hAnsi="Book Antiqua" w:cs="Arial"/>
        </w:rPr>
        <w:t xml:space="preserve">T, then she suffers the consequences.  Here, the consequence was that </w:t>
      </w:r>
      <w:r w:rsidR="00884B5E" w:rsidRPr="00D81668">
        <w:rPr>
          <w:rFonts w:ascii="Book Antiqua" w:hAnsi="Book Antiqua" w:cs="Arial"/>
        </w:rPr>
        <w:t>F</w:t>
      </w:r>
      <w:r w:rsidR="00884B5E" w:rsidRPr="00D81668">
        <w:rPr>
          <w:rFonts w:ascii="Book Antiqua" w:hAnsi="Book Antiqua" w:cs="Arial"/>
          <w:i/>
        </w:rPr>
        <w:t>t</w:t>
      </w:r>
      <w:r w:rsidR="00884B5E" w:rsidRPr="00D81668">
        <w:rPr>
          <w:rFonts w:ascii="Book Antiqua" w:hAnsi="Book Antiqua" w:cs="Arial"/>
        </w:rPr>
        <w:t xml:space="preserve">T Judge Kelsey was satisfied that the appellant had provided evidence which validated his claim for 25 points in respect of previous earnings. </w:t>
      </w:r>
    </w:p>
    <w:p w:rsidR="007077B6" w:rsidRDefault="00317903"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F</w:t>
      </w:r>
      <w:r>
        <w:rPr>
          <w:rFonts w:ascii="Book Antiqua" w:hAnsi="Book Antiqua" w:cs="Arial"/>
          <w:i/>
        </w:rPr>
        <w:t>t</w:t>
      </w:r>
      <w:r>
        <w:rPr>
          <w:rFonts w:ascii="Book Antiqua" w:hAnsi="Book Antiqua" w:cs="Arial"/>
        </w:rPr>
        <w:t xml:space="preserve">T Judge </w:t>
      </w:r>
      <w:r w:rsidR="00C24098">
        <w:rPr>
          <w:rFonts w:ascii="Book Antiqua" w:hAnsi="Book Antiqua" w:cs="Arial"/>
        </w:rPr>
        <w:t>Kelsey</w:t>
      </w:r>
      <w:r>
        <w:rPr>
          <w:rFonts w:ascii="Book Antiqua" w:hAnsi="Book Antiqua" w:cs="Arial"/>
        </w:rPr>
        <w:t xml:space="preserve"> did not find that the documents relied upon by the appellant regarding his previous earnings were genuine.  I</w:t>
      </w:r>
      <w:r w:rsidR="00884B5E">
        <w:rPr>
          <w:rFonts w:ascii="Book Antiqua" w:hAnsi="Book Antiqua" w:cs="Arial"/>
        </w:rPr>
        <w:t>n reaching his decision as to the appellant’s earnings, F</w:t>
      </w:r>
      <w:r w:rsidR="00884B5E">
        <w:rPr>
          <w:rFonts w:ascii="Book Antiqua" w:hAnsi="Book Antiqua" w:cs="Arial"/>
          <w:i/>
        </w:rPr>
        <w:t>t</w:t>
      </w:r>
      <w:r w:rsidR="00884B5E">
        <w:rPr>
          <w:rFonts w:ascii="Book Antiqua" w:hAnsi="Book Antiqua" w:cs="Arial"/>
        </w:rPr>
        <w:t>T Judge Kelsey noted, at paragraph [22] of his decision</w:t>
      </w:r>
      <w:r w:rsidR="00D81668">
        <w:rPr>
          <w:rFonts w:ascii="Book Antiqua" w:hAnsi="Book Antiqua" w:cs="Arial"/>
        </w:rPr>
        <w:t>,</w:t>
      </w:r>
      <w:r w:rsidR="00884B5E">
        <w:rPr>
          <w:rFonts w:ascii="Book Antiqua" w:hAnsi="Book Antiqua" w:cs="Arial"/>
        </w:rPr>
        <w:t xml:space="preserve"> that the only reason given by the respondent to deny the appellant 25 points for previous earnings, was that UKBA had been unable to get a response from the company HTL.  </w:t>
      </w:r>
      <w:r w:rsidR="00D81668">
        <w:rPr>
          <w:rFonts w:ascii="Book Antiqua" w:hAnsi="Book Antiqua" w:cs="Arial"/>
        </w:rPr>
        <w:t>The J</w:t>
      </w:r>
      <w:r w:rsidR="00884B5E">
        <w:rPr>
          <w:rFonts w:ascii="Book Antiqua" w:hAnsi="Book Antiqua" w:cs="Arial"/>
        </w:rPr>
        <w:t>udge noted that th</w:t>
      </w:r>
      <w:r w:rsidR="00D81668">
        <w:rPr>
          <w:rFonts w:ascii="Book Antiqua" w:hAnsi="Book Antiqua" w:cs="Arial"/>
        </w:rPr>
        <w:t>e company had</w:t>
      </w:r>
      <w:r w:rsidR="00884B5E">
        <w:rPr>
          <w:rFonts w:ascii="Book Antiqua" w:hAnsi="Book Antiqua" w:cs="Arial"/>
        </w:rPr>
        <w:t xml:space="preserve"> written a letter confirming the appellant</w:t>
      </w:r>
      <w:r w:rsidR="00D81668">
        <w:rPr>
          <w:rFonts w:ascii="Book Antiqua" w:hAnsi="Book Antiqua" w:cs="Arial"/>
        </w:rPr>
        <w:t>’</w:t>
      </w:r>
      <w:r w:rsidR="00884B5E">
        <w:rPr>
          <w:rFonts w:ascii="Book Antiqua" w:hAnsi="Book Antiqua" w:cs="Arial"/>
        </w:rPr>
        <w:t>s earnings from that source.  That letter from HTL is dated 14</w:t>
      </w:r>
      <w:r w:rsidR="00884B5E" w:rsidRPr="00884B5E">
        <w:rPr>
          <w:rFonts w:ascii="Book Antiqua" w:hAnsi="Book Antiqua" w:cs="Arial"/>
          <w:vertAlign w:val="superscript"/>
        </w:rPr>
        <w:t>th</w:t>
      </w:r>
      <w:r w:rsidR="00884B5E">
        <w:rPr>
          <w:rFonts w:ascii="Book Antiqua" w:hAnsi="Book Antiqua" w:cs="Arial"/>
        </w:rPr>
        <w:t xml:space="preserve"> February 2011.  The appeal was heard by F</w:t>
      </w:r>
      <w:r w:rsidR="00884B5E">
        <w:rPr>
          <w:rFonts w:ascii="Book Antiqua" w:hAnsi="Book Antiqua" w:cs="Arial"/>
          <w:i/>
        </w:rPr>
        <w:t>t</w:t>
      </w:r>
      <w:r w:rsidR="00884B5E">
        <w:rPr>
          <w:rFonts w:ascii="Book Antiqua" w:hAnsi="Book Antiqua" w:cs="Arial"/>
        </w:rPr>
        <w:t>T Judge Kelsey on 16</w:t>
      </w:r>
      <w:r w:rsidR="00884B5E" w:rsidRPr="00884B5E">
        <w:rPr>
          <w:rFonts w:ascii="Book Antiqua" w:hAnsi="Book Antiqua" w:cs="Arial"/>
          <w:vertAlign w:val="superscript"/>
        </w:rPr>
        <w:t>th</w:t>
      </w:r>
      <w:r w:rsidR="00884B5E">
        <w:rPr>
          <w:rFonts w:ascii="Book Antiqua" w:hAnsi="Book Antiqua" w:cs="Arial"/>
        </w:rPr>
        <w:t xml:space="preserve"> February 2011. </w:t>
      </w:r>
      <w:r w:rsidR="00F247F9">
        <w:rPr>
          <w:rFonts w:ascii="Book Antiqua" w:hAnsi="Book Antiqua" w:cs="Arial"/>
        </w:rPr>
        <w:t xml:space="preserve"> It is not clear when a copy of that letter was provided to the respondent but there appears to have been no </w:t>
      </w:r>
      <w:r w:rsidR="00F247F9">
        <w:rPr>
          <w:rFonts w:ascii="Book Antiqua" w:hAnsi="Book Antiqua" w:cs="Arial"/>
        </w:rPr>
        <w:lastRenderedPageBreak/>
        <w:t xml:space="preserve">opportunity afforded to the respondent to confirm the veracity of the letter that was fundamental to the first appellant’s case, and the outcome of his appeal. </w:t>
      </w:r>
    </w:p>
    <w:p w:rsidR="007077B6" w:rsidRDefault="007077B6"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 xml:space="preserve">In </w:t>
      </w:r>
      <w:r>
        <w:rPr>
          <w:rFonts w:ascii="Book Antiqua" w:hAnsi="Book Antiqua" w:cs="Arial"/>
          <w:u w:val="single"/>
        </w:rPr>
        <w:t>Mabu and Others</w:t>
      </w:r>
      <w:r>
        <w:rPr>
          <w:rFonts w:ascii="Book Antiqua" w:hAnsi="Book Antiqua" w:cs="Arial"/>
        </w:rPr>
        <w:t>, the hearing of the appeal before the</w:t>
      </w:r>
      <w:r w:rsidR="00F247F9">
        <w:rPr>
          <w:rFonts w:ascii="Book Antiqua" w:hAnsi="Book Antiqua" w:cs="Arial"/>
        </w:rPr>
        <w:t xml:space="preserve"> </w:t>
      </w:r>
      <w:r>
        <w:rPr>
          <w:rFonts w:ascii="Book Antiqua" w:hAnsi="Book Antiqua" w:cs="Arial"/>
        </w:rPr>
        <w:t>F</w:t>
      </w:r>
      <w:r>
        <w:rPr>
          <w:rFonts w:ascii="Book Antiqua" w:hAnsi="Book Antiqua" w:cs="Arial"/>
          <w:i/>
        </w:rPr>
        <w:t>t</w:t>
      </w:r>
      <w:r>
        <w:rPr>
          <w:rFonts w:ascii="Book Antiqua" w:hAnsi="Book Antiqua" w:cs="Arial"/>
        </w:rPr>
        <w:t>T</w:t>
      </w:r>
      <w:r w:rsidR="00CA1F9B">
        <w:rPr>
          <w:rFonts w:ascii="Book Antiqua" w:hAnsi="Book Antiqua" w:cs="Arial"/>
        </w:rPr>
        <w:t xml:space="preserve"> Judge had been adjourned on two occasions (</w:t>
      </w:r>
      <w:r w:rsidR="00CA1F9B">
        <w:rPr>
          <w:rFonts w:ascii="Book Antiqua" w:hAnsi="Book Antiqua" w:cs="Arial"/>
          <w:i/>
        </w:rPr>
        <w:t>11</w:t>
      </w:r>
      <w:r w:rsidR="00CA1F9B" w:rsidRPr="00CA1F9B">
        <w:rPr>
          <w:rFonts w:ascii="Book Antiqua" w:hAnsi="Book Antiqua" w:cs="Arial"/>
          <w:i/>
          <w:vertAlign w:val="superscript"/>
        </w:rPr>
        <w:t>th</w:t>
      </w:r>
      <w:r w:rsidR="00CA1F9B">
        <w:rPr>
          <w:rFonts w:ascii="Book Antiqua" w:hAnsi="Book Antiqua" w:cs="Arial"/>
          <w:i/>
        </w:rPr>
        <w:t xml:space="preserve"> April 2008 and 3</w:t>
      </w:r>
      <w:r w:rsidR="00CA1F9B" w:rsidRPr="00CA1F9B">
        <w:rPr>
          <w:rFonts w:ascii="Book Antiqua" w:hAnsi="Book Antiqua" w:cs="Arial"/>
          <w:i/>
          <w:vertAlign w:val="superscript"/>
        </w:rPr>
        <w:t>rd</w:t>
      </w:r>
      <w:r w:rsidR="00CA1F9B">
        <w:rPr>
          <w:rFonts w:ascii="Book Antiqua" w:hAnsi="Book Antiqua" w:cs="Arial"/>
          <w:i/>
        </w:rPr>
        <w:t xml:space="preserve"> June 2008)</w:t>
      </w:r>
      <w:r w:rsidR="00CA1F9B">
        <w:rPr>
          <w:rFonts w:ascii="Book Antiqua" w:hAnsi="Book Antiqua" w:cs="Arial"/>
        </w:rPr>
        <w:t xml:space="preserve"> to allow time for the respondent to make further enquiries in relation to documents that were being relied upon by the appellant. By the date of the hearing on 25</w:t>
      </w:r>
      <w:r w:rsidR="00CA1F9B" w:rsidRPr="00CA1F9B">
        <w:rPr>
          <w:rFonts w:ascii="Book Antiqua" w:hAnsi="Book Antiqua" w:cs="Arial"/>
          <w:vertAlign w:val="superscript"/>
        </w:rPr>
        <w:t>th</w:t>
      </w:r>
      <w:r w:rsidR="00CA1F9B">
        <w:rPr>
          <w:rFonts w:ascii="Book Antiqua" w:hAnsi="Book Antiqua" w:cs="Arial"/>
        </w:rPr>
        <w:t xml:space="preserve"> June 2008, the respondent had not provided any further evidence and neither did she seek an adjournment. The Judge of the F</w:t>
      </w:r>
      <w:r w:rsidR="00CA1F9B">
        <w:rPr>
          <w:rFonts w:ascii="Book Antiqua" w:hAnsi="Book Antiqua" w:cs="Arial"/>
          <w:i/>
        </w:rPr>
        <w:t>t</w:t>
      </w:r>
      <w:r w:rsidR="00CA1F9B">
        <w:rPr>
          <w:rFonts w:ascii="Book Antiqua" w:hAnsi="Book Antiqua" w:cs="Arial"/>
        </w:rPr>
        <w:t>T proceeded to allow the appeal.</w:t>
      </w:r>
      <w:r w:rsidR="00073957">
        <w:rPr>
          <w:rFonts w:ascii="Book Antiqua" w:hAnsi="Book Antiqua" w:cs="Arial"/>
        </w:rPr>
        <w:t xml:space="preserve"> </w:t>
      </w:r>
      <w:r w:rsidR="00CA1F9B">
        <w:rPr>
          <w:rFonts w:ascii="Book Antiqua" w:hAnsi="Book Antiqua" w:cs="Arial"/>
        </w:rPr>
        <w:t xml:space="preserve">  </w:t>
      </w:r>
      <w:r w:rsidR="00317903">
        <w:rPr>
          <w:rFonts w:ascii="Book Antiqua" w:hAnsi="Book Antiqua" w:cs="Arial"/>
        </w:rPr>
        <w:t xml:space="preserve">  </w:t>
      </w:r>
    </w:p>
    <w:p w:rsidR="007077B6" w:rsidRPr="00CA1F9B" w:rsidRDefault="00884B5E" w:rsidP="00BC0D51">
      <w:pPr>
        <w:numPr>
          <w:ilvl w:val="0"/>
          <w:numId w:val="1"/>
        </w:numPr>
        <w:tabs>
          <w:tab w:val="left" w:pos="851"/>
        </w:tabs>
        <w:spacing w:before="240" w:after="240" w:line="360" w:lineRule="auto"/>
        <w:ind w:left="567" w:hanging="567"/>
        <w:jc w:val="both"/>
        <w:rPr>
          <w:rFonts w:ascii="Book Antiqua" w:hAnsi="Book Antiqua" w:cs="Arial"/>
        </w:rPr>
      </w:pPr>
      <w:r w:rsidRPr="007077B6">
        <w:rPr>
          <w:rFonts w:ascii="Book Antiqua" w:hAnsi="Book Antiqua" w:cs="Arial"/>
        </w:rPr>
        <w:t xml:space="preserve">In reaching her </w:t>
      </w:r>
      <w:r w:rsidR="00317903" w:rsidRPr="007077B6">
        <w:rPr>
          <w:rFonts w:ascii="Book Antiqua" w:hAnsi="Book Antiqua" w:cs="Arial"/>
        </w:rPr>
        <w:t xml:space="preserve">subsequent </w:t>
      </w:r>
      <w:r w:rsidRPr="007077B6">
        <w:rPr>
          <w:rFonts w:ascii="Book Antiqua" w:hAnsi="Book Antiqua" w:cs="Arial"/>
        </w:rPr>
        <w:t>decision of 26</w:t>
      </w:r>
      <w:r w:rsidRPr="007077B6">
        <w:rPr>
          <w:rFonts w:ascii="Book Antiqua" w:hAnsi="Book Antiqua" w:cs="Arial"/>
          <w:vertAlign w:val="superscript"/>
        </w:rPr>
        <w:t>th</w:t>
      </w:r>
      <w:r w:rsidRPr="007077B6">
        <w:rPr>
          <w:rFonts w:ascii="Book Antiqua" w:hAnsi="Book Antiqua" w:cs="Arial"/>
        </w:rPr>
        <w:t xml:space="preserve"> O</w:t>
      </w:r>
      <w:r w:rsidR="00F247F9">
        <w:rPr>
          <w:rFonts w:ascii="Book Antiqua" w:hAnsi="Book Antiqua" w:cs="Arial"/>
        </w:rPr>
        <w:t>ctober 2015, the respondent</w:t>
      </w:r>
      <w:r w:rsidRPr="007077B6">
        <w:rPr>
          <w:rFonts w:ascii="Book Antiqua" w:hAnsi="Book Antiqua" w:cs="Arial"/>
        </w:rPr>
        <w:t xml:space="preserve"> relied upon further enquiries undertaken</w:t>
      </w:r>
      <w:r w:rsidR="00073957" w:rsidRPr="007077B6">
        <w:rPr>
          <w:rFonts w:ascii="Book Antiqua" w:hAnsi="Book Antiqua" w:cs="Arial"/>
        </w:rPr>
        <w:t xml:space="preserve"> in September 2015 in respect of the address, ‘4-6 Old Montague Street, London’, to establish whether a business known as HTL</w:t>
      </w:r>
      <w:r w:rsidR="00317903" w:rsidRPr="007077B6">
        <w:rPr>
          <w:rFonts w:ascii="Book Antiqua" w:hAnsi="Book Antiqua" w:cs="Arial"/>
        </w:rPr>
        <w:t xml:space="preserve"> </w:t>
      </w:r>
      <w:r w:rsidR="00F247F9">
        <w:rPr>
          <w:rFonts w:ascii="Book Antiqua" w:hAnsi="Book Antiqua" w:cs="Arial"/>
        </w:rPr>
        <w:t xml:space="preserve">had </w:t>
      </w:r>
      <w:r w:rsidR="00317903" w:rsidRPr="007077B6">
        <w:rPr>
          <w:rFonts w:ascii="Book Antiqua" w:hAnsi="Book Antiqua" w:cs="Arial"/>
        </w:rPr>
        <w:t xml:space="preserve">operated from those premises. </w:t>
      </w:r>
      <w:r w:rsidR="007077B6" w:rsidRPr="007077B6">
        <w:rPr>
          <w:rFonts w:ascii="Book Antiqua" w:hAnsi="Book Antiqua" w:cs="Arial"/>
        </w:rPr>
        <w:t>I</w:t>
      </w:r>
      <w:r w:rsidR="00CA1F9B">
        <w:rPr>
          <w:rFonts w:ascii="Book Antiqua" w:hAnsi="Book Antiqua" w:cs="Arial"/>
        </w:rPr>
        <w:t>n my judgement one of the exceptions</w:t>
      </w:r>
      <w:r w:rsidR="007077B6" w:rsidRPr="007077B6">
        <w:rPr>
          <w:rFonts w:ascii="Book Antiqua" w:hAnsi="Book Antiqua" w:cs="Arial"/>
        </w:rPr>
        <w:t xml:space="preserve"> identified in paragraph </w:t>
      </w:r>
      <w:r w:rsidR="00CA1F9B">
        <w:rPr>
          <w:rFonts w:ascii="Book Antiqua" w:hAnsi="Book Antiqua" w:cs="Arial"/>
        </w:rPr>
        <w:t>[</w:t>
      </w:r>
      <w:r w:rsidR="007077B6" w:rsidRPr="007077B6">
        <w:rPr>
          <w:rFonts w:ascii="Book Antiqua" w:hAnsi="Book Antiqua" w:cs="Arial"/>
        </w:rPr>
        <w:t>35</w:t>
      </w:r>
      <w:r w:rsidR="00CA1F9B">
        <w:rPr>
          <w:rFonts w:ascii="Book Antiqua" w:hAnsi="Book Antiqua" w:cs="Arial"/>
        </w:rPr>
        <w:t>]</w:t>
      </w:r>
      <w:r w:rsidR="007077B6" w:rsidRPr="007077B6">
        <w:rPr>
          <w:rFonts w:ascii="Book Antiqua" w:hAnsi="Book Antiqua" w:cs="Arial"/>
        </w:rPr>
        <w:t xml:space="preserve"> of</w:t>
      </w:r>
      <w:r w:rsidR="00CA1F9B">
        <w:rPr>
          <w:rFonts w:ascii="Book Antiqua" w:hAnsi="Book Antiqua" w:cs="Arial"/>
        </w:rPr>
        <w:t xml:space="preserve"> </w:t>
      </w:r>
      <w:r w:rsidR="00CA1F9B">
        <w:rPr>
          <w:rFonts w:ascii="Book Antiqua" w:hAnsi="Book Antiqua" w:cs="Arial"/>
          <w:u w:val="single"/>
        </w:rPr>
        <w:t>TB (Jamaica)</w:t>
      </w:r>
      <w:r w:rsidR="00CA1F9B">
        <w:rPr>
          <w:rFonts w:ascii="Book Antiqua" w:hAnsi="Book Antiqua" w:cs="Arial"/>
        </w:rPr>
        <w:t xml:space="preserve"> applies.  Here, there </w:t>
      </w:r>
      <w:r w:rsidR="00CA1F9B">
        <w:rPr>
          <w:rFonts w:ascii="Book Antiqua" w:hAnsi="Book Antiqua" w:cs="Arial"/>
          <w:lang w:eastAsia="en-GB"/>
        </w:rPr>
        <w:t>wa</w:t>
      </w:r>
      <w:r w:rsidR="00CA1F9B" w:rsidRPr="00CA1F9B">
        <w:rPr>
          <w:rFonts w:ascii="Book Antiqua" w:hAnsi="Book Antiqua" w:cs="Arial"/>
          <w:lang w:eastAsia="en-GB"/>
        </w:rPr>
        <w:t xml:space="preserve">s relevant fresh evidence </w:t>
      </w:r>
      <w:r w:rsidR="00CA1F9B">
        <w:rPr>
          <w:rFonts w:ascii="Book Antiqua" w:hAnsi="Book Antiqua" w:cs="Arial"/>
          <w:lang w:eastAsia="en-GB"/>
        </w:rPr>
        <w:t>in the form of enquiries carried out by the respondent of the occupants of the premises from which it was claimed that HTL operated</w:t>
      </w:r>
      <w:r w:rsidR="00D81668">
        <w:rPr>
          <w:rFonts w:ascii="Book Antiqua" w:hAnsi="Book Antiqua" w:cs="Arial"/>
          <w:lang w:eastAsia="en-GB"/>
        </w:rPr>
        <w:t>,</w:t>
      </w:r>
      <w:r w:rsidR="00CA1F9B">
        <w:rPr>
          <w:rFonts w:ascii="Book Antiqua" w:hAnsi="Book Antiqua" w:cs="Arial"/>
          <w:lang w:eastAsia="en-GB"/>
        </w:rPr>
        <w:t xml:space="preserve"> t</w:t>
      </w:r>
      <w:r w:rsidR="00CA1F9B" w:rsidRPr="00CA1F9B">
        <w:rPr>
          <w:rFonts w:ascii="Book Antiqua" w:hAnsi="Book Antiqua" w:cs="Arial"/>
          <w:lang w:eastAsia="en-GB"/>
        </w:rPr>
        <w:t>hat was not available at the date of the hearing</w:t>
      </w:r>
      <w:r w:rsidR="00CA1F9B">
        <w:rPr>
          <w:rFonts w:ascii="Book Antiqua" w:hAnsi="Book Antiqua" w:cs="Arial"/>
          <w:lang w:eastAsia="en-GB"/>
        </w:rPr>
        <w:t xml:space="preserve"> before F</w:t>
      </w:r>
      <w:r w:rsidR="00CA1F9B">
        <w:rPr>
          <w:rFonts w:ascii="Book Antiqua" w:hAnsi="Book Antiqua" w:cs="Arial"/>
          <w:i/>
          <w:lang w:eastAsia="en-GB"/>
        </w:rPr>
        <w:t>t</w:t>
      </w:r>
      <w:r w:rsidR="00CA1F9B">
        <w:rPr>
          <w:rFonts w:ascii="Book Antiqua" w:hAnsi="Book Antiqua" w:cs="Arial"/>
          <w:lang w:eastAsia="en-GB"/>
        </w:rPr>
        <w:t xml:space="preserve">T Judge Kelsey.  Furthermore, the letter that had been relied upon by the appellant from </w:t>
      </w:r>
      <w:r w:rsidR="008D6815">
        <w:rPr>
          <w:rFonts w:ascii="Book Antiqua" w:hAnsi="Book Antiqua" w:cs="Arial"/>
          <w:lang w:eastAsia="en-GB"/>
        </w:rPr>
        <w:t>HTL dated 14</w:t>
      </w:r>
      <w:r w:rsidR="008D6815" w:rsidRPr="008D6815">
        <w:rPr>
          <w:rFonts w:ascii="Book Antiqua" w:hAnsi="Book Antiqua" w:cs="Arial"/>
          <w:vertAlign w:val="superscript"/>
          <w:lang w:eastAsia="en-GB"/>
        </w:rPr>
        <w:t>th</w:t>
      </w:r>
      <w:r w:rsidR="008D6815">
        <w:rPr>
          <w:rFonts w:ascii="Book Antiqua" w:hAnsi="Book Antiqua" w:cs="Arial"/>
          <w:lang w:eastAsia="en-GB"/>
        </w:rPr>
        <w:t xml:space="preserve"> February 2011, two days before the hearing of the appeal before F</w:t>
      </w:r>
      <w:r w:rsidR="008D6815">
        <w:rPr>
          <w:rFonts w:ascii="Book Antiqua" w:hAnsi="Book Antiqua" w:cs="Arial"/>
          <w:i/>
          <w:lang w:eastAsia="en-GB"/>
        </w:rPr>
        <w:t>t</w:t>
      </w:r>
      <w:r w:rsidR="008D6815">
        <w:rPr>
          <w:rFonts w:ascii="Book Antiqua" w:hAnsi="Book Antiqua" w:cs="Arial"/>
          <w:lang w:eastAsia="en-GB"/>
        </w:rPr>
        <w:t>T Judge Kelsey, bore the VAT Registration number ‘939 720 77’.  At the hearing before F</w:t>
      </w:r>
      <w:r w:rsidR="008D6815">
        <w:rPr>
          <w:rFonts w:ascii="Book Antiqua" w:hAnsi="Book Antiqua" w:cs="Arial"/>
          <w:i/>
          <w:lang w:eastAsia="en-GB"/>
        </w:rPr>
        <w:t>t</w:t>
      </w:r>
      <w:r w:rsidR="008D6815">
        <w:rPr>
          <w:rFonts w:ascii="Book Antiqua" w:hAnsi="Book Antiqua" w:cs="Arial"/>
          <w:lang w:eastAsia="en-GB"/>
        </w:rPr>
        <w:t xml:space="preserve">T Judge Mayall, it was accepted that that was not a valid VAT Registration number because it did not have the required number of digits. </w:t>
      </w:r>
    </w:p>
    <w:p w:rsidR="00F77FC8" w:rsidRDefault="00D81668"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F</w:t>
      </w:r>
      <w:r>
        <w:rPr>
          <w:rFonts w:ascii="Book Antiqua" w:hAnsi="Book Antiqua" w:cs="Arial"/>
          <w:i/>
        </w:rPr>
        <w:t>t</w:t>
      </w:r>
      <w:r>
        <w:rPr>
          <w:rFonts w:ascii="Book Antiqua" w:hAnsi="Book Antiqua" w:cs="Arial"/>
        </w:rPr>
        <w:t xml:space="preserve">T </w:t>
      </w:r>
      <w:r w:rsidR="00F77FC8" w:rsidRPr="00D81668">
        <w:rPr>
          <w:rFonts w:ascii="Book Antiqua" w:hAnsi="Book Antiqua" w:cs="Arial"/>
        </w:rPr>
        <w:t xml:space="preserve">Judge </w:t>
      </w:r>
      <w:r>
        <w:rPr>
          <w:rFonts w:ascii="Book Antiqua" w:hAnsi="Book Antiqua" w:cs="Arial"/>
        </w:rPr>
        <w:t xml:space="preserve">Mayall </w:t>
      </w:r>
      <w:r w:rsidR="00F77FC8" w:rsidRPr="00D81668">
        <w:rPr>
          <w:rFonts w:ascii="Book Antiqua" w:hAnsi="Book Antiqua" w:cs="Arial"/>
        </w:rPr>
        <w:t xml:space="preserve">correctly identifies the guidance that is set out in </w:t>
      </w:r>
      <w:r w:rsidR="00F77FC8" w:rsidRPr="00D81668">
        <w:rPr>
          <w:rFonts w:ascii="Book Antiqua" w:hAnsi="Book Antiqua" w:cs="Arial"/>
          <w:b/>
          <w:u w:val="single"/>
        </w:rPr>
        <w:t>Devaseelan [2002] UKIAT 00702</w:t>
      </w:r>
      <w:r w:rsidR="00F77FC8" w:rsidRPr="00D81668">
        <w:rPr>
          <w:rFonts w:ascii="Book Antiqua" w:hAnsi="Book Antiqua" w:cs="Arial"/>
        </w:rPr>
        <w:t xml:space="preserve"> and properly notes that the starting point for the p</w:t>
      </w:r>
      <w:r>
        <w:rPr>
          <w:rFonts w:ascii="Book Antiqua" w:hAnsi="Book Antiqua" w:cs="Arial"/>
        </w:rPr>
        <w:t>urposes of the appeal before him</w:t>
      </w:r>
      <w:r w:rsidR="00CF4AEB" w:rsidRPr="00D81668">
        <w:rPr>
          <w:rFonts w:ascii="Book Antiqua" w:hAnsi="Book Antiqua" w:cs="Arial"/>
        </w:rPr>
        <w:t>,</w:t>
      </w:r>
      <w:r w:rsidR="00F77FC8" w:rsidRPr="00D81668">
        <w:rPr>
          <w:rFonts w:ascii="Book Antiqua" w:hAnsi="Book Antiqua" w:cs="Arial"/>
        </w:rPr>
        <w:t xml:space="preserve"> is the previous decision of F</w:t>
      </w:r>
      <w:r w:rsidR="00F77FC8" w:rsidRPr="00D81668">
        <w:rPr>
          <w:rFonts w:ascii="Book Antiqua" w:hAnsi="Book Antiqua" w:cs="Arial"/>
          <w:i/>
        </w:rPr>
        <w:t>t</w:t>
      </w:r>
      <w:r>
        <w:rPr>
          <w:rFonts w:ascii="Book Antiqua" w:hAnsi="Book Antiqua" w:cs="Arial"/>
        </w:rPr>
        <w:t>T Judge Kelsey</w:t>
      </w:r>
      <w:r w:rsidR="00F77FC8" w:rsidRPr="00D81668">
        <w:rPr>
          <w:rFonts w:ascii="Book Antiqua" w:hAnsi="Book Antiqua" w:cs="Arial"/>
        </w:rPr>
        <w:t xml:space="preserve">. </w:t>
      </w:r>
      <w:r>
        <w:rPr>
          <w:rFonts w:ascii="Book Antiqua" w:hAnsi="Book Antiqua" w:cs="Arial"/>
        </w:rPr>
        <w:t>F</w:t>
      </w:r>
      <w:r>
        <w:rPr>
          <w:rFonts w:ascii="Book Antiqua" w:hAnsi="Book Antiqua" w:cs="Arial"/>
          <w:i/>
        </w:rPr>
        <w:t>t</w:t>
      </w:r>
      <w:r>
        <w:rPr>
          <w:rFonts w:ascii="Book Antiqua" w:hAnsi="Book Antiqua" w:cs="Arial"/>
        </w:rPr>
        <w:t>T Judge Mayall noted that the evidence before F</w:t>
      </w:r>
      <w:r>
        <w:rPr>
          <w:rFonts w:ascii="Book Antiqua" w:hAnsi="Book Antiqua" w:cs="Arial"/>
          <w:i/>
        </w:rPr>
        <w:t>t</w:t>
      </w:r>
      <w:r>
        <w:rPr>
          <w:rFonts w:ascii="Book Antiqua" w:hAnsi="Book Antiqua" w:cs="Arial"/>
        </w:rPr>
        <w:t>T Judge Kelsey was very different to the evidence before him, and he did not therefore regard the earlier decision as to the issue of the first appellant’s employment with HTL, as binding upon him.  In my judgement,</w:t>
      </w:r>
      <w:r w:rsidR="00D23B45">
        <w:rPr>
          <w:rFonts w:ascii="Book Antiqua" w:hAnsi="Book Antiqua" w:cs="Arial"/>
        </w:rPr>
        <w:t xml:space="preserve"> that decision of F</w:t>
      </w:r>
      <w:r w:rsidR="00D23B45">
        <w:rPr>
          <w:rFonts w:ascii="Book Antiqua" w:hAnsi="Book Antiqua" w:cs="Arial"/>
          <w:i/>
        </w:rPr>
        <w:t>t</w:t>
      </w:r>
      <w:r w:rsidR="00D23B45">
        <w:rPr>
          <w:rFonts w:ascii="Book Antiqua" w:hAnsi="Book Antiqua" w:cs="Arial"/>
        </w:rPr>
        <w:t>T Judge Mayall is not infected by any error of law.</w:t>
      </w:r>
    </w:p>
    <w:p w:rsidR="00D23B45" w:rsidRDefault="00D23B45"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 xml:space="preserve">In the circumstances I can deal with the second ground on which the appellant has been granted permission to appeal, in short form.  Ms Bond submits that the Judge’s </w:t>
      </w:r>
      <w:r>
        <w:rPr>
          <w:rFonts w:ascii="Book Antiqua" w:hAnsi="Book Antiqua" w:cs="Arial"/>
        </w:rPr>
        <w:lastRenderedPageBreak/>
        <w:t>disposal of the Article 8 claim in one short paragraph, [35], was insufficient and required more explanation.</w:t>
      </w:r>
      <w:r w:rsidR="00CD6D6C">
        <w:rPr>
          <w:rFonts w:ascii="Book Antiqua" w:hAnsi="Book Antiqua" w:cs="Arial"/>
        </w:rPr>
        <w:t xml:space="preserve">  </w:t>
      </w:r>
    </w:p>
    <w:p w:rsidR="00CD6D6C" w:rsidRPr="00CD6D6C" w:rsidRDefault="00CD6D6C" w:rsidP="00BC0D51">
      <w:pPr>
        <w:numPr>
          <w:ilvl w:val="0"/>
          <w:numId w:val="1"/>
        </w:numPr>
        <w:tabs>
          <w:tab w:val="left" w:pos="851"/>
        </w:tabs>
        <w:spacing w:before="240" w:after="240" w:line="360" w:lineRule="auto"/>
        <w:ind w:left="567" w:hanging="567"/>
        <w:jc w:val="both"/>
        <w:rPr>
          <w:rFonts w:ascii="Book Antiqua" w:hAnsi="Book Antiqua" w:cs="Arial"/>
        </w:rPr>
      </w:pPr>
      <w:r w:rsidRPr="00CD6D6C">
        <w:rPr>
          <w:rFonts w:ascii="Book Antiqua" w:hAnsi="Book Antiqua" w:cs="Arial"/>
          <w:bCs/>
        </w:rPr>
        <w:t xml:space="preserve">As Brooke LJ observed in the course of his decision in </w:t>
      </w:r>
      <w:r w:rsidRPr="00CD6D6C">
        <w:rPr>
          <w:rFonts w:ascii="Book Antiqua" w:hAnsi="Book Antiqua" w:cs="Arial"/>
          <w:b/>
          <w:bCs/>
          <w:u w:val="single"/>
        </w:rPr>
        <w:t>R (Iran) v The Secretary of State for the Home Department [2005] EWCA Civ 982</w:t>
      </w:r>
      <w:r w:rsidRPr="00CD6D6C">
        <w:rPr>
          <w:rFonts w:ascii="Book Antiqua" w:hAnsi="Book Antiqua" w:cs="Arial"/>
          <w:bCs/>
        </w:rPr>
        <w:t>, “unjustified complaints” as to an alleged failure to give adequate reasons are all too frequent.  The obligation on a Tribunal is to give reasons in sufficient detail to show the principles on which the Tribunal has acted and the reasons that have led to the decision.  Such reasons need not be elaborate, and do not need to address every argument or every factor which weighed in the decision.  If a Tribunal has not expressly addressed an argument, but if there are grounds on which the argument could properly have been rejected, it should be assumed that the Tribunal acted on such grounds.  It is sufficient that the critical reasons to the decision are recorded.</w:t>
      </w:r>
    </w:p>
    <w:p w:rsidR="005F56D0" w:rsidRDefault="00CD6D6C"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bCs/>
        </w:rPr>
        <w:t xml:space="preserve">Although it is right to note that </w:t>
      </w:r>
      <w:r w:rsidRPr="00CD6D6C">
        <w:rPr>
          <w:rFonts w:ascii="Book Antiqua" w:hAnsi="Book Antiqua" w:cs="Arial"/>
          <w:bCs/>
        </w:rPr>
        <w:t xml:space="preserve">the Judge </w:t>
      </w:r>
      <w:r w:rsidR="004328DE">
        <w:rPr>
          <w:rFonts w:ascii="Book Antiqua" w:hAnsi="Book Antiqua" w:cs="Arial"/>
          <w:bCs/>
        </w:rPr>
        <w:t xml:space="preserve">finally </w:t>
      </w:r>
      <w:r w:rsidRPr="00CD6D6C">
        <w:rPr>
          <w:rFonts w:ascii="Book Antiqua" w:hAnsi="Book Antiqua" w:cs="Arial"/>
          <w:bCs/>
        </w:rPr>
        <w:t>addresses the appellant’s Article 8 claim</w:t>
      </w:r>
      <w:r>
        <w:rPr>
          <w:rFonts w:ascii="Book Antiqua" w:hAnsi="Book Antiqua" w:cs="Arial"/>
          <w:bCs/>
        </w:rPr>
        <w:t xml:space="preserve"> in one short paragraph, in my judgement he did so</w:t>
      </w:r>
      <w:r w:rsidRPr="00CD6D6C">
        <w:rPr>
          <w:rFonts w:ascii="Book Antiqua" w:hAnsi="Book Antiqua" w:cs="Arial"/>
          <w:bCs/>
        </w:rPr>
        <w:t xml:space="preserve"> by reference to </w:t>
      </w:r>
      <w:r w:rsidR="004328DE">
        <w:rPr>
          <w:rFonts w:ascii="Book Antiqua" w:hAnsi="Book Antiqua" w:cs="Arial"/>
          <w:bCs/>
        </w:rPr>
        <w:t xml:space="preserve">all </w:t>
      </w:r>
      <w:r w:rsidRPr="00CD6D6C">
        <w:rPr>
          <w:rFonts w:ascii="Book Antiqua" w:hAnsi="Book Antiqua" w:cs="Arial"/>
          <w:bCs/>
        </w:rPr>
        <w:t>the evidence before him</w:t>
      </w:r>
      <w:r w:rsidR="004328DE">
        <w:rPr>
          <w:rFonts w:ascii="Book Antiqua" w:hAnsi="Book Antiqua" w:cs="Arial"/>
          <w:bCs/>
        </w:rPr>
        <w:t xml:space="preserve"> and the findings that he made.  The decision must be read as a whole</w:t>
      </w:r>
      <w:r w:rsidRPr="00CD6D6C">
        <w:rPr>
          <w:rFonts w:ascii="Book Antiqua" w:hAnsi="Book Antiqua" w:cs="Arial"/>
          <w:bCs/>
        </w:rPr>
        <w:t>.</w:t>
      </w:r>
      <w:r>
        <w:rPr>
          <w:rFonts w:ascii="Book Antiqua" w:hAnsi="Book Antiqua" w:cs="Arial"/>
          <w:bCs/>
        </w:rPr>
        <w:t xml:space="preserve">  The Judge notes at paragraph [35] that he was not given any meaningful details as to the private and family of the appellants in the UK.  </w:t>
      </w:r>
      <w:r>
        <w:rPr>
          <w:rFonts w:ascii="Book Antiqua" w:hAnsi="Book Antiqua" w:cs="Arial"/>
        </w:rPr>
        <w:t>It was conceded before F</w:t>
      </w:r>
      <w:r>
        <w:rPr>
          <w:rFonts w:ascii="Book Antiqua" w:hAnsi="Book Antiqua" w:cs="Arial"/>
          <w:i/>
        </w:rPr>
        <w:t>t</w:t>
      </w:r>
      <w:r>
        <w:rPr>
          <w:rFonts w:ascii="Book Antiqua" w:hAnsi="Book Antiqua" w:cs="Arial"/>
        </w:rPr>
        <w:t>T Judge Mayall, that if the Tribunal was satisfied that the first appellant had used deception to procure his leave to remain, it could not be said that the decision to refuse his application for indefinite leave to remain, or to curtail the appellants leave to remain, could amount to unlawful interference with their Article 8 rights.</w:t>
      </w:r>
    </w:p>
    <w:p w:rsidR="00CD6D6C" w:rsidRPr="005F56D0" w:rsidRDefault="00CD6D6C"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It is clear that F</w:t>
      </w:r>
      <w:r>
        <w:rPr>
          <w:rFonts w:ascii="Book Antiqua" w:hAnsi="Book Antiqua" w:cs="Arial"/>
          <w:i/>
        </w:rPr>
        <w:t>t</w:t>
      </w:r>
      <w:r>
        <w:rPr>
          <w:rFonts w:ascii="Book Antiqua" w:hAnsi="Book Antiqua" w:cs="Arial"/>
        </w:rPr>
        <w:t>T Judge Mayall proceede</w:t>
      </w:r>
      <w:r w:rsidR="004328DE">
        <w:rPr>
          <w:rFonts w:ascii="Book Antiqua" w:hAnsi="Book Antiqua" w:cs="Arial"/>
        </w:rPr>
        <w:t>d on the basis that the appeal</w:t>
      </w:r>
      <w:r>
        <w:rPr>
          <w:rFonts w:ascii="Book Antiqua" w:hAnsi="Book Antiqua" w:cs="Arial"/>
        </w:rPr>
        <w:t xml:space="preserve"> before him was a human rights appeal.  The appellants did not advance a wider Article 8 claim based upon particular factors upon which t</w:t>
      </w:r>
      <w:r w:rsidR="004328DE">
        <w:rPr>
          <w:rFonts w:ascii="Book Antiqua" w:hAnsi="Book Antiqua" w:cs="Arial"/>
        </w:rPr>
        <w:t>hey relied to support a claim</w:t>
      </w:r>
      <w:r>
        <w:rPr>
          <w:rFonts w:ascii="Book Antiqua" w:hAnsi="Book Antiqua" w:cs="Arial"/>
        </w:rPr>
        <w:t xml:space="preserve"> that the refusal of the application for indefinite leave to remain and or curtailment of leave</w:t>
      </w:r>
      <w:r w:rsidR="004328DE">
        <w:rPr>
          <w:rFonts w:ascii="Book Antiqua" w:hAnsi="Book Antiqua" w:cs="Arial"/>
        </w:rPr>
        <w:t>,</w:t>
      </w:r>
      <w:r>
        <w:rPr>
          <w:rFonts w:ascii="Book Antiqua" w:hAnsi="Book Antiqua" w:cs="Arial"/>
        </w:rPr>
        <w:t xml:space="preserve"> would be disproportionate to the legitimate aim of immigration control. </w:t>
      </w:r>
      <w:r w:rsidRPr="0059477A">
        <w:rPr>
          <w:rFonts w:ascii="Book Antiqua" w:hAnsi="Book Antiqua" w:cs="Arial"/>
          <w:bCs/>
        </w:rPr>
        <w:t xml:space="preserve">It is now well established that </w:t>
      </w:r>
      <w:r w:rsidRPr="0059477A">
        <w:rPr>
          <w:rFonts w:ascii="Book Antiqua" w:hAnsi="Book Antiqua" w:cs="Arial"/>
          <w:bCs/>
          <w:lang w:val="en-US"/>
        </w:rPr>
        <w:t>although there is a legal duty to give a brief explanation of the conclusions on the central issue on which the appeal is determined, those reasons need not be extensive if the decision as a whole makes sense, having regard to the material accepted by the Judge.</w:t>
      </w:r>
      <w:r>
        <w:rPr>
          <w:rFonts w:ascii="Book Antiqua" w:hAnsi="Book Antiqua" w:cs="Arial"/>
          <w:bCs/>
          <w:lang w:val="en-US"/>
        </w:rPr>
        <w:t xml:space="preserve">  </w:t>
      </w:r>
      <w:r w:rsidR="00B15B18">
        <w:rPr>
          <w:rFonts w:ascii="Book Antiqua" w:hAnsi="Book Antiqua" w:cs="Arial"/>
          <w:bCs/>
          <w:lang w:val="en-US"/>
        </w:rPr>
        <w:t>Here, F</w:t>
      </w:r>
      <w:r w:rsidR="00B15B18">
        <w:rPr>
          <w:rFonts w:ascii="Book Antiqua" w:hAnsi="Book Antiqua" w:cs="Arial"/>
          <w:bCs/>
          <w:i/>
          <w:lang w:val="en-US"/>
        </w:rPr>
        <w:t>t</w:t>
      </w:r>
      <w:r w:rsidR="00B15B18">
        <w:rPr>
          <w:rFonts w:ascii="Book Antiqua" w:hAnsi="Book Antiqua" w:cs="Arial"/>
          <w:bCs/>
          <w:lang w:val="en-US"/>
        </w:rPr>
        <w:t xml:space="preserve">T Judge Mayall found the first appellant not to be </w:t>
      </w:r>
      <w:r w:rsidR="004328DE">
        <w:rPr>
          <w:rFonts w:ascii="Book Antiqua" w:hAnsi="Book Antiqua" w:cs="Arial"/>
          <w:bCs/>
          <w:lang w:val="en-US"/>
        </w:rPr>
        <w:t xml:space="preserve">an </w:t>
      </w:r>
      <w:r w:rsidR="004328DE">
        <w:rPr>
          <w:rFonts w:ascii="Book Antiqua" w:hAnsi="Book Antiqua" w:cs="Arial"/>
          <w:bCs/>
          <w:lang w:val="en-US"/>
        </w:rPr>
        <w:lastRenderedPageBreak/>
        <w:t xml:space="preserve">honest or </w:t>
      </w:r>
      <w:r w:rsidR="00B15B18">
        <w:rPr>
          <w:rFonts w:ascii="Book Antiqua" w:hAnsi="Book Antiqua" w:cs="Arial"/>
          <w:bCs/>
          <w:lang w:val="en-US"/>
        </w:rPr>
        <w:t xml:space="preserve">credible witness, and found that he used deception to obtain his previous leave to remain. It was accepted on his behalf that if the Judge was satisfied that he did use deception to procure his last leave to remain, it could not be said that the decisions amounted to an unlawful interference with the appellants Article 8 rights.  In my judgement it was open to the Judge to dismiss the appeal on human rights grounds for the reasons given. </w:t>
      </w:r>
    </w:p>
    <w:p w:rsidR="005F56D0" w:rsidRPr="005F56D0" w:rsidRDefault="005F56D0" w:rsidP="00F31541">
      <w:pPr>
        <w:tabs>
          <w:tab w:val="left" w:pos="851"/>
        </w:tabs>
        <w:spacing w:before="360" w:after="360" w:line="360" w:lineRule="auto"/>
        <w:ind w:left="73"/>
        <w:jc w:val="both"/>
        <w:rPr>
          <w:rFonts w:ascii="Book Antiqua" w:hAnsi="Book Antiqua" w:cs="Arial"/>
        </w:rPr>
      </w:pPr>
      <w:r w:rsidRPr="005F56D0">
        <w:rPr>
          <w:rFonts w:ascii="Book Antiqua" w:hAnsi="Book Antiqua" w:cs="Arial"/>
          <w:b/>
          <w:u w:val="single"/>
        </w:rPr>
        <w:t>Notice of Decision</w:t>
      </w:r>
    </w:p>
    <w:p w:rsidR="005F56D0" w:rsidRPr="005F56D0" w:rsidRDefault="00B15B18"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The appeal is dismissed</w:t>
      </w:r>
      <w:r w:rsidR="005F56D0" w:rsidRPr="005F56D0">
        <w:rPr>
          <w:rFonts w:ascii="Book Antiqua" w:hAnsi="Book Antiqua" w:cs="Arial"/>
        </w:rPr>
        <w:t>.</w:t>
      </w:r>
    </w:p>
    <w:p w:rsidR="005F56D0" w:rsidRPr="005F56D0" w:rsidRDefault="00B15B18" w:rsidP="00BC0D51">
      <w:pPr>
        <w:numPr>
          <w:ilvl w:val="0"/>
          <w:numId w:val="1"/>
        </w:numPr>
        <w:tabs>
          <w:tab w:val="left" w:pos="851"/>
        </w:tabs>
        <w:spacing w:before="240" w:after="240" w:line="360" w:lineRule="auto"/>
        <w:ind w:left="567" w:hanging="567"/>
        <w:jc w:val="both"/>
        <w:rPr>
          <w:rFonts w:ascii="Book Antiqua" w:hAnsi="Book Antiqua" w:cs="Arial"/>
        </w:rPr>
      </w:pPr>
      <w:r>
        <w:rPr>
          <w:rFonts w:ascii="Book Antiqua" w:hAnsi="Book Antiqua" w:cs="Arial"/>
        </w:rPr>
        <w:t>T</w:t>
      </w:r>
      <w:r w:rsidR="005F56D0" w:rsidRPr="005F56D0">
        <w:rPr>
          <w:rFonts w:ascii="Book Antiqua" w:hAnsi="Book Antiqua" w:cs="Arial"/>
        </w:rPr>
        <w:t xml:space="preserve">he </w:t>
      </w:r>
      <w:r>
        <w:rPr>
          <w:rFonts w:ascii="Book Antiqua" w:hAnsi="Book Antiqua" w:cs="Arial"/>
        </w:rPr>
        <w:t xml:space="preserve">decision of </w:t>
      </w:r>
      <w:r w:rsidR="005F56D0" w:rsidRPr="005F56D0">
        <w:rPr>
          <w:rFonts w:ascii="Book Antiqua" w:hAnsi="Book Antiqua" w:cs="Arial"/>
        </w:rPr>
        <w:t>First-</w:t>
      </w:r>
      <w:r>
        <w:rPr>
          <w:rFonts w:ascii="Book Antiqua" w:hAnsi="Book Antiqua" w:cs="Arial"/>
        </w:rPr>
        <w:t>tier Tribunal Mayall stands</w:t>
      </w:r>
      <w:r w:rsidR="005F56D0" w:rsidRPr="005F56D0">
        <w:rPr>
          <w:rFonts w:ascii="Book Antiqua" w:hAnsi="Book Antiqua" w:cs="Arial"/>
        </w:rPr>
        <w:t>.</w:t>
      </w:r>
    </w:p>
    <w:p w:rsidR="005F56D0" w:rsidRPr="005F56D0" w:rsidRDefault="005F56D0" w:rsidP="00F31541">
      <w:pPr>
        <w:tabs>
          <w:tab w:val="left" w:pos="851"/>
        </w:tabs>
        <w:spacing w:before="360" w:after="360" w:line="360" w:lineRule="auto"/>
        <w:ind w:left="73"/>
        <w:jc w:val="both"/>
        <w:rPr>
          <w:rFonts w:ascii="Book Antiqua" w:hAnsi="Book Antiqua" w:cs="Arial"/>
        </w:rPr>
      </w:pPr>
    </w:p>
    <w:p w:rsidR="005F56D0" w:rsidRPr="005F56D0" w:rsidRDefault="005F56D0" w:rsidP="002039BE">
      <w:pPr>
        <w:tabs>
          <w:tab w:val="left" w:pos="851"/>
        </w:tabs>
        <w:spacing w:before="360" w:after="360" w:line="360" w:lineRule="auto"/>
        <w:jc w:val="both"/>
        <w:rPr>
          <w:rFonts w:ascii="Book Antiqua" w:hAnsi="Book Antiqua" w:cs="Arial"/>
        </w:rPr>
      </w:pPr>
      <w:r w:rsidRPr="005F56D0">
        <w:rPr>
          <w:rFonts w:ascii="Book Antiqua" w:hAnsi="Book Antiqua" w:cs="Arial"/>
        </w:rPr>
        <w:t>Signed</w:t>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t>Date</w:t>
      </w:r>
      <w:r w:rsidR="002039BE">
        <w:rPr>
          <w:rFonts w:ascii="Book Antiqua" w:hAnsi="Book Antiqua" w:cs="Arial"/>
        </w:rPr>
        <w:tab/>
      </w:r>
      <w:r w:rsidR="002039BE">
        <w:rPr>
          <w:rFonts w:ascii="Book Antiqua" w:hAnsi="Book Antiqua" w:cs="Arial"/>
        </w:rPr>
        <w:tab/>
      </w:r>
      <w:r w:rsidR="00B15B18">
        <w:rPr>
          <w:rFonts w:ascii="Book Antiqua" w:hAnsi="Book Antiqua" w:cs="Arial"/>
        </w:rPr>
        <w:t>30</w:t>
      </w:r>
      <w:r w:rsidR="00B15B18" w:rsidRPr="00B15B18">
        <w:rPr>
          <w:rFonts w:ascii="Book Antiqua" w:hAnsi="Book Antiqua" w:cs="Arial"/>
          <w:vertAlign w:val="superscript"/>
        </w:rPr>
        <w:t>th</w:t>
      </w:r>
      <w:r w:rsidR="00B15B18">
        <w:rPr>
          <w:rFonts w:ascii="Book Antiqua" w:hAnsi="Book Antiqua" w:cs="Arial"/>
        </w:rPr>
        <w:t xml:space="preserve"> March 2018</w:t>
      </w:r>
    </w:p>
    <w:p w:rsidR="005F56D0" w:rsidRPr="002039BE" w:rsidRDefault="005F56D0" w:rsidP="002039BE">
      <w:pPr>
        <w:tabs>
          <w:tab w:val="left" w:pos="851"/>
        </w:tabs>
        <w:spacing w:before="360" w:after="360" w:line="360" w:lineRule="auto"/>
        <w:jc w:val="both"/>
        <w:rPr>
          <w:rFonts w:ascii="Book Antiqua" w:hAnsi="Book Antiqua" w:cs="Arial"/>
        </w:rPr>
      </w:pPr>
      <w:r w:rsidRPr="002039BE">
        <w:rPr>
          <w:rFonts w:ascii="Book Antiqua" w:hAnsi="Book Antiqua" w:cs="Arial"/>
        </w:rPr>
        <w:t xml:space="preserve">Deputy Upper Tribunal Judge Mandalia </w:t>
      </w:r>
    </w:p>
    <w:p w:rsidR="002039BE" w:rsidRDefault="002039BE" w:rsidP="002039BE">
      <w:pPr>
        <w:tabs>
          <w:tab w:val="left" w:pos="851"/>
        </w:tabs>
        <w:spacing w:before="360" w:after="360" w:line="360" w:lineRule="auto"/>
        <w:jc w:val="both"/>
        <w:rPr>
          <w:rFonts w:ascii="Book Antiqua" w:hAnsi="Book Antiqua" w:cs="Arial"/>
          <w:b/>
          <w:u w:val="single"/>
        </w:rPr>
      </w:pPr>
    </w:p>
    <w:p w:rsidR="005F56D0" w:rsidRPr="002039BE" w:rsidRDefault="005F56D0" w:rsidP="002039BE">
      <w:pPr>
        <w:tabs>
          <w:tab w:val="left" w:pos="851"/>
        </w:tabs>
        <w:spacing w:before="360" w:after="360" w:line="360" w:lineRule="auto"/>
        <w:jc w:val="both"/>
        <w:rPr>
          <w:rFonts w:ascii="Book Antiqua" w:hAnsi="Book Antiqua" w:cs="Arial"/>
          <w:b/>
          <w:u w:val="single"/>
        </w:rPr>
      </w:pPr>
      <w:r w:rsidRPr="002039BE">
        <w:rPr>
          <w:rFonts w:ascii="Book Antiqua" w:hAnsi="Book Antiqua" w:cs="Arial"/>
          <w:b/>
          <w:u w:val="single"/>
        </w:rPr>
        <w:t>FEE AWARD</w:t>
      </w:r>
    </w:p>
    <w:p w:rsidR="005F56D0" w:rsidRPr="005F56D0" w:rsidRDefault="005F56D0" w:rsidP="002039BE">
      <w:pPr>
        <w:tabs>
          <w:tab w:val="left" w:pos="851"/>
        </w:tabs>
        <w:spacing w:before="360" w:after="360" w:line="360" w:lineRule="auto"/>
        <w:jc w:val="both"/>
        <w:rPr>
          <w:rFonts w:ascii="Book Antiqua" w:hAnsi="Book Antiqua" w:cs="Arial"/>
        </w:rPr>
      </w:pPr>
      <w:r w:rsidRPr="005F56D0">
        <w:rPr>
          <w:rFonts w:ascii="Book Antiqua" w:hAnsi="Book Antiqua" w:cs="Arial"/>
        </w:rPr>
        <w:t xml:space="preserve">As I have </w:t>
      </w:r>
      <w:r w:rsidR="00B15B18">
        <w:rPr>
          <w:rFonts w:ascii="Book Antiqua" w:hAnsi="Book Antiqua" w:cs="Arial"/>
        </w:rPr>
        <w:t xml:space="preserve">dismissed the appeal </w:t>
      </w:r>
      <w:r w:rsidRPr="005F56D0">
        <w:rPr>
          <w:rFonts w:ascii="Book Antiqua" w:hAnsi="Book Antiqua" w:cs="Arial"/>
        </w:rPr>
        <w:t>I make no fee award.</w:t>
      </w:r>
    </w:p>
    <w:p w:rsidR="00BC0D51" w:rsidRDefault="00BC0D51" w:rsidP="002039BE">
      <w:pPr>
        <w:tabs>
          <w:tab w:val="left" w:pos="851"/>
        </w:tabs>
        <w:spacing w:before="360" w:after="360" w:line="360" w:lineRule="auto"/>
        <w:jc w:val="both"/>
        <w:rPr>
          <w:rFonts w:ascii="Book Antiqua" w:hAnsi="Book Antiqua" w:cs="Arial"/>
        </w:rPr>
      </w:pPr>
    </w:p>
    <w:p w:rsidR="005F56D0" w:rsidRPr="005F56D0" w:rsidRDefault="005F56D0" w:rsidP="002039BE">
      <w:pPr>
        <w:tabs>
          <w:tab w:val="left" w:pos="851"/>
        </w:tabs>
        <w:spacing w:before="360" w:after="360" w:line="360" w:lineRule="auto"/>
        <w:jc w:val="both"/>
        <w:rPr>
          <w:rFonts w:ascii="Book Antiqua" w:hAnsi="Book Antiqua" w:cs="Arial"/>
        </w:rPr>
      </w:pPr>
      <w:r w:rsidRPr="005F56D0">
        <w:rPr>
          <w:rFonts w:ascii="Book Antiqua" w:hAnsi="Book Antiqua" w:cs="Arial"/>
        </w:rPr>
        <w:t>Signed</w:t>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r>
      <w:r w:rsidRPr="005F56D0">
        <w:rPr>
          <w:rFonts w:ascii="Book Antiqua" w:hAnsi="Book Antiqua" w:cs="Arial"/>
        </w:rPr>
        <w:tab/>
        <w:t>Date</w:t>
      </w:r>
      <w:r w:rsidR="002039BE">
        <w:rPr>
          <w:rFonts w:ascii="Book Antiqua" w:hAnsi="Book Antiqua" w:cs="Arial"/>
        </w:rPr>
        <w:tab/>
      </w:r>
      <w:r w:rsidR="002039BE">
        <w:rPr>
          <w:rFonts w:ascii="Book Antiqua" w:hAnsi="Book Antiqua" w:cs="Arial"/>
        </w:rPr>
        <w:tab/>
      </w:r>
      <w:r w:rsidR="00B15B18">
        <w:rPr>
          <w:rFonts w:ascii="Book Antiqua" w:hAnsi="Book Antiqua" w:cs="Arial"/>
        </w:rPr>
        <w:t>30</w:t>
      </w:r>
      <w:r w:rsidR="00B15B18" w:rsidRPr="00B15B18">
        <w:rPr>
          <w:rFonts w:ascii="Book Antiqua" w:hAnsi="Book Antiqua" w:cs="Arial"/>
          <w:vertAlign w:val="superscript"/>
        </w:rPr>
        <w:t>th</w:t>
      </w:r>
      <w:r w:rsidR="00B15B18">
        <w:rPr>
          <w:rFonts w:ascii="Book Antiqua" w:hAnsi="Book Antiqua" w:cs="Arial"/>
        </w:rPr>
        <w:t xml:space="preserve"> March 2018</w:t>
      </w:r>
    </w:p>
    <w:p w:rsidR="005F56D0" w:rsidRPr="002039BE" w:rsidRDefault="005F56D0" w:rsidP="002039BE">
      <w:pPr>
        <w:tabs>
          <w:tab w:val="left" w:pos="851"/>
        </w:tabs>
        <w:spacing w:before="360" w:after="360" w:line="360" w:lineRule="auto"/>
        <w:jc w:val="both"/>
        <w:rPr>
          <w:rFonts w:ascii="Book Antiqua" w:hAnsi="Book Antiqua" w:cs="Arial"/>
        </w:rPr>
      </w:pPr>
      <w:r w:rsidRPr="002039BE">
        <w:rPr>
          <w:rFonts w:ascii="Book Antiqua" w:hAnsi="Book Antiqua" w:cs="Arial"/>
        </w:rPr>
        <w:t xml:space="preserve">Deputy Upper Tribunal Judge Mandalia </w:t>
      </w:r>
    </w:p>
    <w:p w:rsidR="0062078F" w:rsidRDefault="005E761F" w:rsidP="00C22C81">
      <w:pPr>
        <w:spacing w:before="360" w:after="360" w:line="360" w:lineRule="auto"/>
        <w:jc w:val="both"/>
        <w:rPr>
          <w:rFonts w:ascii="Book Antiqua" w:hAnsi="Book Antiqua" w:cs="Arial"/>
          <w:color w:val="000000"/>
        </w:rPr>
      </w:pPr>
      <w:r>
        <w:rPr>
          <w:rFonts w:ascii="Book Antiqua" w:hAnsi="Book Antiqua" w:cs="Arial"/>
          <w:color w:val="000000"/>
        </w:rPr>
        <w:t xml:space="preserve"> </w:t>
      </w:r>
    </w:p>
    <w:sectPr w:rsidR="0062078F" w:rsidSect="00415080">
      <w:headerReference w:type="default" r:id="rId8"/>
      <w:footerReference w:type="default" r:id="rId9"/>
      <w:footerReference w:type="first" r:id="rId10"/>
      <w:pgSz w:w="11906" w:h="16838"/>
      <w:pgMar w:top="1440"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137" w:rsidRDefault="00E60137">
      <w:r>
        <w:separator/>
      </w:r>
    </w:p>
  </w:endnote>
  <w:endnote w:type="continuationSeparator" w:id="0">
    <w:p w:rsidR="00E60137" w:rsidRDefault="00E60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621" w:rsidRPr="00BC0D51" w:rsidRDefault="00666621">
    <w:pPr>
      <w:pStyle w:val="Footer"/>
      <w:jc w:val="center"/>
      <w:rPr>
        <w:rFonts w:ascii="Book Antiqua" w:hAnsi="Book Antiqua"/>
        <w:sz w:val="20"/>
        <w:szCs w:val="20"/>
      </w:rPr>
    </w:pPr>
    <w:r w:rsidRPr="00BC0D51">
      <w:rPr>
        <w:rFonts w:ascii="Book Antiqua" w:hAnsi="Book Antiqua"/>
        <w:sz w:val="20"/>
        <w:szCs w:val="20"/>
      </w:rPr>
      <w:fldChar w:fldCharType="begin"/>
    </w:r>
    <w:r w:rsidRPr="00BC0D51">
      <w:rPr>
        <w:rFonts w:ascii="Book Antiqua" w:hAnsi="Book Antiqua"/>
        <w:sz w:val="20"/>
        <w:szCs w:val="20"/>
      </w:rPr>
      <w:instrText xml:space="preserve"> PAGE   \* MERGEFORMAT </w:instrText>
    </w:r>
    <w:r w:rsidRPr="00BC0D51">
      <w:rPr>
        <w:rFonts w:ascii="Book Antiqua" w:hAnsi="Book Antiqua"/>
        <w:sz w:val="20"/>
        <w:szCs w:val="20"/>
      </w:rPr>
      <w:fldChar w:fldCharType="separate"/>
    </w:r>
    <w:r w:rsidR="004C6CCD">
      <w:rPr>
        <w:rFonts w:ascii="Book Antiqua" w:hAnsi="Book Antiqua"/>
        <w:noProof/>
        <w:sz w:val="20"/>
        <w:szCs w:val="20"/>
      </w:rPr>
      <w:t>11</w:t>
    </w:r>
    <w:r w:rsidRPr="00BC0D51">
      <w:rPr>
        <w:rFonts w:ascii="Book Antiqua" w:hAnsi="Book Antiqu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621" w:rsidRPr="00BC0D51" w:rsidRDefault="00666621" w:rsidP="00666621">
    <w:pPr>
      <w:pStyle w:val="Footer"/>
      <w:jc w:val="center"/>
      <w:rPr>
        <w:rFonts w:ascii="Book Antiqua" w:hAnsi="Book Antiqua"/>
        <w:b/>
      </w:rPr>
    </w:pPr>
    <w:r w:rsidRPr="00BC0D51">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137" w:rsidRDefault="00E60137">
      <w:r>
        <w:separator/>
      </w:r>
    </w:p>
  </w:footnote>
  <w:footnote w:type="continuationSeparator" w:id="0">
    <w:p w:rsidR="00E60137" w:rsidRDefault="00E60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FE6" w:rsidRPr="00BC0D51" w:rsidRDefault="00551CC2" w:rsidP="00F707C7">
    <w:pPr>
      <w:pStyle w:val="Header"/>
      <w:jc w:val="right"/>
      <w:rPr>
        <w:rFonts w:ascii="Book Antiqua" w:hAnsi="Book Antiqua"/>
        <w:sz w:val="20"/>
        <w:szCs w:val="20"/>
      </w:rPr>
    </w:pPr>
    <w:r w:rsidRPr="00BC0D51">
      <w:rPr>
        <w:rFonts w:ascii="Book Antiqua" w:hAnsi="Book Antiqua"/>
        <w:sz w:val="20"/>
        <w:szCs w:val="20"/>
      </w:rPr>
      <w:t xml:space="preserve">Appeal number: </w:t>
    </w:r>
    <w:r w:rsidR="00196FE6" w:rsidRPr="00BC0D51">
      <w:rPr>
        <w:rFonts w:ascii="Book Antiqua" w:hAnsi="Book Antiqua"/>
        <w:sz w:val="20"/>
        <w:szCs w:val="20"/>
      </w:rPr>
      <w:t>HU/10368/2015</w:t>
    </w:r>
  </w:p>
  <w:p w:rsidR="00196FE6" w:rsidRPr="00BC0D51" w:rsidRDefault="00196FE6" w:rsidP="00F707C7">
    <w:pPr>
      <w:pStyle w:val="Header"/>
      <w:jc w:val="right"/>
      <w:rPr>
        <w:rFonts w:ascii="Book Antiqua" w:hAnsi="Book Antiqua"/>
        <w:sz w:val="20"/>
        <w:szCs w:val="20"/>
      </w:rPr>
    </w:pPr>
    <w:r w:rsidRPr="00BC0D51">
      <w:rPr>
        <w:rFonts w:ascii="Book Antiqua" w:hAnsi="Book Antiqua"/>
        <w:sz w:val="20"/>
        <w:szCs w:val="20"/>
      </w:rPr>
      <w:t>HU/10362/2015</w:t>
    </w:r>
  </w:p>
  <w:p w:rsidR="00196FE6" w:rsidRPr="00BC0D51" w:rsidRDefault="00196FE6" w:rsidP="00472E34">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5626F9"/>
    <w:multiLevelType w:val="multilevel"/>
    <w:tmpl w:val="59C2BD1E"/>
    <w:lvl w:ilvl="0">
      <w:start w:val="14"/>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15:restartNumberingAfterBreak="0">
    <w:nsid w:val="147B5935"/>
    <w:multiLevelType w:val="multilevel"/>
    <w:tmpl w:val="2BCED090"/>
    <w:lvl w:ilvl="0">
      <w:start w:val="3"/>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5B4575A"/>
    <w:multiLevelType w:val="hybridMultilevel"/>
    <w:tmpl w:val="079EA05A"/>
    <w:lvl w:ilvl="0" w:tplc="DDDCBD2E">
      <w:start w:val="1"/>
      <w:numFmt w:val="lowerRoman"/>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 w15:restartNumberingAfterBreak="0">
    <w:nsid w:val="1F512135"/>
    <w:multiLevelType w:val="multilevel"/>
    <w:tmpl w:val="D6D2CF5A"/>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22B0450"/>
    <w:multiLevelType w:val="multilevel"/>
    <w:tmpl w:val="8E5CD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1B72BB"/>
    <w:multiLevelType w:val="hybridMultilevel"/>
    <w:tmpl w:val="2F8C8D8A"/>
    <w:lvl w:ilvl="0" w:tplc="53AECA36">
      <w:start w:val="1"/>
      <w:numFmt w:val="lowerRoman"/>
      <w:lvlText w:val="%1)"/>
      <w:lvlJc w:val="left"/>
      <w:pPr>
        <w:ind w:left="2421" w:hanging="72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8" w15:restartNumberingAfterBreak="0">
    <w:nsid w:val="4F4250BF"/>
    <w:multiLevelType w:val="hybridMultilevel"/>
    <w:tmpl w:val="580AFA14"/>
    <w:lvl w:ilvl="0" w:tplc="7B0049EC">
      <w:start w:val="1"/>
      <w:numFmt w:val="decimal"/>
      <w:lvlText w:val="%1."/>
      <w:lvlJc w:val="left"/>
      <w:pPr>
        <w:tabs>
          <w:tab w:val="num" w:pos="1391"/>
        </w:tabs>
        <w:ind w:left="1391" w:hanging="851"/>
      </w:pPr>
      <w:rPr>
        <w:rFonts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9" w15:restartNumberingAfterBreak="0">
    <w:nsid w:val="69FF1D12"/>
    <w:multiLevelType w:val="hybridMultilevel"/>
    <w:tmpl w:val="CC268C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6CFD7E93"/>
    <w:multiLevelType w:val="hybridMultilevel"/>
    <w:tmpl w:val="CAD28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5270D"/>
    <w:multiLevelType w:val="hybridMultilevel"/>
    <w:tmpl w:val="8E5CD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07D35"/>
    <w:multiLevelType w:val="multilevel"/>
    <w:tmpl w:val="5A3062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3924AC"/>
    <w:multiLevelType w:val="multilevel"/>
    <w:tmpl w:val="4D50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04FA7"/>
    <w:multiLevelType w:val="hybridMultilevel"/>
    <w:tmpl w:val="5582EA28"/>
    <w:lvl w:ilvl="0" w:tplc="8780DFF4">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7C837592"/>
    <w:multiLevelType w:val="hybridMultilevel"/>
    <w:tmpl w:val="B6FA2362"/>
    <w:lvl w:ilvl="0" w:tplc="3208E13A">
      <w:start w:val="14"/>
      <w:numFmt w:val="decimal"/>
      <w:lvlText w:val="%1."/>
      <w:lvlJc w:val="left"/>
      <w:pPr>
        <w:tabs>
          <w:tab w:val="num" w:pos="851"/>
        </w:tabs>
        <w:ind w:left="851" w:hanging="851"/>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15:restartNumberingAfterBreak="0">
    <w:nsid w:val="7F2C086D"/>
    <w:multiLevelType w:val="hybridMultilevel"/>
    <w:tmpl w:val="FCECABA0"/>
    <w:lvl w:ilvl="0" w:tplc="B72A7D80">
      <w:start w:val="1"/>
      <w:numFmt w:val="decimal"/>
      <w:lvlText w:val="%1."/>
      <w:lvlJc w:val="left"/>
      <w:pPr>
        <w:tabs>
          <w:tab w:val="num" w:pos="851"/>
        </w:tabs>
        <w:ind w:left="851" w:hanging="851"/>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5"/>
  </w:num>
  <w:num w:numId="4">
    <w:abstractNumId w:val="14"/>
  </w:num>
  <w:num w:numId="5">
    <w:abstractNumId w:val="11"/>
  </w:num>
  <w:num w:numId="6">
    <w:abstractNumId w:val="6"/>
  </w:num>
  <w:num w:numId="7">
    <w:abstractNumId w:val="1"/>
  </w:num>
  <w:num w:numId="8">
    <w:abstractNumId w:val="4"/>
  </w:num>
  <w:num w:numId="9">
    <w:abstractNumId w:val="7"/>
  </w:num>
  <w:num w:numId="10">
    <w:abstractNumId w:val="16"/>
  </w:num>
  <w:num w:numId="11">
    <w:abstractNumId w:val="9"/>
  </w:num>
  <w:num w:numId="12">
    <w:abstractNumId w:val="12"/>
  </w:num>
  <w:num w:numId="13">
    <w:abstractNumId w:val="5"/>
  </w:num>
  <w:num w:numId="14">
    <w:abstractNumId w:val="13"/>
  </w:num>
  <w:num w:numId="15">
    <w:abstractNumId w:val="2"/>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A5"/>
    <w:rsid w:val="00000621"/>
    <w:rsid w:val="000036C2"/>
    <w:rsid w:val="00006F6B"/>
    <w:rsid w:val="000115C0"/>
    <w:rsid w:val="0002240C"/>
    <w:rsid w:val="0002626F"/>
    <w:rsid w:val="00033D3D"/>
    <w:rsid w:val="000343AB"/>
    <w:rsid w:val="00036302"/>
    <w:rsid w:val="00041BF9"/>
    <w:rsid w:val="00044392"/>
    <w:rsid w:val="00053B38"/>
    <w:rsid w:val="000570F9"/>
    <w:rsid w:val="00062F02"/>
    <w:rsid w:val="00066454"/>
    <w:rsid w:val="00067E6E"/>
    <w:rsid w:val="0007159D"/>
    <w:rsid w:val="000717DE"/>
    <w:rsid w:val="00071A7E"/>
    <w:rsid w:val="00073957"/>
    <w:rsid w:val="000746C0"/>
    <w:rsid w:val="00074D1D"/>
    <w:rsid w:val="00076677"/>
    <w:rsid w:val="00085297"/>
    <w:rsid w:val="00092580"/>
    <w:rsid w:val="00093D4D"/>
    <w:rsid w:val="00096338"/>
    <w:rsid w:val="00097BB7"/>
    <w:rsid w:val="000A137D"/>
    <w:rsid w:val="000A1601"/>
    <w:rsid w:val="000A5AB0"/>
    <w:rsid w:val="000B24F7"/>
    <w:rsid w:val="000B4BD2"/>
    <w:rsid w:val="000B5C52"/>
    <w:rsid w:val="000B720E"/>
    <w:rsid w:val="000C03FF"/>
    <w:rsid w:val="000C0767"/>
    <w:rsid w:val="000C0B69"/>
    <w:rsid w:val="000C4447"/>
    <w:rsid w:val="000C4CC2"/>
    <w:rsid w:val="000C55CB"/>
    <w:rsid w:val="000D0C3A"/>
    <w:rsid w:val="000D493C"/>
    <w:rsid w:val="000D5D94"/>
    <w:rsid w:val="000E142A"/>
    <w:rsid w:val="000E4DDE"/>
    <w:rsid w:val="000E64D8"/>
    <w:rsid w:val="000F1A0E"/>
    <w:rsid w:val="000F5575"/>
    <w:rsid w:val="000F77F5"/>
    <w:rsid w:val="0010024A"/>
    <w:rsid w:val="001008E9"/>
    <w:rsid w:val="00103BE7"/>
    <w:rsid w:val="00112EC5"/>
    <w:rsid w:val="001165A7"/>
    <w:rsid w:val="001237FB"/>
    <w:rsid w:val="00130FCC"/>
    <w:rsid w:val="00143A28"/>
    <w:rsid w:val="00151196"/>
    <w:rsid w:val="001563A3"/>
    <w:rsid w:val="001567DF"/>
    <w:rsid w:val="001602E1"/>
    <w:rsid w:val="00160632"/>
    <w:rsid w:val="0016296D"/>
    <w:rsid w:val="00162DFC"/>
    <w:rsid w:val="00163C4A"/>
    <w:rsid w:val="00167D3A"/>
    <w:rsid w:val="00170762"/>
    <w:rsid w:val="00171022"/>
    <w:rsid w:val="00173946"/>
    <w:rsid w:val="00173A2D"/>
    <w:rsid w:val="00175706"/>
    <w:rsid w:val="00183BF0"/>
    <w:rsid w:val="00184D34"/>
    <w:rsid w:val="00196FE6"/>
    <w:rsid w:val="001A275B"/>
    <w:rsid w:val="001A3082"/>
    <w:rsid w:val="001B1546"/>
    <w:rsid w:val="001B15F8"/>
    <w:rsid w:val="001B186A"/>
    <w:rsid w:val="001B2F75"/>
    <w:rsid w:val="001B3BC8"/>
    <w:rsid w:val="001B3CF4"/>
    <w:rsid w:val="001B6031"/>
    <w:rsid w:val="001C217A"/>
    <w:rsid w:val="001E5141"/>
    <w:rsid w:val="001E539A"/>
    <w:rsid w:val="001F2716"/>
    <w:rsid w:val="0020212B"/>
    <w:rsid w:val="002039BE"/>
    <w:rsid w:val="00203E7F"/>
    <w:rsid w:val="00207617"/>
    <w:rsid w:val="00211F69"/>
    <w:rsid w:val="002130C2"/>
    <w:rsid w:val="0022155C"/>
    <w:rsid w:val="00221F07"/>
    <w:rsid w:val="00224D49"/>
    <w:rsid w:val="0023134B"/>
    <w:rsid w:val="002376E5"/>
    <w:rsid w:val="00252E9C"/>
    <w:rsid w:val="00252EB7"/>
    <w:rsid w:val="00253D70"/>
    <w:rsid w:val="00253F9F"/>
    <w:rsid w:val="00254DBC"/>
    <w:rsid w:val="0026091B"/>
    <w:rsid w:val="00266C64"/>
    <w:rsid w:val="0027154F"/>
    <w:rsid w:val="002732F4"/>
    <w:rsid w:val="00275C80"/>
    <w:rsid w:val="00275D73"/>
    <w:rsid w:val="002827AE"/>
    <w:rsid w:val="00283659"/>
    <w:rsid w:val="002845E4"/>
    <w:rsid w:val="00286CC5"/>
    <w:rsid w:val="00296396"/>
    <w:rsid w:val="00297310"/>
    <w:rsid w:val="002A07AD"/>
    <w:rsid w:val="002A7B13"/>
    <w:rsid w:val="002B2148"/>
    <w:rsid w:val="002B3B44"/>
    <w:rsid w:val="002B5FFB"/>
    <w:rsid w:val="002C0C86"/>
    <w:rsid w:val="002C19C3"/>
    <w:rsid w:val="002C5F97"/>
    <w:rsid w:val="002C6BD4"/>
    <w:rsid w:val="002D083B"/>
    <w:rsid w:val="002D4BA6"/>
    <w:rsid w:val="002D5ECB"/>
    <w:rsid w:val="002D643D"/>
    <w:rsid w:val="002D68BF"/>
    <w:rsid w:val="002D6C20"/>
    <w:rsid w:val="002F3936"/>
    <w:rsid w:val="002F6B98"/>
    <w:rsid w:val="00306305"/>
    <w:rsid w:val="003116C9"/>
    <w:rsid w:val="00317903"/>
    <w:rsid w:val="00322E8C"/>
    <w:rsid w:val="00325FD9"/>
    <w:rsid w:val="003266F1"/>
    <w:rsid w:val="00330895"/>
    <w:rsid w:val="00330D64"/>
    <w:rsid w:val="003323E5"/>
    <w:rsid w:val="00336CBF"/>
    <w:rsid w:val="00343FE3"/>
    <w:rsid w:val="00347A9C"/>
    <w:rsid w:val="003546C8"/>
    <w:rsid w:val="00357FED"/>
    <w:rsid w:val="003630E6"/>
    <w:rsid w:val="00364747"/>
    <w:rsid w:val="00367AD0"/>
    <w:rsid w:val="00370AEA"/>
    <w:rsid w:val="00370B71"/>
    <w:rsid w:val="00373B3E"/>
    <w:rsid w:val="00376EDE"/>
    <w:rsid w:val="00396140"/>
    <w:rsid w:val="003A0375"/>
    <w:rsid w:val="003A7CF2"/>
    <w:rsid w:val="003B1A73"/>
    <w:rsid w:val="003B35BA"/>
    <w:rsid w:val="003B7B66"/>
    <w:rsid w:val="003C17C0"/>
    <w:rsid w:val="003C3AC6"/>
    <w:rsid w:val="003C5CE5"/>
    <w:rsid w:val="003D1101"/>
    <w:rsid w:val="003D3D2B"/>
    <w:rsid w:val="003D48D4"/>
    <w:rsid w:val="003D6873"/>
    <w:rsid w:val="003D6E91"/>
    <w:rsid w:val="003E267B"/>
    <w:rsid w:val="003E68DA"/>
    <w:rsid w:val="003E7CD1"/>
    <w:rsid w:val="003F3170"/>
    <w:rsid w:val="003F4C61"/>
    <w:rsid w:val="00402B9E"/>
    <w:rsid w:val="00405091"/>
    <w:rsid w:val="00406B10"/>
    <w:rsid w:val="0040714A"/>
    <w:rsid w:val="00415080"/>
    <w:rsid w:val="00416574"/>
    <w:rsid w:val="004249CB"/>
    <w:rsid w:val="00430D4E"/>
    <w:rsid w:val="004324AC"/>
    <w:rsid w:val="004328DE"/>
    <w:rsid w:val="00432F8A"/>
    <w:rsid w:val="00440B92"/>
    <w:rsid w:val="0044127D"/>
    <w:rsid w:val="004448DB"/>
    <w:rsid w:val="00446653"/>
    <w:rsid w:val="00446B73"/>
    <w:rsid w:val="00446C9A"/>
    <w:rsid w:val="00447988"/>
    <w:rsid w:val="00452164"/>
    <w:rsid w:val="0045276A"/>
    <w:rsid w:val="00452F2B"/>
    <w:rsid w:val="004550F2"/>
    <w:rsid w:val="00462053"/>
    <w:rsid w:val="00466C06"/>
    <w:rsid w:val="00471E3C"/>
    <w:rsid w:val="00472E34"/>
    <w:rsid w:val="00477193"/>
    <w:rsid w:val="0048475C"/>
    <w:rsid w:val="00486839"/>
    <w:rsid w:val="00487EFC"/>
    <w:rsid w:val="004910A6"/>
    <w:rsid w:val="00492BDC"/>
    <w:rsid w:val="004933E8"/>
    <w:rsid w:val="004A1848"/>
    <w:rsid w:val="004A43E0"/>
    <w:rsid w:val="004A4CB7"/>
    <w:rsid w:val="004A6F4A"/>
    <w:rsid w:val="004B65D3"/>
    <w:rsid w:val="004B6E23"/>
    <w:rsid w:val="004C2841"/>
    <w:rsid w:val="004C38A3"/>
    <w:rsid w:val="004C6CCD"/>
    <w:rsid w:val="004D5892"/>
    <w:rsid w:val="004E3015"/>
    <w:rsid w:val="004E4717"/>
    <w:rsid w:val="004F672C"/>
    <w:rsid w:val="00502076"/>
    <w:rsid w:val="0050388A"/>
    <w:rsid w:val="005046B8"/>
    <w:rsid w:val="00507FEC"/>
    <w:rsid w:val="00510F0E"/>
    <w:rsid w:val="00521B3E"/>
    <w:rsid w:val="00524D69"/>
    <w:rsid w:val="00525DE3"/>
    <w:rsid w:val="00525F31"/>
    <w:rsid w:val="005268DE"/>
    <w:rsid w:val="00530887"/>
    <w:rsid w:val="00532AF7"/>
    <w:rsid w:val="00534518"/>
    <w:rsid w:val="00535ED6"/>
    <w:rsid w:val="005420FD"/>
    <w:rsid w:val="0054378D"/>
    <w:rsid w:val="005473D4"/>
    <w:rsid w:val="005479E1"/>
    <w:rsid w:val="00551CC2"/>
    <w:rsid w:val="00553E0A"/>
    <w:rsid w:val="00556452"/>
    <w:rsid w:val="005570FD"/>
    <w:rsid w:val="005575EA"/>
    <w:rsid w:val="00561060"/>
    <w:rsid w:val="0057573C"/>
    <w:rsid w:val="0057790C"/>
    <w:rsid w:val="00593795"/>
    <w:rsid w:val="00596130"/>
    <w:rsid w:val="005A1A20"/>
    <w:rsid w:val="005A5D3C"/>
    <w:rsid w:val="005A75FF"/>
    <w:rsid w:val="005B0635"/>
    <w:rsid w:val="005B2B18"/>
    <w:rsid w:val="005B7CA3"/>
    <w:rsid w:val="005B7D12"/>
    <w:rsid w:val="005C24BE"/>
    <w:rsid w:val="005C2B9C"/>
    <w:rsid w:val="005D0098"/>
    <w:rsid w:val="005D10AB"/>
    <w:rsid w:val="005D18AD"/>
    <w:rsid w:val="005E3B61"/>
    <w:rsid w:val="005E659D"/>
    <w:rsid w:val="005E761F"/>
    <w:rsid w:val="005F1C50"/>
    <w:rsid w:val="005F4D20"/>
    <w:rsid w:val="005F56D0"/>
    <w:rsid w:val="00601D8F"/>
    <w:rsid w:val="0060210B"/>
    <w:rsid w:val="00605DAE"/>
    <w:rsid w:val="00612765"/>
    <w:rsid w:val="0061392B"/>
    <w:rsid w:val="006151B5"/>
    <w:rsid w:val="0062078F"/>
    <w:rsid w:val="00644CAA"/>
    <w:rsid w:val="006539A6"/>
    <w:rsid w:val="00653CE1"/>
    <w:rsid w:val="00653E97"/>
    <w:rsid w:val="00655BB6"/>
    <w:rsid w:val="0065621F"/>
    <w:rsid w:val="00656241"/>
    <w:rsid w:val="00662F05"/>
    <w:rsid w:val="00666621"/>
    <w:rsid w:val="0067396E"/>
    <w:rsid w:val="00677C2E"/>
    <w:rsid w:val="00684A74"/>
    <w:rsid w:val="00690B8A"/>
    <w:rsid w:val="006912A9"/>
    <w:rsid w:val="00696AEC"/>
    <w:rsid w:val="006A188F"/>
    <w:rsid w:val="006A64F6"/>
    <w:rsid w:val="006B5834"/>
    <w:rsid w:val="006B635F"/>
    <w:rsid w:val="006C1DD8"/>
    <w:rsid w:val="006C5A0E"/>
    <w:rsid w:val="006E2D1E"/>
    <w:rsid w:val="006E47C4"/>
    <w:rsid w:val="006E4FB9"/>
    <w:rsid w:val="006E6D43"/>
    <w:rsid w:val="006F24B6"/>
    <w:rsid w:val="006F2CF1"/>
    <w:rsid w:val="006F4C76"/>
    <w:rsid w:val="00700C35"/>
    <w:rsid w:val="007018E6"/>
    <w:rsid w:val="00702CCB"/>
    <w:rsid w:val="00703184"/>
    <w:rsid w:val="007038ED"/>
    <w:rsid w:val="00703BC3"/>
    <w:rsid w:val="00704B61"/>
    <w:rsid w:val="007077B6"/>
    <w:rsid w:val="00711B7E"/>
    <w:rsid w:val="00711F5A"/>
    <w:rsid w:val="00714F88"/>
    <w:rsid w:val="00720463"/>
    <w:rsid w:val="007217C2"/>
    <w:rsid w:val="0072608B"/>
    <w:rsid w:val="00736877"/>
    <w:rsid w:val="00743694"/>
    <w:rsid w:val="007531D8"/>
    <w:rsid w:val="007552A9"/>
    <w:rsid w:val="00756186"/>
    <w:rsid w:val="00761858"/>
    <w:rsid w:val="0076306D"/>
    <w:rsid w:val="007654FE"/>
    <w:rsid w:val="00765971"/>
    <w:rsid w:val="00767D59"/>
    <w:rsid w:val="00775C2A"/>
    <w:rsid w:val="00776E97"/>
    <w:rsid w:val="00780F86"/>
    <w:rsid w:val="007912AD"/>
    <w:rsid w:val="007A0794"/>
    <w:rsid w:val="007A5F0A"/>
    <w:rsid w:val="007A5FDD"/>
    <w:rsid w:val="007A6CFF"/>
    <w:rsid w:val="007B0824"/>
    <w:rsid w:val="007B5D3C"/>
    <w:rsid w:val="007C0E00"/>
    <w:rsid w:val="007C7C09"/>
    <w:rsid w:val="007D2E61"/>
    <w:rsid w:val="007D36AD"/>
    <w:rsid w:val="007D3FED"/>
    <w:rsid w:val="007E2781"/>
    <w:rsid w:val="007F10E3"/>
    <w:rsid w:val="007F2B65"/>
    <w:rsid w:val="007F7898"/>
    <w:rsid w:val="008008D6"/>
    <w:rsid w:val="008030A7"/>
    <w:rsid w:val="008038A2"/>
    <w:rsid w:val="00804D9D"/>
    <w:rsid w:val="00810702"/>
    <w:rsid w:val="00811354"/>
    <w:rsid w:val="00813277"/>
    <w:rsid w:val="0081598F"/>
    <w:rsid w:val="00815FFB"/>
    <w:rsid w:val="00821253"/>
    <w:rsid w:val="00821B72"/>
    <w:rsid w:val="00821D32"/>
    <w:rsid w:val="00823EF2"/>
    <w:rsid w:val="00827025"/>
    <w:rsid w:val="008303B8"/>
    <w:rsid w:val="00832291"/>
    <w:rsid w:val="00833DCE"/>
    <w:rsid w:val="00835BBD"/>
    <w:rsid w:val="00847259"/>
    <w:rsid w:val="008478F6"/>
    <w:rsid w:val="00850473"/>
    <w:rsid w:val="008513F2"/>
    <w:rsid w:val="00854534"/>
    <w:rsid w:val="0086139E"/>
    <w:rsid w:val="00870780"/>
    <w:rsid w:val="00871699"/>
    <w:rsid w:val="00871D34"/>
    <w:rsid w:val="008724F9"/>
    <w:rsid w:val="00874D45"/>
    <w:rsid w:val="00882AAF"/>
    <w:rsid w:val="00883006"/>
    <w:rsid w:val="00884B5E"/>
    <w:rsid w:val="00886428"/>
    <w:rsid w:val="00891C2B"/>
    <w:rsid w:val="00897138"/>
    <w:rsid w:val="008A64D7"/>
    <w:rsid w:val="008B0CEA"/>
    <w:rsid w:val="008B1EC2"/>
    <w:rsid w:val="008B270C"/>
    <w:rsid w:val="008B30E2"/>
    <w:rsid w:val="008B4438"/>
    <w:rsid w:val="008B5078"/>
    <w:rsid w:val="008B5F76"/>
    <w:rsid w:val="008B7C65"/>
    <w:rsid w:val="008C1793"/>
    <w:rsid w:val="008C2DFD"/>
    <w:rsid w:val="008C3D3D"/>
    <w:rsid w:val="008C7600"/>
    <w:rsid w:val="008D2DBD"/>
    <w:rsid w:val="008D4131"/>
    <w:rsid w:val="008D5F83"/>
    <w:rsid w:val="008D6815"/>
    <w:rsid w:val="008D6EAE"/>
    <w:rsid w:val="008E5A33"/>
    <w:rsid w:val="008E5B61"/>
    <w:rsid w:val="008E6699"/>
    <w:rsid w:val="008F1932"/>
    <w:rsid w:val="008F5C64"/>
    <w:rsid w:val="008F628E"/>
    <w:rsid w:val="008F7C66"/>
    <w:rsid w:val="00915012"/>
    <w:rsid w:val="00921062"/>
    <w:rsid w:val="0092238C"/>
    <w:rsid w:val="00924888"/>
    <w:rsid w:val="00931EA8"/>
    <w:rsid w:val="00932D50"/>
    <w:rsid w:val="009354BE"/>
    <w:rsid w:val="00937087"/>
    <w:rsid w:val="0093782A"/>
    <w:rsid w:val="00940C4E"/>
    <w:rsid w:val="009427EE"/>
    <w:rsid w:val="00942BEE"/>
    <w:rsid w:val="00947565"/>
    <w:rsid w:val="00951472"/>
    <w:rsid w:val="00953811"/>
    <w:rsid w:val="00955B2A"/>
    <w:rsid w:val="0095726D"/>
    <w:rsid w:val="00965AA7"/>
    <w:rsid w:val="009722BC"/>
    <w:rsid w:val="009727A3"/>
    <w:rsid w:val="009776CC"/>
    <w:rsid w:val="00981C91"/>
    <w:rsid w:val="00982430"/>
    <w:rsid w:val="00984E64"/>
    <w:rsid w:val="0098513B"/>
    <w:rsid w:val="00987774"/>
    <w:rsid w:val="00995F02"/>
    <w:rsid w:val="009A11E8"/>
    <w:rsid w:val="009A251D"/>
    <w:rsid w:val="009A26AF"/>
    <w:rsid w:val="009A77E8"/>
    <w:rsid w:val="009B3A98"/>
    <w:rsid w:val="009B443B"/>
    <w:rsid w:val="009C0131"/>
    <w:rsid w:val="009C1DEC"/>
    <w:rsid w:val="009C54E0"/>
    <w:rsid w:val="009D18DF"/>
    <w:rsid w:val="009D1CA2"/>
    <w:rsid w:val="009D1EA3"/>
    <w:rsid w:val="009D700F"/>
    <w:rsid w:val="009D7DA5"/>
    <w:rsid w:val="009E0D44"/>
    <w:rsid w:val="009F0A23"/>
    <w:rsid w:val="009F5220"/>
    <w:rsid w:val="009F665F"/>
    <w:rsid w:val="009F6BAB"/>
    <w:rsid w:val="00A00342"/>
    <w:rsid w:val="00A01049"/>
    <w:rsid w:val="00A03C68"/>
    <w:rsid w:val="00A15234"/>
    <w:rsid w:val="00A15732"/>
    <w:rsid w:val="00A201AB"/>
    <w:rsid w:val="00A211D3"/>
    <w:rsid w:val="00A26505"/>
    <w:rsid w:val="00A30A83"/>
    <w:rsid w:val="00A31C8B"/>
    <w:rsid w:val="00A326DD"/>
    <w:rsid w:val="00A3277D"/>
    <w:rsid w:val="00A337BA"/>
    <w:rsid w:val="00A4445A"/>
    <w:rsid w:val="00A44959"/>
    <w:rsid w:val="00A45DDF"/>
    <w:rsid w:val="00A509FA"/>
    <w:rsid w:val="00A5264D"/>
    <w:rsid w:val="00A5679B"/>
    <w:rsid w:val="00A57B5D"/>
    <w:rsid w:val="00A74415"/>
    <w:rsid w:val="00A83C36"/>
    <w:rsid w:val="00A845DC"/>
    <w:rsid w:val="00A84DBB"/>
    <w:rsid w:val="00A86478"/>
    <w:rsid w:val="00A92433"/>
    <w:rsid w:val="00A92942"/>
    <w:rsid w:val="00AA0889"/>
    <w:rsid w:val="00AA095A"/>
    <w:rsid w:val="00AA0E2E"/>
    <w:rsid w:val="00AA2202"/>
    <w:rsid w:val="00AA5A5F"/>
    <w:rsid w:val="00AB104E"/>
    <w:rsid w:val="00AB37AD"/>
    <w:rsid w:val="00AB7C32"/>
    <w:rsid w:val="00AC04C2"/>
    <w:rsid w:val="00AC0A19"/>
    <w:rsid w:val="00AC604B"/>
    <w:rsid w:val="00AD1AE5"/>
    <w:rsid w:val="00AD227E"/>
    <w:rsid w:val="00AD30EF"/>
    <w:rsid w:val="00AD5231"/>
    <w:rsid w:val="00AD75FF"/>
    <w:rsid w:val="00AE1210"/>
    <w:rsid w:val="00AE19E5"/>
    <w:rsid w:val="00AE53B9"/>
    <w:rsid w:val="00AE623F"/>
    <w:rsid w:val="00AE63B7"/>
    <w:rsid w:val="00AE6DDE"/>
    <w:rsid w:val="00AE7D4D"/>
    <w:rsid w:val="00AF0ED2"/>
    <w:rsid w:val="00AF0F47"/>
    <w:rsid w:val="00AF2C6C"/>
    <w:rsid w:val="00AF5678"/>
    <w:rsid w:val="00B02BF2"/>
    <w:rsid w:val="00B152A8"/>
    <w:rsid w:val="00B15B18"/>
    <w:rsid w:val="00B16EAB"/>
    <w:rsid w:val="00B17E4B"/>
    <w:rsid w:val="00B21EBA"/>
    <w:rsid w:val="00B26AA2"/>
    <w:rsid w:val="00B271EE"/>
    <w:rsid w:val="00B3524D"/>
    <w:rsid w:val="00B354A2"/>
    <w:rsid w:val="00B40870"/>
    <w:rsid w:val="00B40F69"/>
    <w:rsid w:val="00B46616"/>
    <w:rsid w:val="00B5179F"/>
    <w:rsid w:val="00B55BD0"/>
    <w:rsid w:val="00B608A9"/>
    <w:rsid w:val="00B64512"/>
    <w:rsid w:val="00B7040A"/>
    <w:rsid w:val="00B74539"/>
    <w:rsid w:val="00B81EF0"/>
    <w:rsid w:val="00B83391"/>
    <w:rsid w:val="00B86966"/>
    <w:rsid w:val="00B87C01"/>
    <w:rsid w:val="00B95326"/>
    <w:rsid w:val="00BA2E29"/>
    <w:rsid w:val="00BA6969"/>
    <w:rsid w:val="00BB2E4C"/>
    <w:rsid w:val="00BC0D51"/>
    <w:rsid w:val="00BC5E46"/>
    <w:rsid w:val="00BD4196"/>
    <w:rsid w:val="00BD6455"/>
    <w:rsid w:val="00BE0F4D"/>
    <w:rsid w:val="00BE6840"/>
    <w:rsid w:val="00BF22CA"/>
    <w:rsid w:val="00BF23BB"/>
    <w:rsid w:val="00C02A43"/>
    <w:rsid w:val="00C06914"/>
    <w:rsid w:val="00C11B2A"/>
    <w:rsid w:val="00C21F1C"/>
    <w:rsid w:val="00C21F98"/>
    <w:rsid w:val="00C22C81"/>
    <w:rsid w:val="00C24098"/>
    <w:rsid w:val="00C26032"/>
    <w:rsid w:val="00C30BC2"/>
    <w:rsid w:val="00C31EA8"/>
    <w:rsid w:val="00C3292A"/>
    <w:rsid w:val="00C345E1"/>
    <w:rsid w:val="00C4127F"/>
    <w:rsid w:val="00C422ED"/>
    <w:rsid w:val="00C43BFD"/>
    <w:rsid w:val="00C44BE2"/>
    <w:rsid w:val="00C44CB1"/>
    <w:rsid w:val="00C477E5"/>
    <w:rsid w:val="00C520FF"/>
    <w:rsid w:val="00C53074"/>
    <w:rsid w:val="00C56D82"/>
    <w:rsid w:val="00C612EB"/>
    <w:rsid w:val="00C655BE"/>
    <w:rsid w:val="00C75705"/>
    <w:rsid w:val="00C762F5"/>
    <w:rsid w:val="00C779D8"/>
    <w:rsid w:val="00C80B03"/>
    <w:rsid w:val="00C811BD"/>
    <w:rsid w:val="00C91284"/>
    <w:rsid w:val="00C95504"/>
    <w:rsid w:val="00CA168A"/>
    <w:rsid w:val="00CA1F9B"/>
    <w:rsid w:val="00CA294B"/>
    <w:rsid w:val="00CA7824"/>
    <w:rsid w:val="00CB1185"/>
    <w:rsid w:val="00CB1B54"/>
    <w:rsid w:val="00CB2144"/>
    <w:rsid w:val="00CB25AA"/>
    <w:rsid w:val="00CB6E35"/>
    <w:rsid w:val="00CC71FA"/>
    <w:rsid w:val="00CD3124"/>
    <w:rsid w:val="00CD3634"/>
    <w:rsid w:val="00CD58CE"/>
    <w:rsid w:val="00CD59AC"/>
    <w:rsid w:val="00CD6D6C"/>
    <w:rsid w:val="00CD7373"/>
    <w:rsid w:val="00CE1A46"/>
    <w:rsid w:val="00CE5057"/>
    <w:rsid w:val="00CF4AEB"/>
    <w:rsid w:val="00CF4B62"/>
    <w:rsid w:val="00D0138E"/>
    <w:rsid w:val="00D031FD"/>
    <w:rsid w:val="00D05D39"/>
    <w:rsid w:val="00D16AE4"/>
    <w:rsid w:val="00D20757"/>
    <w:rsid w:val="00D22636"/>
    <w:rsid w:val="00D23B45"/>
    <w:rsid w:val="00D329E2"/>
    <w:rsid w:val="00D35551"/>
    <w:rsid w:val="00D36D7D"/>
    <w:rsid w:val="00D40FD9"/>
    <w:rsid w:val="00D45631"/>
    <w:rsid w:val="00D47A0F"/>
    <w:rsid w:val="00D51CBE"/>
    <w:rsid w:val="00D53769"/>
    <w:rsid w:val="00D572BF"/>
    <w:rsid w:val="00D65520"/>
    <w:rsid w:val="00D65599"/>
    <w:rsid w:val="00D674B3"/>
    <w:rsid w:val="00D67EC7"/>
    <w:rsid w:val="00D701DE"/>
    <w:rsid w:val="00D77860"/>
    <w:rsid w:val="00D8096E"/>
    <w:rsid w:val="00D81668"/>
    <w:rsid w:val="00D85C13"/>
    <w:rsid w:val="00D87AF7"/>
    <w:rsid w:val="00D90F91"/>
    <w:rsid w:val="00D9111A"/>
    <w:rsid w:val="00D91BE3"/>
    <w:rsid w:val="00D94AFC"/>
    <w:rsid w:val="00D96B65"/>
    <w:rsid w:val="00D96ECD"/>
    <w:rsid w:val="00DB1026"/>
    <w:rsid w:val="00DB70AE"/>
    <w:rsid w:val="00DB722A"/>
    <w:rsid w:val="00DC1F65"/>
    <w:rsid w:val="00DC4E02"/>
    <w:rsid w:val="00DC65EE"/>
    <w:rsid w:val="00DD1BBC"/>
    <w:rsid w:val="00DD3A8F"/>
    <w:rsid w:val="00DD5071"/>
    <w:rsid w:val="00DD5C39"/>
    <w:rsid w:val="00DE2026"/>
    <w:rsid w:val="00DE27F4"/>
    <w:rsid w:val="00DE6075"/>
    <w:rsid w:val="00DE6994"/>
    <w:rsid w:val="00DE7DB7"/>
    <w:rsid w:val="00DF09E9"/>
    <w:rsid w:val="00DF4642"/>
    <w:rsid w:val="00DF4E3D"/>
    <w:rsid w:val="00DF50AB"/>
    <w:rsid w:val="00DF5562"/>
    <w:rsid w:val="00E00973"/>
    <w:rsid w:val="00E00A0A"/>
    <w:rsid w:val="00E01561"/>
    <w:rsid w:val="00E01BD5"/>
    <w:rsid w:val="00E04D42"/>
    <w:rsid w:val="00E0533A"/>
    <w:rsid w:val="00E066DE"/>
    <w:rsid w:val="00E07F57"/>
    <w:rsid w:val="00E200F6"/>
    <w:rsid w:val="00E223A4"/>
    <w:rsid w:val="00E267D9"/>
    <w:rsid w:val="00E30683"/>
    <w:rsid w:val="00E327EB"/>
    <w:rsid w:val="00E37DFA"/>
    <w:rsid w:val="00E4296D"/>
    <w:rsid w:val="00E429B1"/>
    <w:rsid w:val="00E453D8"/>
    <w:rsid w:val="00E50A1B"/>
    <w:rsid w:val="00E50BCE"/>
    <w:rsid w:val="00E56931"/>
    <w:rsid w:val="00E574BF"/>
    <w:rsid w:val="00E60137"/>
    <w:rsid w:val="00E61292"/>
    <w:rsid w:val="00E63529"/>
    <w:rsid w:val="00E66812"/>
    <w:rsid w:val="00E67616"/>
    <w:rsid w:val="00E7380F"/>
    <w:rsid w:val="00E7773B"/>
    <w:rsid w:val="00E77C4D"/>
    <w:rsid w:val="00E81D01"/>
    <w:rsid w:val="00E845A5"/>
    <w:rsid w:val="00E854A2"/>
    <w:rsid w:val="00E879E4"/>
    <w:rsid w:val="00E9055F"/>
    <w:rsid w:val="00EB07F7"/>
    <w:rsid w:val="00EB4EAB"/>
    <w:rsid w:val="00EB4EE9"/>
    <w:rsid w:val="00EC3DAB"/>
    <w:rsid w:val="00EC5D32"/>
    <w:rsid w:val="00EC6450"/>
    <w:rsid w:val="00ED2DA7"/>
    <w:rsid w:val="00ED4EFF"/>
    <w:rsid w:val="00EE45D8"/>
    <w:rsid w:val="00EE4979"/>
    <w:rsid w:val="00EF1CA3"/>
    <w:rsid w:val="00EF2A69"/>
    <w:rsid w:val="00EF43B9"/>
    <w:rsid w:val="00EF6AEF"/>
    <w:rsid w:val="00F014F8"/>
    <w:rsid w:val="00F04D45"/>
    <w:rsid w:val="00F13AA0"/>
    <w:rsid w:val="00F15FCE"/>
    <w:rsid w:val="00F1641E"/>
    <w:rsid w:val="00F17D61"/>
    <w:rsid w:val="00F20F07"/>
    <w:rsid w:val="00F22EDA"/>
    <w:rsid w:val="00F22FA3"/>
    <w:rsid w:val="00F247F9"/>
    <w:rsid w:val="00F30128"/>
    <w:rsid w:val="00F31541"/>
    <w:rsid w:val="00F3632C"/>
    <w:rsid w:val="00F42BE7"/>
    <w:rsid w:val="00F51F6F"/>
    <w:rsid w:val="00F6468D"/>
    <w:rsid w:val="00F64FEC"/>
    <w:rsid w:val="00F707C7"/>
    <w:rsid w:val="00F74FA7"/>
    <w:rsid w:val="00F77FC8"/>
    <w:rsid w:val="00F80022"/>
    <w:rsid w:val="00F81C21"/>
    <w:rsid w:val="00F84B87"/>
    <w:rsid w:val="00F85EBB"/>
    <w:rsid w:val="00F97E19"/>
    <w:rsid w:val="00FA1F38"/>
    <w:rsid w:val="00FA3922"/>
    <w:rsid w:val="00FA43C0"/>
    <w:rsid w:val="00FA6C02"/>
    <w:rsid w:val="00FB2BD2"/>
    <w:rsid w:val="00FB550D"/>
    <w:rsid w:val="00FB6DB1"/>
    <w:rsid w:val="00FC00A9"/>
    <w:rsid w:val="00FC0285"/>
    <w:rsid w:val="00FC244D"/>
    <w:rsid w:val="00FC53FA"/>
    <w:rsid w:val="00FC61B9"/>
    <w:rsid w:val="00FC7F5F"/>
    <w:rsid w:val="00FD154C"/>
    <w:rsid w:val="00FE0057"/>
    <w:rsid w:val="00FE02C2"/>
    <w:rsid w:val="00FE29A6"/>
    <w:rsid w:val="00FF7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3"/>
    <o:shapelayout v:ext="edit">
      <o:idmap v:ext="edit" data="1"/>
    </o:shapelayout>
  </w:shapeDefaults>
  <w:decimalSymbol w:val="."/>
  <w:listSeparator w:val=","/>
  <w14:docId w14:val="3174921D"/>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0343A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Quote1">
    <w:name w:val="Quote1"/>
    <w:basedOn w:val="Normal"/>
    <w:rsid w:val="006A188F"/>
    <w:pPr>
      <w:ind w:left="1134"/>
      <w:jc w:val="both"/>
    </w:pPr>
    <w:rPr>
      <w:rFonts w:ascii="Book Antiqua" w:hAnsi="Book Antiqua" w:cs="Arial"/>
    </w:rPr>
  </w:style>
  <w:style w:type="paragraph" w:customStyle="1" w:styleId="para">
    <w:name w:val="para"/>
    <w:basedOn w:val="Normal"/>
    <w:rsid w:val="00AA0E2E"/>
    <w:pPr>
      <w:ind w:left="567" w:hanging="567"/>
      <w:jc w:val="both"/>
    </w:pPr>
    <w:rPr>
      <w:rFonts w:ascii="Book Antiqua" w:hAnsi="Book Antiqua" w:cs="Arial"/>
    </w:rPr>
  </w:style>
  <w:style w:type="paragraph" w:styleId="NormalWeb">
    <w:name w:val="Normal (Web)"/>
    <w:basedOn w:val="Normal"/>
    <w:rsid w:val="00677C2E"/>
  </w:style>
  <w:style w:type="character" w:styleId="UnresolvedMention">
    <w:name w:val="Unresolved Mention"/>
    <w:uiPriority w:val="47"/>
    <w:rsid w:val="007077B6"/>
    <w:rPr>
      <w:color w:val="808080"/>
      <w:shd w:val="clear" w:color="auto" w:fill="E6E6E6"/>
    </w:rPr>
  </w:style>
  <w:style w:type="character" w:customStyle="1" w:styleId="FooterChar">
    <w:name w:val="Footer Char"/>
    <w:link w:val="Footer"/>
    <w:uiPriority w:val="99"/>
    <w:rsid w:val="0066662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1283">
      <w:bodyDiv w:val="1"/>
      <w:marLeft w:val="0"/>
      <w:marRight w:val="0"/>
      <w:marTop w:val="0"/>
      <w:marBottom w:val="0"/>
      <w:divBdr>
        <w:top w:val="none" w:sz="0" w:space="0" w:color="auto"/>
        <w:left w:val="none" w:sz="0" w:space="0" w:color="auto"/>
        <w:bottom w:val="none" w:sz="0" w:space="0" w:color="auto"/>
        <w:right w:val="none" w:sz="0" w:space="0" w:color="auto"/>
      </w:divBdr>
    </w:div>
    <w:div w:id="54477070">
      <w:bodyDiv w:val="1"/>
      <w:marLeft w:val="0"/>
      <w:marRight w:val="0"/>
      <w:marTop w:val="0"/>
      <w:marBottom w:val="0"/>
      <w:divBdr>
        <w:top w:val="none" w:sz="0" w:space="0" w:color="auto"/>
        <w:left w:val="none" w:sz="0" w:space="0" w:color="auto"/>
        <w:bottom w:val="none" w:sz="0" w:space="0" w:color="auto"/>
        <w:right w:val="none" w:sz="0" w:space="0" w:color="auto"/>
      </w:divBdr>
    </w:div>
    <w:div w:id="81611761">
      <w:bodyDiv w:val="1"/>
      <w:marLeft w:val="0"/>
      <w:marRight w:val="0"/>
      <w:marTop w:val="0"/>
      <w:marBottom w:val="0"/>
      <w:divBdr>
        <w:top w:val="none" w:sz="0" w:space="0" w:color="auto"/>
        <w:left w:val="none" w:sz="0" w:space="0" w:color="auto"/>
        <w:bottom w:val="none" w:sz="0" w:space="0" w:color="auto"/>
        <w:right w:val="none" w:sz="0" w:space="0" w:color="auto"/>
      </w:divBdr>
    </w:div>
    <w:div w:id="107895804">
      <w:bodyDiv w:val="1"/>
      <w:marLeft w:val="0"/>
      <w:marRight w:val="0"/>
      <w:marTop w:val="0"/>
      <w:marBottom w:val="0"/>
      <w:divBdr>
        <w:top w:val="none" w:sz="0" w:space="0" w:color="auto"/>
        <w:left w:val="none" w:sz="0" w:space="0" w:color="auto"/>
        <w:bottom w:val="none" w:sz="0" w:space="0" w:color="auto"/>
        <w:right w:val="none" w:sz="0" w:space="0" w:color="auto"/>
      </w:divBdr>
    </w:div>
    <w:div w:id="181171248">
      <w:bodyDiv w:val="1"/>
      <w:marLeft w:val="0"/>
      <w:marRight w:val="0"/>
      <w:marTop w:val="0"/>
      <w:marBottom w:val="0"/>
      <w:divBdr>
        <w:top w:val="none" w:sz="0" w:space="0" w:color="auto"/>
        <w:left w:val="none" w:sz="0" w:space="0" w:color="auto"/>
        <w:bottom w:val="none" w:sz="0" w:space="0" w:color="auto"/>
        <w:right w:val="none" w:sz="0" w:space="0" w:color="auto"/>
      </w:divBdr>
    </w:div>
    <w:div w:id="227502160">
      <w:bodyDiv w:val="1"/>
      <w:marLeft w:val="0"/>
      <w:marRight w:val="0"/>
      <w:marTop w:val="0"/>
      <w:marBottom w:val="0"/>
      <w:divBdr>
        <w:top w:val="none" w:sz="0" w:space="0" w:color="auto"/>
        <w:left w:val="none" w:sz="0" w:space="0" w:color="auto"/>
        <w:bottom w:val="none" w:sz="0" w:space="0" w:color="auto"/>
        <w:right w:val="none" w:sz="0" w:space="0" w:color="auto"/>
      </w:divBdr>
    </w:div>
    <w:div w:id="270404552">
      <w:bodyDiv w:val="1"/>
      <w:marLeft w:val="0"/>
      <w:marRight w:val="0"/>
      <w:marTop w:val="0"/>
      <w:marBottom w:val="0"/>
      <w:divBdr>
        <w:top w:val="none" w:sz="0" w:space="0" w:color="auto"/>
        <w:left w:val="none" w:sz="0" w:space="0" w:color="auto"/>
        <w:bottom w:val="none" w:sz="0" w:space="0" w:color="auto"/>
        <w:right w:val="none" w:sz="0" w:space="0" w:color="auto"/>
      </w:divBdr>
      <w:divsChild>
        <w:div w:id="605885228">
          <w:marLeft w:val="0"/>
          <w:marRight w:val="0"/>
          <w:marTop w:val="0"/>
          <w:marBottom w:val="0"/>
          <w:divBdr>
            <w:top w:val="none" w:sz="0" w:space="0" w:color="auto"/>
            <w:left w:val="none" w:sz="0" w:space="0" w:color="auto"/>
            <w:bottom w:val="none" w:sz="0" w:space="0" w:color="auto"/>
            <w:right w:val="none" w:sz="0" w:space="0" w:color="auto"/>
          </w:divBdr>
          <w:divsChild>
            <w:div w:id="797336977">
              <w:marLeft w:val="0"/>
              <w:marRight w:val="0"/>
              <w:marTop w:val="0"/>
              <w:marBottom w:val="0"/>
              <w:divBdr>
                <w:top w:val="none" w:sz="0" w:space="0" w:color="auto"/>
                <w:left w:val="none" w:sz="0" w:space="0" w:color="auto"/>
                <w:bottom w:val="none" w:sz="0" w:space="0" w:color="auto"/>
                <w:right w:val="none" w:sz="0" w:space="0" w:color="auto"/>
              </w:divBdr>
              <w:divsChild>
                <w:div w:id="584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5257">
      <w:bodyDiv w:val="1"/>
      <w:marLeft w:val="0"/>
      <w:marRight w:val="0"/>
      <w:marTop w:val="0"/>
      <w:marBottom w:val="0"/>
      <w:divBdr>
        <w:top w:val="none" w:sz="0" w:space="0" w:color="auto"/>
        <w:left w:val="none" w:sz="0" w:space="0" w:color="auto"/>
        <w:bottom w:val="none" w:sz="0" w:space="0" w:color="auto"/>
        <w:right w:val="none" w:sz="0" w:space="0" w:color="auto"/>
      </w:divBdr>
    </w:div>
    <w:div w:id="430048127">
      <w:bodyDiv w:val="1"/>
      <w:marLeft w:val="0"/>
      <w:marRight w:val="0"/>
      <w:marTop w:val="0"/>
      <w:marBottom w:val="0"/>
      <w:divBdr>
        <w:top w:val="none" w:sz="0" w:space="0" w:color="auto"/>
        <w:left w:val="none" w:sz="0" w:space="0" w:color="auto"/>
        <w:bottom w:val="none" w:sz="0" w:space="0" w:color="auto"/>
        <w:right w:val="none" w:sz="0" w:space="0" w:color="auto"/>
      </w:divBdr>
    </w:div>
    <w:div w:id="454913170">
      <w:bodyDiv w:val="1"/>
      <w:marLeft w:val="0"/>
      <w:marRight w:val="0"/>
      <w:marTop w:val="0"/>
      <w:marBottom w:val="0"/>
      <w:divBdr>
        <w:top w:val="none" w:sz="0" w:space="0" w:color="auto"/>
        <w:left w:val="none" w:sz="0" w:space="0" w:color="auto"/>
        <w:bottom w:val="none" w:sz="0" w:space="0" w:color="auto"/>
        <w:right w:val="none" w:sz="0" w:space="0" w:color="auto"/>
      </w:divBdr>
    </w:div>
    <w:div w:id="456992160">
      <w:bodyDiv w:val="1"/>
      <w:marLeft w:val="0"/>
      <w:marRight w:val="0"/>
      <w:marTop w:val="0"/>
      <w:marBottom w:val="0"/>
      <w:divBdr>
        <w:top w:val="none" w:sz="0" w:space="0" w:color="auto"/>
        <w:left w:val="none" w:sz="0" w:space="0" w:color="auto"/>
        <w:bottom w:val="none" w:sz="0" w:space="0" w:color="auto"/>
        <w:right w:val="none" w:sz="0" w:space="0" w:color="auto"/>
      </w:divBdr>
    </w:div>
    <w:div w:id="553195796">
      <w:bodyDiv w:val="1"/>
      <w:marLeft w:val="0"/>
      <w:marRight w:val="0"/>
      <w:marTop w:val="0"/>
      <w:marBottom w:val="0"/>
      <w:divBdr>
        <w:top w:val="none" w:sz="0" w:space="0" w:color="auto"/>
        <w:left w:val="none" w:sz="0" w:space="0" w:color="auto"/>
        <w:bottom w:val="none" w:sz="0" w:space="0" w:color="auto"/>
        <w:right w:val="none" w:sz="0" w:space="0" w:color="auto"/>
      </w:divBdr>
    </w:div>
    <w:div w:id="586614580">
      <w:bodyDiv w:val="1"/>
      <w:marLeft w:val="0"/>
      <w:marRight w:val="0"/>
      <w:marTop w:val="0"/>
      <w:marBottom w:val="0"/>
      <w:divBdr>
        <w:top w:val="none" w:sz="0" w:space="0" w:color="auto"/>
        <w:left w:val="none" w:sz="0" w:space="0" w:color="auto"/>
        <w:bottom w:val="none" w:sz="0" w:space="0" w:color="auto"/>
        <w:right w:val="none" w:sz="0" w:space="0" w:color="auto"/>
      </w:divBdr>
    </w:div>
    <w:div w:id="665863889">
      <w:bodyDiv w:val="1"/>
      <w:marLeft w:val="0"/>
      <w:marRight w:val="0"/>
      <w:marTop w:val="0"/>
      <w:marBottom w:val="0"/>
      <w:divBdr>
        <w:top w:val="none" w:sz="0" w:space="0" w:color="auto"/>
        <w:left w:val="none" w:sz="0" w:space="0" w:color="auto"/>
        <w:bottom w:val="none" w:sz="0" w:space="0" w:color="auto"/>
        <w:right w:val="none" w:sz="0" w:space="0" w:color="auto"/>
      </w:divBdr>
    </w:div>
    <w:div w:id="973295308">
      <w:bodyDiv w:val="1"/>
      <w:marLeft w:val="0"/>
      <w:marRight w:val="0"/>
      <w:marTop w:val="0"/>
      <w:marBottom w:val="0"/>
      <w:divBdr>
        <w:top w:val="none" w:sz="0" w:space="0" w:color="auto"/>
        <w:left w:val="none" w:sz="0" w:space="0" w:color="auto"/>
        <w:bottom w:val="none" w:sz="0" w:space="0" w:color="auto"/>
        <w:right w:val="none" w:sz="0" w:space="0" w:color="auto"/>
      </w:divBdr>
    </w:div>
    <w:div w:id="991248886">
      <w:bodyDiv w:val="1"/>
      <w:marLeft w:val="0"/>
      <w:marRight w:val="0"/>
      <w:marTop w:val="0"/>
      <w:marBottom w:val="0"/>
      <w:divBdr>
        <w:top w:val="none" w:sz="0" w:space="0" w:color="auto"/>
        <w:left w:val="none" w:sz="0" w:space="0" w:color="auto"/>
        <w:bottom w:val="none" w:sz="0" w:space="0" w:color="auto"/>
        <w:right w:val="none" w:sz="0" w:space="0" w:color="auto"/>
      </w:divBdr>
    </w:div>
    <w:div w:id="1076123889">
      <w:bodyDiv w:val="1"/>
      <w:marLeft w:val="0"/>
      <w:marRight w:val="0"/>
      <w:marTop w:val="0"/>
      <w:marBottom w:val="0"/>
      <w:divBdr>
        <w:top w:val="none" w:sz="0" w:space="0" w:color="auto"/>
        <w:left w:val="none" w:sz="0" w:space="0" w:color="auto"/>
        <w:bottom w:val="none" w:sz="0" w:space="0" w:color="auto"/>
        <w:right w:val="none" w:sz="0" w:space="0" w:color="auto"/>
      </w:divBdr>
      <w:divsChild>
        <w:div w:id="1719668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66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818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3800017">
      <w:bodyDiv w:val="1"/>
      <w:marLeft w:val="0"/>
      <w:marRight w:val="0"/>
      <w:marTop w:val="0"/>
      <w:marBottom w:val="0"/>
      <w:divBdr>
        <w:top w:val="none" w:sz="0" w:space="0" w:color="auto"/>
        <w:left w:val="none" w:sz="0" w:space="0" w:color="auto"/>
        <w:bottom w:val="none" w:sz="0" w:space="0" w:color="auto"/>
        <w:right w:val="none" w:sz="0" w:space="0" w:color="auto"/>
      </w:divBdr>
    </w:div>
    <w:div w:id="1150168498">
      <w:bodyDiv w:val="1"/>
      <w:marLeft w:val="0"/>
      <w:marRight w:val="0"/>
      <w:marTop w:val="0"/>
      <w:marBottom w:val="0"/>
      <w:divBdr>
        <w:top w:val="none" w:sz="0" w:space="0" w:color="auto"/>
        <w:left w:val="none" w:sz="0" w:space="0" w:color="auto"/>
        <w:bottom w:val="none" w:sz="0" w:space="0" w:color="auto"/>
        <w:right w:val="none" w:sz="0" w:space="0" w:color="auto"/>
      </w:divBdr>
    </w:div>
    <w:div w:id="1161430449">
      <w:bodyDiv w:val="1"/>
      <w:marLeft w:val="0"/>
      <w:marRight w:val="0"/>
      <w:marTop w:val="0"/>
      <w:marBottom w:val="0"/>
      <w:divBdr>
        <w:top w:val="none" w:sz="0" w:space="0" w:color="auto"/>
        <w:left w:val="none" w:sz="0" w:space="0" w:color="auto"/>
        <w:bottom w:val="none" w:sz="0" w:space="0" w:color="auto"/>
        <w:right w:val="none" w:sz="0" w:space="0" w:color="auto"/>
      </w:divBdr>
    </w:div>
    <w:div w:id="1225139637">
      <w:bodyDiv w:val="1"/>
      <w:marLeft w:val="0"/>
      <w:marRight w:val="0"/>
      <w:marTop w:val="0"/>
      <w:marBottom w:val="0"/>
      <w:divBdr>
        <w:top w:val="none" w:sz="0" w:space="0" w:color="auto"/>
        <w:left w:val="none" w:sz="0" w:space="0" w:color="auto"/>
        <w:bottom w:val="none" w:sz="0" w:space="0" w:color="auto"/>
        <w:right w:val="none" w:sz="0" w:space="0" w:color="auto"/>
      </w:divBdr>
    </w:div>
    <w:div w:id="1242368196">
      <w:bodyDiv w:val="1"/>
      <w:marLeft w:val="0"/>
      <w:marRight w:val="0"/>
      <w:marTop w:val="0"/>
      <w:marBottom w:val="0"/>
      <w:divBdr>
        <w:top w:val="none" w:sz="0" w:space="0" w:color="auto"/>
        <w:left w:val="none" w:sz="0" w:space="0" w:color="auto"/>
        <w:bottom w:val="none" w:sz="0" w:space="0" w:color="auto"/>
        <w:right w:val="none" w:sz="0" w:space="0" w:color="auto"/>
      </w:divBdr>
    </w:div>
    <w:div w:id="1251085421">
      <w:bodyDiv w:val="1"/>
      <w:marLeft w:val="0"/>
      <w:marRight w:val="0"/>
      <w:marTop w:val="0"/>
      <w:marBottom w:val="0"/>
      <w:divBdr>
        <w:top w:val="none" w:sz="0" w:space="0" w:color="auto"/>
        <w:left w:val="none" w:sz="0" w:space="0" w:color="auto"/>
        <w:bottom w:val="none" w:sz="0" w:space="0" w:color="auto"/>
        <w:right w:val="none" w:sz="0" w:space="0" w:color="auto"/>
      </w:divBdr>
    </w:div>
    <w:div w:id="1358776897">
      <w:bodyDiv w:val="1"/>
      <w:marLeft w:val="0"/>
      <w:marRight w:val="0"/>
      <w:marTop w:val="0"/>
      <w:marBottom w:val="0"/>
      <w:divBdr>
        <w:top w:val="none" w:sz="0" w:space="0" w:color="auto"/>
        <w:left w:val="none" w:sz="0" w:space="0" w:color="auto"/>
        <w:bottom w:val="none" w:sz="0" w:space="0" w:color="auto"/>
        <w:right w:val="none" w:sz="0" w:space="0" w:color="auto"/>
      </w:divBdr>
    </w:div>
    <w:div w:id="1420710428">
      <w:bodyDiv w:val="1"/>
      <w:marLeft w:val="0"/>
      <w:marRight w:val="0"/>
      <w:marTop w:val="0"/>
      <w:marBottom w:val="0"/>
      <w:divBdr>
        <w:top w:val="none" w:sz="0" w:space="0" w:color="auto"/>
        <w:left w:val="none" w:sz="0" w:space="0" w:color="auto"/>
        <w:bottom w:val="none" w:sz="0" w:space="0" w:color="auto"/>
        <w:right w:val="none" w:sz="0" w:space="0" w:color="auto"/>
      </w:divBdr>
      <w:divsChild>
        <w:div w:id="929659528">
          <w:marLeft w:val="0"/>
          <w:marRight w:val="0"/>
          <w:marTop w:val="0"/>
          <w:marBottom w:val="0"/>
          <w:divBdr>
            <w:top w:val="none" w:sz="0" w:space="0" w:color="auto"/>
            <w:left w:val="none" w:sz="0" w:space="0" w:color="auto"/>
            <w:bottom w:val="none" w:sz="0" w:space="0" w:color="auto"/>
            <w:right w:val="none" w:sz="0" w:space="0" w:color="auto"/>
          </w:divBdr>
          <w:divsChild>
            <w:div w:id="1828547146">
              <w:marLeft w:val="0"/>
              <w:marRight w:val="0"/>
              <w:marTop w:val="0"/>
              <w:marBottom w:val="0"/>
              <w:divBdr>
                <w:top w:val="none" w:sz="0" w:space="0" w:color="auto"/>
                <w:left w:val="none" w:sz="0" w:space="0" w:color="auto"/>
                <w:bottom w:val="none" w:sz="0" w:space="0" w:color="auto"/>
                <w:right w:val="none" w:sz="0" w:space="0" w:color="auto"/>
              </w:divBdr>
              <w:divsChild>
                <w:div w:id="19291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12143">
      <w:bodyDiv w:val="1"/>
      <w:marLeft w:val="0"/>
      <w:marRight w:val="0"/>
      <w:marTop w:val="0"/>
      <w:marBottom w:val="0"/>
      <w:divBdr>
        <w:top w:val="none" w:sz="0" w:space="0" w:color="auto"/>
        <w:left w:val="none" w:sz="0" w:space="0" w:color="auto"/>
        <w:bottom w:val="none" w:sz="0" w:space="0" w:color="auto"/>
        <w:right w:val="none" w:sz="0" w:space="0" w:color="auto"/>
      </w:divBdr>
      <w:divsChild>
        <w:div w:id="1332902746">
          <w:marLeft w:val="0"/>
          <w:marRight w:val="0"/>
          <w:marTop w:val="0"/>
          <w:marBottom w:val="0"/>
          <w:divBdr>
            <w:top w:val="none" w:sz="0" w:space="0" w:color="auto"/>
            <w:left w:val="none" w:sz="0" w:space="0" w:color="auto"/>
            <w:bottom w:val="none" w:sz="0" w:space="0" w:color="auto"/>
            <w:right w:val="none" w:sz="0" w:space="0" w:color="auto"/>
          </w:divBdr>
          <w:divsChild>
            <w:div w:id="908540767">
              <w:marLeft w:val="0"/>
              <w:marRight w:val="0"/>
              <w:marTop w:val="0"/>
              <w:marBottom w:val="0"/>
              <w:divBdr>
                <w:top w:val="none" w:sz="0" w:space="0" w:color="auto"/>
                <w:left w:val="none" w:sz="0" w:space="0" w:color="auto"/>
                <w:bottom w:val="none" w:sz="0" w:space="0" w:color="auto"/>
                <w:right w:val="none" w:sz="0" w:space="0" w:color="auto"/>
              </w:divBdr>
              <w:divsChild>
                <w:div w:id="4029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2549">
      <w:bodyDiv w:val="1"/>
      <w:marLeft w:val="0"/>
      <w:marRight w:val="0"/>
      <w:marTop w:val="0"/>
      <w:marBottom w:val="0"/>
      <w:divBdr>
        <w:top w:val="none" w:sz="0" w:space="0" w:color="auto"/>
        <w:left w:val="none" w:sz="0" w:space="0" w:color="auto"/>
        <w:bottom w:val="none" w:sz="0" w:space="0" w:color="auto"/>
        <w:right w:val="none" w:sz="0" w:space="0" w:color="auto"/>
      </w:divBdr>
      <w:divsChild>
        <w:div w:id="1120299361">
          <w:marLeft w:val="0"/>
          <w:marRight w:val="0"/>
          <w:marTop w:val="0"/>
          <w:marBottom w:val="0"/>
          <w:divBdr>
            <w:top w:val="none" w:sz="0" w:space="0" w:color="auto"/>
            <w:left w:val="none" w:sz="0" w:space="0" w:color="auto"/>
            <w:bottom w:val="none" w:sz="0" w:space="0" w:color="auto"/>
            <w:right w:val="none" w:sz="0" w:space="0" w:color="auto"/>
          </w:divBdr>
          <w:divsChild>
            <w:div w:id="1795445494">
              <w:marLeft w:val="0"/>
              <w:marRight w:val="0"/>
              <w:marTop w:val="0"/>
              <w:marBottom w:val="0"/>
              <w:divBdr>
                <w:top w:val="none" w:sz="0" w:space="0" w:color="auto"/>
                <w:left w:val="none" w:sz="0" w:space="0" w:color="auto"/>
                <w:bottom w:val="none" w:sz="0" w:space="0" w:color="auto"/>
                <w:right w:val="none" w:sz="0" w:space="0" w:color="auto"/>
              </w:divBdr>
              <w:divsChild>
                <w:div w:id="710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2355">
      <w:bodyDiv w:val="1"/>
      <w:marLeft w:val="0"/>
      <w:marRight w:val="0"/>
      <w:marTop w:val="0"/>
      <w:marBottom w:val="0"/>
      <w:divBdr>
        <w:top w:val="none" w:sz="0" w:space="0" w:color="auto"/>
        <w:left w:val="none" w:sz="0" w:space="0" w:color="auto"/>
        <w:bottom w:val="none" w:sz="0" w:space="0" w:color="auto"/>
        <w:right w:val="none" w:sz="0" w:space="0" w:color="auto"/>
      </w:divBdr>
    </w:div>
    <w:div w:id="1981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4167</Words>
  <Characters>20106</Characters>
  <Application>Microsoft Office Word</Application>
  <DocSecurity>0</DocSecurity>
  <Lines>167</Lines>
  <Paragraphs>48</Paragraphs>
  <ScaleCrop>false</ScaleCrop>
  <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2018-06-08T10:28:00Z</dcterms:created>
  <dcterms:modified xsi:type="dcterms:W3CDTF">2018-06-08T10:28:00Z</dcterms:modified>
</cp:coreProperties>
</file>