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12C3B" w14:textId="43FC2406" w:rsidR="00D94AFC" w:rsidRPr="00F5664C" w:rsidRDefault="00AE6EBF" w:rsidP="003C7DA0">
      <w:pPr>
        <w:jc w:val="center"/>
        <w:rPr>
          <w:rFonts w:ascii="Book Antiqua" w:hAnsi="Book Antiqua" w:cs="Arial"/>
          <w:sz w:val="16"/>
          <w:szCs w:val="16"/>
        </w:rPr>
      </w:pPr>
      <w:r>
        <w:rPr>
          <w:noProof/>
        </w:rPr>
        <w:drawing>
          <wp:inline distT="0" distB="0" distL="0" distR="0" wp14:anchorId="284937C9" wp14:editId="153AD493">
            <wp:extent cx="1198800" cy="104400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44000"/>
                    </a:xfrm>
                    <a:prstGeom prst="rect">
                      <a:avLst/>
                    </a:prstGeom>
                    <a:noFill/>
                    <a:ln>
                      <a:noFill/>
                    </a:ln>
                  </pic:spPr>
                </pic:pic>
              </a:graphicData>
            </a:graphic>
          </wp:inline>
        </w:drawing>
      </w:r>
      <w:r w:rsidR="00BC592C" w:rsidRPr="00BC592C">
        <w:rPr>
          <w:noProof/>
        </w:rPr>
        <w:t xml:space="preserve"> </w:t>
      </w:r>
    </w:p>
    <w:p w14:paraId="05490C61"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5E6C89F4" w14:textId="49A73BA7" w:rsidR="007B0824" w:rsidRPr="00263A75"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263A75">
        <w:rPr>
          <w:rFonts w:ascii="Book Antiqua" w:hAnsi="Book Antiqua" w:cs="Arial"/>
          <w:b/>
        </w:rPr>
        <w:t xml:space="preserve">   </w:t>
      </w:r>
      <w:proofErr w:type="gramEnd"/>
      <w:r w:rsidR="00263A75">
        <w:rPr>
          <w:rFonts w:ascii="Book Antiqua" w:hAnsi="Book Antiqua" w:cs="Arial"/>
          <w:b/>
        </w:rPr>
        <w:t xml:space="preserve">                    </w:t>
      </w:r>
      <w:r w:rsidR="00B3524D" w:rsidRPr="00263A75">
        <w:rPr>
          <w:rFonts w:ascii="Book Antiqua" w:hAnsi="Book Antiqua" w:cs="Arial"/>
          <w:b/>
        </w:rPr>
        <w:t>Appeal Number</w:t>
      </w:r>
      <w:r w:rsidR="00D53769" w:rsidRPr="00263A75">
        <w:rPr>
          <w:rFonts w:ascii="Book Antiqua" w:hAnsi="Book Antiqua" w:cs="Arial"/>
          <w:b/>
        </w:rPr>
        <w:t>:</w:t>
      </w:r>
      <w:r w:rsidR="00B3524D" w:rsidRPr="00263A75">
        <w:rPr>
          <w:rFonts w:ascii="Book Antiqua" w:hAnsi="Book Antiqua" w:cs="Arial"/>
          <w:b/>
        </w:rPr>
        <w:t xml:space="preserve"> </w:t>
      </w:r>
      <w:r w:rsidR="00062A4E" w:rsidRPr="00263A75">
        <w:rPr>
          <w:rFonts w:ascii="Book Antiqua" w:hAnsi="Book Antiqua" w:cs="Arial"/>
          <w:b/>
          <w:caps/>
        </w:rPr>
        <w:t>HU/10456/2015</w:t>
      </w:r>
    </w:p>
    <w:p w14:paraId="04F52FA2" w14:textId="77777777" w:rsidR="00C345E1" w:rsidRPr="00F5664C" w:rsidRDefault="00C345E1" w:rsidP="00C345E1">
      <w:pPr>
        <w:jc w:val="center"/>
        <w:rPr>
          <w:rFonts w:ascii="Book Antiqua" w:hAnsi="Book Antiqua" w:cs="Arial"/>
        </w:rPr>
      </w:pPr>
    </w:p>
    <w:p w14:paraId="6EB6773A"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6908E168" w14:textId="77777777"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E00F73" w14:paraId="78EC01BF" w14:textId="77777777" w:rsidTr="00263A75">
        <w:tc>
          <w:tcPr>
            <w:tcW w:w="5245" w:type="dxa"/>
            <w:shd w:val="clear" w:color="auto" w:fill="auto"/>
          </w:tcPr>
          <w:p w14:paraId="14A3836F" w14:textId="77777777" w:rsidR="00D22636" w:rsidRPr="00E00F73" w:rsidRDefault="00D22636" w:rsidP="00E00F73">
            <w:pPr>
              <w:jc w:val="both"/>
              <w:rPr>
                <w:rFonts w:ascii="Book Antiqua" w:hAnsi="Book Antiqua" w:cs="Arial"/>
                <w:b/>
              </w:rPr>
            </w:pPr>
            <w:r w:rsidRPr="00E00F73">
              <w:rPr>
                <w:rFonts w:ascii="Book Antiqua" w:hAnsi="Book Antiqua" w:cs="Arial"/>
                <w:b/>
              </w:rPr>
              <w:t xml:space="preserve">Heard at </w:t>
            </w:r>
            <w:r w:rsidR="00062A4E" w:rsidRPr="00E00F73">
              <w:rPr>
                <w:rFonts w:ascii="Book Antiqua" w:hAnsi="Book Antiqua" w:cs="Arial"/>
                <w:b/>
              </w:rPr>
              <w:t xml:space="preserve">Field House </w:t>
            </w:r>
          </w:p>
        </w:tc>
        <w:tc>
          <w:tcPr>
            <w:tcW w:w="4393" w:type="dxa"/>
            <w:shd w:val="clear" w:color="auto" w:fill="auto"/>
          </w:tcPr>
          <w:p w14:paraId="5FF5EF59" w14:textId="580C4CF3" w:rsidR="00D22636" w:rsidRPr="00E00F73" w:rsidRDefault="00263A75" w:rsidP="00E00F73">
            <w:pPr>
              <w:jc w:val="both"/>
              <w:rPr>
                <w:rFonts w:ascii="Book Antiqua" w:hAnsi="Book Antiqua" w:cs="Arial"/>
                <w:b/>
              </w:rPr>
            </w:pPr>
            <w:r>
              <w:rPr>
                <w:rFonts w:ascii="Book Antiqua" w:hAnsi="Book Antiqua" w:cs="Arial"/>
                <w:b/>
              </w:rPr>
              <w:t xml:space="preserve"> </w:t>
            </w:r>
            <w:r w:rsidR="00283659" w:rsidRPr="00E00F73">
              <w:rPr>
                <w:rFonts w:ascii="Book Antiqua" w:hAnsi="Book Antiqua" w:cs="Arial"/>
                <w:b/>
              </w:rPr>
              <w:t>De</w:t>
            </w:r>
            <w:r w:rsidR="00864126" w:rsidRPr="00E00F73">
              <w:rPr>
                <w:rFonts w:ascii="Book Antiqua" w:hAnsi="Book Antiqua" w:cs="Arial"/>
                <w:b/>
              </w:rPr>
              <w:t>cision &amp; Reasons</w:t>
            </w:r>
            <w:r w:rsidR="00283659" w:rsidRPr="00E00F73">
              <w:rPr>
                <w:rFonts w:ascii="Book Antiqua" w:hAnsi="Book Antiqua" w:cs="Arial"/>
                <w:b/>
              </w:rPr>
              <w:t xml:space="preserve"> Promulgated</w:t>
            </w:r>
          </w:p>
        </w:tc>
      </w:tr>
      <w:tr w:rsidR="00D22636" w:rsidRPr="00E00F73" w14:paraId="03E0977B" w14:textId="77777777" w:rsidTr="00263A75">
        <w:tc>
          <w:tcPr>
            <w:tcW w:w="5245" w:type="dxa"/>
            <w:shd w:val="clear" w:color="auto" w:fill="auto"/>
          </w:tcPr>
          <w:p w14:paraId="110BE31E" w14:textId="77777777" w:rsidR="00D22636" w:rsidRPr="00E00F73" w:rsidRDefault="00D22636" w:rsidP="00E00F73">
            <w:pPr>
              <w:jc w:val="both"/>
              <w:rPr>
                <w:rFonts w:ascii="Book Antiqua" w:hAnsi="Book Antiqua" w:cs="Arial"/>
                <w:b/>
              </w:rPr>
            </w:pPr>
            <w:r w:rsidRPr="00E00F73">
              <w:rPr>
                <w:rFonts w:ascii="Book Antiqua" w:hAnsi="Book Antiqua" w:cs="Arial"/>
                <w:b/>
              </w:rPr>
              <w:t xml:space="preserve">On </w:t>
            </w:r>
            <w:r w:rsidR="00062A4E" w:rsidRPr="00E00F73">
              <w:rPr>
                <w:rFonts w:ascii="Book Antiqua" w:hAnsi="Book Antiqua" w:cs="Arial"/>
                <w:b/>
              </w:rPr>
              <w:t>4</w:t>
            </w:r>
            <w:r w:rsidR="00062A4E" w:rsidRPr="00E00F73">
              <w:rPr>
                <w:rFonts w:ascii="Book Antiqua" w:hAnsi="Book Antiqua" w:cs="Arial"/>
                <w:b/>
                <w:vertAlign w:val="superscript"/>
              </w:rPr>
              <w:t>th</w:t>
            </w:r>
            <w:r w:rsidR="00062A4E" w:rsidRPr="00E00F73">
              <w:rPr>
                <w:rFonts w:ascii="Book Antiqua" w:hAnsi="Book Antiqua" w:cs="Arial"/>
                <w:b/>
              </w:rPr>
              <w:t xml:space="preserve"> May 2018 </w:t>
            </w:r>
          </w:p>
        </w:tc>
        <w:tc>
          <w:tcPr>
            <w:tcW w:w="4393" w:type="dxa"/>
            <w:shd w:val="clear" w:color="auto" w:fill="auto"/>
          </w:tcPr>
          <w:p w14:paraId="1014AA94" w14:textId="1DCBC9F3" w:rsidR="00D22636" w:rsidRPr="00E00F73" w:rsidRDefault="00263A75" w:rsidP="00E00F73">
            <w:pPr>
              <w:jc w:val="both"/>
              <w:rPr>
                <w:rFonts w:ascii="Book Antiqua" w:hAnsi="Book Antiqua" w:cs="Arial"/>
                <w:b/>
              </w:rPr>
            </w:pPr>
            <w:r>
              <w:rPr>
                <w:rFonts w:ascii="Book Antiqua" w:hAnsi="Book Antiqua" w:cs="Arial"/>
                <w:b/>
              </w:rPr>
              <w:t xml:space="preserve"> </w:t>
            </w:r>
            <w:r w:rsidR="00E62D50">
              <w:rPr>
                <w:rFonts w:ascii="Book Antiqua" w:hAnsi="Book Antiqua" w:cs="Arial"/>
                <w:b/>
              </w:rPr>
              <w:t>On 30</w:t>
            </w:r>
            <w:r w:rsidR="00E62D50" w:rsidRPr="00E62D50">
              <w:rPr>
                <w:rFonts w:ascii="Book Antiqua" w:hAnsi="Book Antiqua" w:cs="Arial"/>
                <w:b/>
                <w:vertAlign w:val="superscript"/>
              </w:rPr>
              <w:t>th</w:t>
            </w:r>
            <w:r w:rsidR="00E62D50">
              <w:rPr>
                <w:rFonts w:ascii="Book Antiqua" w:hAnsi="Book Antiqua" w:cs="Arial"/>
                <w:b/>
              </w:rPr>
              <w:t xml:space="preserve"> May 2018</w:t>
            </w:r>
          </w:p>
        </w:tc>
      </w:tr>
      <w:tr w:rsidR="00D22636" w:rsidRPr="00E00F73" w14:paraId="5765ABFA" w14:textId="77777777" w:rsidTr="00263A75">
        <w:tc>
          <w:tcPr>
            <w:tcW w:w="5245" w:type="dxa"/>
            <w:shd w:val="clear" w:color="auto" w:fill="auto"/>
          </w:tcPr>
          <w:p w14:paraId="5A200780" w14:textId="77777777" w:rsidR="00D22636" w:rsidRPr="00E00F73" w:rsidRDefault="00D22636" w:rsidP="00E00F73">
            <w:pPr>
              <w:jc w:val="both"/>
              <w:rPr>
                <w:rFonts w:ascii="Book Antiqua" w:hAnsi="Book Antiqua" w:cs="Arial"/>
                <w:b/>
              </w:rPr>
            </w:pPr>
          </w:p>
        </w:tc>
        <w:tc>
          <w:tcPr>
            <w:tcW w:w="4393" w:type="dxa"/>
            <w:shd w:val="clear" w:color="auto" w:fill="auto"/>
          </w:tcPr>
          <w:p w14:paraId="19CC8DB9" w14:textId="77777777" w:rsidR="00D22636" w:rsidRPr="00E00F73" w:rsidRDefault="00D22636" w:rsidP="00E00F73">
            <w:pPr>
              <w:jc w:val="both"/>
              <w:rPr>
                <w:rFonts w:ascii="Book Antiqua" w:hAnsi="Book Antiqua" w:cs="Arial"/>
                <w:b/>
              </w:rPr>
            </w:pPr>
          </w:p>
        </w:tc>
      </w:tr>
    </w:tbl>
    <w:p w14:paraId="72837161" w14:textId="77777777" w:rsidR="00A15234" w:rsidRPr="00F5664C" w:rsidRDefault="00A15234" w:rsidP="00A15234">
      <w:pPr>
        <w:jc w:val="center"/>
        <w:rPr>
          <w:rFonts w:ascii="Book Antiqua" w:hAnsi="Book Antiqua" w:cs="Arial"/>
        </w:rPr>
      </w:pPr>
    </w:p>
    <w:p w14:paraId="4CE18120"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2238670" w14:textId="77777777" w:rsidR="00A15234" w:rsidRPr="00F5664C" w:rsidRDefault="00A15234" w:rsidP="00A15234">
      <w:pPr>
        <w:jc w:val="center"/>
        <w:rPr>
          <w:rFonts w:ascii="Book Antiqua" w:hAnsi="Book Antiqua" w:cs="Arial"/>
          <w:b/>
        </w:rPr>
      </w:pPr>
    </w:p>
    <w:p w14:paraId="27E93A0D" w14:textId="77777777"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p>
    <w:p w14:paraId="3964C384" w14:textId="77777777" w:rsidR="001A1E2C" w:rsidRDefault="001A1E2C" w:rsidP="00A15234">
      <w:pPr>
        <w:jc w:val="center"/>
        <w:rPr>
          <w:rFonts w:ascii="Book Antiqua" w:hAnsi="Book Antiqua" w:cs="Arial"/>
          <w:b/>
        </w:rPr>
      </w:pPr>
    </w:p>
    <w:p w14:paraId="69AD71AC" w14:textId="77777777" w:rsidR="00B16F58" w:rsidRPr="00F5664C" w:rsidRDefault="00B16F58" w:rsidP="00A15234">
      <w:pPr>
        <w:jc w:val="center"/>
        <w:rPr>
          <w:rFonts w:ascii="Book Antiqua" w:hAnsi="Book Antiqua" w:cs="Arial"/>
          <w:b/>
        </w:rPr>
      </w:pPr>
    </w:p>
    <w:p w14:paraId="3DEEC1B4"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0B89F7A7" w14:textId="77777777" w:rsidR="00A845DC" w:rsidRPr="00F5664C" w:rsidRDefault="00A845DC" w:rsidP="00A15234">
      <w:pPr>
        <w:jc w:val="center"/>
        <w:rPr>
          <w:rFonts w:ascii="Book Antiqua" w:hAnsi="Book Antiqua" w:cs="Arial"/>
          <w:b/>
        </w:rPr>
      </w:pPr>
    </w:p>
    <w:p w14:paraId="46EE6C4D" w14:textId="77777777" w:rsidR="00742A8D" w:rsidRPr="00062A4E" w:rsidRDefault="00062A4E" w:rsidP="00742A8D">
      <w:pPr>
        <w:jc w:val="center"/>
        <w:rPr>
          <w:rFonts w:ascii="Book Antiqua" w:hAnsi="Book Antiqua" w:cs="Arial"/>
          <w:b/>
          <w:caps/>
        </w:rPr>
      </w:pPr>
      <w:r>
        <w:rPr>
          <w:rFonts w:ascii="Book Antiqua" w:hAnsi="Book Antiqua" w:cs="Arial"/>
          <w:b/>
          <w:caps/>
        </w:rPr>
        <w:t xml:space="preserve">mr </w:t>
      </w:r>
      <w:r w:rsidRPr="00062A4E">
        <w:rPr>
          <w:rFonts w:ascii="Book Antiqua" w:hAnsi="Book Antiqua" w:cs="Arial"/>
          <w:b/>
          <w:caps/>
        </w:rPr>
        <w:t>Taoheed Babatunde</w:t>
      </w:r>
      <w:r>
        <w:rPr>
          <w:rFonts w:ascii="Book Antiqua" w:hAnsi="Book Antiqua" w:cs="Arial"/>
          <w:b/>
          <w:caps/>
        </w:rPr>
        <w:t xml:space="preserve"> </w:t>
      </w:r>
      <w:r w:rsidRPr="00062A4E">
        <w:rPr>
          <w:rFonts w:ascii="Book Antiqua" w:hAnsi="Book Antiqua" w:cs="Arial"/>
          <w:b/>
          <w:caps/>
        </w:rPr>
        <w:t>Dosumu</w:t>
      </w:r>
    </w:p>
    <w:p w14:paraId="43BDAD60" w14:textId="77777777" w:rsidR="005B4942" w:rsidRPr="00263A75" w:rsidRDefault="005B4942" w:rsidP="005B4942">
      <w:pPr>
        <w:jc w:val="center"/>
        <w:rPr>
          <w:rFonts w:ascii="Book Antiqua" w:hAnsi="Book Antiqua" w:cs="Arial"/>
          <w:caps/>
        </w:rPr>
      </w:pPr>
      <w:r w:rsidRPr="00263A75">
        <w:rPr>
          <w:rFonts w:ascii="Book Antiqua" w:hAnsi="Book Antiqua" w:cs="Arial"/>
          <w:caps/>
        </w:rPr>
        <w:t xml:space="preserve">(ANONYMITY DIRECTION </w:t>
      </w:r>
      <w:r w:rsidR="00062A4E" w:rsidRPr="00263A75">
        <w:rPr>
          <w:rFonts w:ascii="Book Antiqua" w:hAnsi="Book Antiqua" w:cs="Arial"/>
          <w:caps/>
        </w:rPr>
        <w:t>not made</w:t>
      </w:r>
      <w:r w:rsidRPr="00263A75">
        <w:rPr>
          <w:rFonts w:ascii="Book Antiqua" w:hAnsi="Book Antiqua" w:cs="Arial"/>
          <w:caps/>
        </w:rPr>
        <w:t>)</w:t>
      </w:r>
    </w:p>
    <w:p w14:paraId="5EB108D3"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48AC7565" w14:textId="77777777" w:rsidR="006D1DFA" w:rsidRPr="00F5664C" w:rsidRDefault="006D1DFA" w:rsidP="00704B61">
      <w:pPr>
        <w:jc w:val="center"/>
        <w:rPr>
          <w:rFonts w:ascii="Book Antiqua" w:hAnsi="Book Antiqua" w:cs="Arial"/>
          <w:b/>
        </w:rPr>
      </w:pPr>
    </w:p>
    <w:p w14:paraId="1B208F5E"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4B28BD4C" w14:textId="1193BF42" w:rsidR="00DD5071" w:rsidRDefault="00DD5071" w:rsidP="00704B61">
      <w:pPr>
        <w:jc w:val="center"/>
        <w:rPr>
          <w:rFonts w:ascii="Book Antiqua" w:hAnsi="Book Antiqua" w:cs="Arial"/>
          <w:b/>
        </w:rPr>
      </w:pPr>
    </w:p>
    <w:p w14:paraId="6C1CFE92" w14:textId="0D89B741" w:rsidR="00263A75" w:rsidRPr="00F5664C" w:rsidRDefault="00263A75" w:rsidP="00704B61">
      <w:pPr>
        <w:jc w:val="center"/>
        <w:rPr>
          <w:rFonts w:ascii="Book Antiqua" w:hAnsi="Book Antiqua" w:cs="Arial"/>
          <w:b/>
        </w:rPr>
      </w:pPr>
      <w:r>
        <w:rPr>
          <w:rFonts w:ascii="Book Antiqua" w:hAnsi="Book Antiqua" w:cs="Arial"/>
          <w:b/>
        </w:rPr>
        <w:t>THE SECRETARY OF STATE FOR THE HOME DEPARTMENT</w:t>
      </w:r>
    </w:p>
    <w:p w14:paraId="36E4BCB3"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0027FF64" w14:textId="77777777" w:rsidR="00DD5071" w:rsidRPr="00F5664C" w:rsidRDefault="00DD5071" w:rsidP="00DD5071">
      <w:pPr>
        <w:rPr>
          <w:rFonts w:ascii="Book Antiqua" w:hAnsi="Book Antiqua" w:cs="Arial"/>
          <w:u w:val="single"/>
        </w:rPr>
      </w:pPr>
    </w:p>
    <w:p w14:paraId="197D4312" w14:textId="77777777" w:rsidR="00DD5071" w:rsidRPr="00F5664C" w:rsidRDefault="00DD5071" w:rsidP="00DD5071">
      <w:pPr>
        <w:rPr>
          <w:rFonts w:ascii="Book Antiqua" w:hAnsi="Book Antiqua" w:cs="Arial"/>
          <w:u w:val="single"/>
        </w:rPr>
      </w:pPr>
    </w:p>
    <w:p w14:paraId="7582D5AA"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74BD7F2" w14:textId="77777777" w:rsidR="00DE7DB7" w:rsidRPr="00F5664C" w:rsidRDefault="00DE7DB7" w:rsidP="00DD5071">
      <w:pPr>
        <w:rPr>
          <w:rFonts w:ascii="Book Antiqua" w:hAnsi="Book Antiqua" w:cs="Arial"/>
        </w:rPr>
      </w:pPr>
    </w:p>
    <w:p w14:paraId="73A82E43"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062A4E">
        <w:rPr>
          <w:rFonts w:ascii="Book Antiqua" w:hAnsi="Book Antiqua" w:cs="Arial"/>
        </w:rPr>
        <w:t xml:space="preserve">Mr J Collins of Counsel instructed by G Singh Solicitors </w:t>
      </w:r>
    </w:p>
    <w:p w14:paraId="1603A7E5"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62A4E">
        <w:rPr>
          <w:rFonts w:ascii="Book Antiqua" w:hAnsi="Book Antiqua" w:cs="Arial"/>
        </w:rPr>
        <w:t xml:space="preserve">Miss A </w:t>
      </w:r>
      <w:proofErr w:type="spellStart"/>
      <w:r w:rsidR="00062A4E">
        <w:rPr>
          <w:rFonts w:ascii="Book Antiqua" w:hAnsi="Book Antiqua" w:cs="Arial"/>
        </w:rPr>
        <w:t>Fijiwala</w:t>
      </w:r>
      <w:proofErr w:type="spellEnd"/>
      <w:r w:rsidR="00062A4E">
        <w:rPr>
          <w:rFonts w:ascii="Book Antiqua" w:hAnsi="Book Antiqua" w:cs="Arial"/>
        </w:rPr>
        <w:t xml:space="preserve">, Senior Home Office Presenting Officer </w:t>
      </w:r>
    </w:p>
    <w:p w14:paraId="254CB0DE" w14:textId="77777777" w:rsidR="00DE7DB7" w:rsidRPr="00F5664C" w:rsidRDefault="00DE7DB7" w:rsidP="00402B9E">
      <w:pPr>
        <w:tabs>
          <w:tab w:val="left" w:pos="2520"/>
        </w:tabs>
        <w:jc w:val="center"/>
        <w:rPr>
          <w:rFonts w:ascii="Book Antiqua" w:hAnsi="Book Antiqua" w:cs="Arial"/>
        </w:rPr>
      </w:pPr>
    </w:p>
    <w:p w14:paraId="0A2A02BA" w14:textId="77777777" w:rsidR="00DE7DB7" w:rsidRPr="00F5664C" w:rsidRDefault="00DE7DB7" w:rsidP="00402B9E">
      <w:pPr>
        <w:tabs>
          <w:tab w:val="left" w:pos="2520"/>
        </w:tabs>
        <w:jc w:val="center"/>
        <w:rPr>
          <w:rFonts w:ascii="Book Antiqua" w:hAnsi="Book Antiqua" w:cs="Arial"/>
        </w:rPr>
      </w:pPr>
    </w:p>
    <w:p w14:paraId="08B75764" w14:textId="77777777"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7CA0452E" w14:textId="77777777" w:rsidR="00B626FA" w:rsidRPr="00F5664C" w:rsidRDefault="00B626FA" w:rsidP="00402B9E">
      <w:pPr>
        <w:tabs>
          <w:tab w:val="left" w:pos="2520"/>
        </w:tabs>
        <w:jc w:val="both"/>
        <w:rPr>
          <w:rFonts w:ascii="Book Antiqua" w:hAnsi="Book Antiqua" w:cs="Arial"/>
        </w:rPr>
      </w:pPr>
    </w:p>
    <w:p w14:paraId="2B8AFC35" w14:textId="77777777" w:rsidR="00CB16EB" w:rsidRDefault="00062A4E" w:rsidP="00911478">
      <w:pPr>
        <w:numPr>
          <w:ilvl w:val="0"/>
          <w:numId w:val="3"/>
        </w:numPr>
        <w:spacing w:before="240"/>
        <w:jc w:val="both"/>
        <w:rPr>
          <w:rFonts w:ascii="Book Antiqua" w:hAnsi="Book Antiqua" w:cs="Arial"/>
        </w:rPr>
      </w:pPr>
      <w:r>
        <w:rPr>
          <w:rFonts w:ascii="Book Antiqua" w:hAnsi="Book Antiqua" w:cs="Arial"/>
        </w:rPr>
        <w:t xml:space="preserve">The appellant is a citizen of </w:t>
      </w:r>
      <w:smartTag w:uri="urn:schemas-microsoft-com:office:smarttags" w:element="country-region">
        <w:smartTag w:uri="urn:schemas-microsoft-com:office:smarttags" w:element="place">
          <w:r>
            <w:rPr>
              <w:rFonts w:ascii="Book Antiqua" w:hAnsi="Book Antiqua" w:cs="Arial"/>
            </w:rPr>
            <w:t>Nigeria</w:t>
          </w:r>
        </w:smartTag>
      </w:smartTag>
      <w:r>
        <w:rPr>
          <w:rFonts w:ascii="Book Antiqua" w:hAnsi="Book Antiqua" w:cs="Arial"/>
        </w:rPr>
        <w:t xml:space="preserve"> whose date of birth is recorded as 10</w:t>
      </w:r>
      <w:r w:rsidRPr="00062A4E">
        <w:rPr>
          <w:rFonts w:ascii="Book Antiqua" w:hAnsi="Book Antiqua" w:cs="Arial"/>
          <w:vertAlign w:val="superscript"/>
        </w:rPr>
        <w:t>th</w:t>
      </w:r>
      <w:r>
        <w:rPr>
          <w:rFonts w:ascii="Book Antiqua" w:hAnsi="Book Antiqua" w:cs="Arial"/>
        </w:rPr>
        <w:t xml:space="preserve"> July 1988.  He appealed the decision of the Secretary of State of 20</w:t>
      </w:r>
      <w:r w:rsidRPr="00062A4E">
        <w:rPr>
          <w:rFonts w:ascii="Book Antiqua" w:hAnsi="Book Antiqua" w:cs="Arial"/>
          <w:vertAlign w:val="superscript"/>
        </w:rPr>
        <w:t>th</w:t>
      </w:r>
      <w:r>
        <w:rPr>
          <w:rFonts w:ascii="Book Antiqua" w:hAnsi="Book Antiqua" w:cs="Arial"/>
        </w:rPr>
        <w:t xml:space="preserve"> November 2015 refusing him leave to remain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His appeal was heard by Judge of the First-tier Tribunal Cockrill sitting at Taylor House on 11</w:t>
      </w:r>
      <w:r w:rsidRPr="00062A4E">
        <w:rPr>
          <w:rFonts w:ascii="Book Antiqua" w:hAnsi="Book Antiqua" w:cs="Arial"/>
          <w:vertAlign w:val="superscript"/>
        </w:rPr>
        <w:t>th</w:t>
      </w:r>
      <w:r>
        <w:rPr>
          <w:rFonts w:ascii="Book Antiqua" w:hAnsi="Book Antiqua" w:cs="Arial"/>
        </w:rPr>
        <w:t xml:space="preserve"> July 2017.  The appeal was heard on human rights grounds including consideration of paragraph 276ADE(1)(vi) but was dismissed on all grounds.  </w:t>
      </w:r>
    </w:p>
    <w:p w14:paraId="0DFA58E5" w14:textId="77777777" w:rsidR="00911478" w:rsidRDefault="00062A4E" w:rsidP="00911478">
      <w:pPr>
        <w:numPr>
          <w:ilvl w:val="0"/>
          <w:numId w:val="3"/>
        </w:numPr>
        <w:spacing w:before="240"/>
        <w:jc w:val="both"/>
        <w:rPr>
          <w:rFonts w:ascii="Book Antiqua" w:hAnsi="Book Antiqua" w:cs="Arial"/>
        </w:rPr>
      </w:pPr>
      <w:r>
        <w:rPr>
          <w:rFonts w:ascii="Book Antiqua" w:hAnsi="Book Antiqua" w:cs="Arial"/>
        </w:rPr>
        <w:lastRenderedPageBreak/>
        <w:t>Not content with that decision, by Notice dated 7</w:t>
      </w:r>
      <w:r w:rsidRPr="00062A4E">
        <w:rPr>
          <w:rFonts w:ascii="Book Antiqua" w:hAnsi="Book Antiqua" w:cs="Arial"/>
          <w:vertAlign w:val="superscript"/>
        </w:rPr>
        <w:t>th</w:t>
      </w:r>
      <w:r>
        <w:rPr>
          <w:rFonts w:ascii="Book Antiqua" w:hAnsi="Book Antiqua" w:cs="Arial"/>
        </w:rPr>
        <w:t xml:space="preserve"> August 2017 the appe</w:t>
      </w:r>
      <w:bookmarkStart w:id="0" w:name="_GoBack"/>
      <w:bookmarkEnd w:id="0"/>
      <w:r>
        <w:rPr>
          <w:rFonts w:ascii="Book Antiqua" w:hAnsi="Book Antiqua" w:cs="Arial"/>
        </w:rPr>
        <w:t>llant made application for permission to appeal to the Upper Tribunal.  On 27</w:t>
      </w:r>
      <w:r w:rsidRPr="00062A4E">
        <w:rPr>
          <w:rFonts w:ascii="Book Antiqua" w:hAnsi="Book Antiqua" w:cs="Arial"/>
          <w:vertAlign w:val="superscript"/>
        </w:rPr>
        <w:t>th</w:t>
      </w:r>
      <w:r>
        <w:rPr>
          <w:rFonts w:ascii="Book Antiqua" w:hAnsi="Book Antiqua" w:cs="Arial"/>
        </w:rPr>
        <w:t xml:space="preserve"> February 2018 Judge Hollingworth granted permission. In granting permission Judge Hollingworth found it arguable that there was </w:t>
      </w:r>
      <w:r w:rsidR="00F011D5">
        <w:rPr>
          <w:rFonts w:ascii="Book Antiqua" w:hAnsi="Book Antiqua" w:cs="Arial"/>
        </w:rPr>
        <w:t>insufficient</w:t>
      </w:r>
      <w:r>
        <w:rPr>
          <w:rFonts w:ascii="Book Antiqua" w:hAnsi="Book Antiqua" w:cs="Arial"/>
        </w:rPr>
        <w:t xml:space="preserve"> analysis and findings in relation to the strength of the relationships between the appellant and those witnesses</w:t>
      </w:r>
      <w:r w:rsidR="00D75502">
        <w:rPr>
          <w:rFonts w:ascii="Book Antiqua" w:hAnsi="Book Antiqua" w:cs="Arial"/>
        </w:rPr>
        <w:t>,</w:t>
      </w:r>
      <w:r>
        <w:rPr>
          <w:rFonts w:ascii="Book Antiqua" w:hAnsi="Book Antiqua" w:cs="Arial"/>
        </w:rPr>
        <w:t xml:space="preserve"> called on his behalf at the hearing</w:t>
      </w:r>
      <w:r w:rsidR="00D75502">
        <w:rPr>
          <w:rFonts w:ascii="Book Antiqua" w:hAnsi="Book Antiqua" w:cs="Arial"/>
        </w:rPr>
        <w:t>,</w:t>
      </w:r>
      <w:r>
        <w:rPr>
          <w:rFonts w:ascii="Book Antiqua" w:hAnsi="Book Antiqua" w:cs="Arial"/>
        </w:rPr>
        <w:t xml:space="preserve"> in </w:t>
      </w:r>
      <w:r w:rsidR="00F011D5">
        <w:rPr>
          <w:rFonts w:ascii="Book Antiqua" w:hAnsi="Book Antiqua" w:cs="Arial"/>
        </w:rPr>
        <w:t>deciding</w:t>
      </w:r>
      <w:r>
        <w:rPr>
          <w:rFonts w:ascii="Book Antiqua" w:hAnsi="Book Antiqua" w:cs="Arial"/>
        </w:rPr>
        <w:t xml:space="preserve"> the degree of weight to be attached to the appellant’s private life </w:t>
      </w:r>
      <w:r w:rsidR="00E23DD3">
        <w:rPr>
          <w:rFonts w:ascii="Book Antiqua" w:hAnsi="Book Antiqua" w:cs="Arial"/>
        </w:rPr>
        <w:t>and though the judge had referred to the period of time spent by the appellant in the United Kingdom, he having arrived in 2005, it was said to be arguable that the carrying out of the proportionality exercise given the length of time that the appellant had been in the United Kingdom required a greater degree of analysis than that demonstrated at the hearing.</w:t>
      </w:r>
    </w:p>
    <w:p w14:paraId="58310249" w14:textId="77777777" w:rsidR="00E23DD3" w:rsidRDefault="00E23DD3" w:rsidP="00911478">
      <w:pPr>
        <w:numPr>
          <w:ilvl w:val="0"/>
          <w:numId w:val="3"/>
        </w:numPr>
        <w:spacing w:before="240"/>
        <w:jc w:val="both"/>
        <w:rPr>
          <w:rFonts w:ascii="Book Antiqua" w:hAnsi="Book Antiqua" w:cs="Arial"/>
        </w:rPr>
      </w:pPr>
      <w:r>
        <w:rPr>
          <w:rFonts w:ascii="Book Antiqua" w:hAnsi="Book Antiqua" w:cs="Arial"/>
        </w:rPr>
        <w:t>The background to the case is set out by Judge Cockrill.  As I have already observed the appellant arrived in the United Kingdom</w:t>
      </w:r>
      <w:r w:rsidR="00CB16EB">
        <w:rPr>
          <w:rFonts w:ascii="Book Antiqua" w:hAnsi="Book Antiqua" w:cs="Arial"/>
        </w:rPr>
        <w:t xml:space="preserve"> in June 2005;</w:t>
      </w:r>
      <w:r>
        <w:rPr>
          <w:rFonts w:ascii="Book Antiqua" w:hAnsi="Book Antiqua" w:cs="Arial"/>
        </w:rPr>
        <w:t xml:space="preserve"> that was a finding made by Judge Cockrill which is not challenged.  He, that is to say the appellant, received a custodial sentence in 2008 in respect of an attempt to convert £2,000 into Euros with the use of a false Nigerian passport.  There is a history of unsuccessful applications for leave to remain in the United Kingdom: the judge refers to five successive </w:t>
      </w:r>
      <w:r w:rsidR="00D75502">
        <w:rPr>
          <w:rFonts w:ascii="Book Antiqua" w:hAnsi="Book Antiqua" w:cs="Arial"/>
        </w:rPr>
        <w:t xml:space="preserve">unsuccessful </w:t>
      </w:r>
      <w:r>
        <w:rPr>
          <w:rFonts w:ascii="Book Antiqua" w:hAnsi="Book Antiqua" w:cs="Arial"/>
        </w:rPr>
        <w:t>applications from 11</w:t>
      </w:r>
      <w:r w:rsidRPr="00E23DD3">
        <w:rPr>
          <w:rFonts w:ascii="Book Antiqua" w:hAnsi="Book Antiqua" w:cs="Arial"/>
          <w:vertAlign w:val="superscript"/>
        </w:rPr>
        <w:t>th</w:t>
      </w:r>
      <w:r>
        <w:rPr>
          <w:rFonts w:ascii="Book Antiqua" w:hAnsi="Book Antiqua" w:cs="Arial"/>
        </w:rPr>
        <w:t xml:space="preserve"> February 2011 until there was an unsuccessful appeal with respect to the last of those applications in September 2014.  </w:t>
      </w:r>
    </w:p>
    <w:p w14:paraId="6B319417" w14:textId="77777777" w:rsidR="00CB16EB" w:rsidRDefault="00E23DD3" w:rsidP="00911478">
      <w:pPr>
        <w:numPr>
          <w:ilvl w:val="0"/>
          <w:numId w:val="3"/>
        </w:numPr>
        <w:spacing w:before="240"/>
        <w:jc w:val="both"/>
        <w:rPr>
          <w:rFonts w:ascii="Book Antiqua" w:hAnsi="Book Antiqua" w:cs="Arial"/>
        </w:rPr>
      </w:pPr>
      <w:r>
        <w:rPr>
          <w:rFonts w:ascii="Book Antiqua" w:hAnsi="Book Antiqua" w:cs="Arial"/>
        </w:rPr>
        <w:t xml:space="preserve">Insofar as the appellant sought to rely on his private life he had contended for a relationship with a Nigerian national, Ms </w:t>
      </w:r>
      <w:proofErr w:type="spellStart"/>
      <w:r>
        <w:rPr>
          <w:rFonts w:ascii="Book Antiqua" w:hAnsi="Book Antiqua" w:cs="Arial"/>
        </w:rPr>
        <w:t>Ojo</w:t>
      </w:r>
      <w:proofErr w:type="spellEnd"/>
      <w:r>
        <w:rPr>
          <w:rFonts w:ascii="Book Antiqua" w:hAnsi="Book Antiqua" w:cs="Arial"/>
        </w:rPr>
        <w:t>, who had leave to remain in the United Kingdom until 3</w:t>
      </w:r>
      <w:r w:rsidRPr="00E23DD3">
        <w:rPr>
          <w:rFonts w:ascii="Book Antiqua" w:hAnsi="Book Antiqua" w:cs="Arial"/>
          <w:vertAlign w:val="superscript"/>
        </w:rPr>
        <w:t>rd</w:t>
      </w:r>
      <w:r>
        <w:rPr>
          <w:rFonts w:ascii="Book Antiqua" w:hAnsi="Book Antiqua" w:cs="Arial"/>
        </w:rPr>
        <w:t xml:space="preserve"> March 2016</w:t>
      </w:r>
      <w:r w:rsidR="00227A54">
        <w:rPr>
          <w:rFonts w:ascii="Book Antiqua" w:hAnsi="Book Antiqua" w:cs="Arial"/>
        </w:rPr>
        <w:t xml:space="preserve"> (at the time of the refusal letter).  The hurdle </w:t>
      </w:r>
      <w:r w:rsidR="00F011D5">
        <w:rPr>
          <w:rFonts w:ascii="Book Antiqua" w:hAnsi="Book Antiqua" w:cs="Arial"/>
        </w:rPr>
        <w:t>which</w:t>
      </w:r>
      <w:r w:rsidR="00227A54">
        <w:rPr>
          <w:rFonts w:ascii="Book Antiqua" w:hAnsi="Book Antiqua" w:cs="Arial"/>
        </w:rPr>
        <w:t xml:space="preserve"> the appellant had to meet, having regard to paragraph 276ADE, was that he would have to show, the burden being upon him, “very significant obstacles to integration into the country to which he would have to go if require</w:t>
      </w:r>
      <w:r w:rsidR="00D75502">
        <w:rPr>
          <w:rFonts w:ascii="Book Antiqua" w:hAnsi="Book Antiqua" w:cs="Arial"/>
        </w:rPr>
        <w:t xml:space="preserve">d to leave the United Kingdom”; </w:t>
      </w:r>
      <w:r w:rsidR="00227A54">
        <w:rPr>
          <w:rFonts w:ascii="Book Antiqua" w:hAnsi="Book Antiqua" w:cs="Arial"/>
        </w:rPr>
        <w:t xml:space="preserve">the candidate country being in this case Nigeria.  </w:t>
      </w:r>
    </w:p>
    <w:p w14:paraId="680B33EF" w14:textId="77777777" w:rsidR="00E23DD3" w:rsidRDefault="00CB16EB" w:rsidP="00911478">
      <w:pPr>
        <w:numPr>
          <w:ilvl w:val="0"/>
          <w:numId w:val="3"/>
        </w:numPr>
        <w:spacing w:before="240"/>
        <w:jc w:val="both"/>
        <w:rPr>
          <w:rFonts w:ascii="Book Antiqua" w:hAnsi="Book Antiqua" w:cs="Arial"/>
        </w:rPr>
      </w:pPr>
      <w:r>
        <w:rPr>
          <w:rFonts w:ascii="Book Antiqua" w:hAnsi="Book Antiqua" w:cs="Arial"/>
        </w:rPr>
        <w:t>At the hearing in the First-tier, t</w:t>
      </w:r>
      <w:r w:rsidR="00227A54">
        <w:rPr>
          <w:rFonts w:ascii="Book Antiqua" w:hAnsi="Book Antiqua" w:cs="Arial"/>
        </w:rPr>
        <w:t xml:space="preserve">he appellant gave evidence </w:t>
      </w:r>
      <w:r w:rsidR="00336CAF">
        <w:rPr>
          <w:rFonts w:ascii="Book Antiqua" w:hAnsi="Book Antiqua" w:cs="Arial"/>
        </w:rPr>
        <w:t xml:space="preserve">and called a number of witnesses, including a Mr </w:t>
      </w:r>
      <w:proofErr w:type="spellStart"/>
      <w:r w:rsidR="00336CAF">
        <w:rPr>
          <w:rFonts w:ascii="Book Antiqua" w:hAnsi="Book Antiqua" w:cs="Arial"/>
        </w:rPr>
        <w:t>Akindele</w:t>
      </w:r>
      <w:proofErr w:type="spellEnd"/>
      <w:r w:rsidR="00336CAF">
        <w:rPr>
          <w:rFonts w:ascii="Book Antiqua" w:hAnsi="Book Antiqua" w:cs="Arial"/>
        </w:rPr>
        <w:t xml:space="preserve">, whom the appellant described before Judge Cockrill as a “father figure”.  It was the appellant’s case that he no longer had family ties in </w:t>
      </w:r>
      <w:smartTag w:uri="urn:schemas-microsoft-com:office:smarttags" w:element="country-region">
        <w:smartTag w:uri="urn:schemas-microsoft-com:office:smarttags" w:element="place">
          <w:r w:rsidR="00336CAF">
            <w:rPr>
              <w:rFonts w:ascii="Book Antiqua" w:hAnsi="Book Antiqua" w:cs="Arial"/>
            </w:rPr>
            <w:t>Nigeria</w:t>
          </w:r>
        </w:smartTag>
      </w:smartTag>
      <w:r w:rsidR="00336CAF">
        <w:rPr>
          <w:rFonts w:ascii="Book Antiqua" w:hAnsi="Book Antiqua" w:cs="Arial"/>
        </w:rPr>
        <w:t xml:space="preserve"> and that his family now consisted of Ms </w:t>
      </w:r>
      <w:proofErr w:type="spellStart"/>
      <w:r w:rsidR="00336CAF">
        <w:rPr>
          <w:rFonts w:ascii="Book Antiqua" w:hAnsi="Book Antiqua" w:cs="Arial"/>
        </w:rPr>
        <w:t>Ojo</w:t>
      </w:r>
      <w:proofErr w:type="spellEnd"/>
      <w:r w:rsidR="00336CAF">
        <w:rPr>
          <w:rFonts w:ascii="Book Antiqua" w:hAnsi="Book Antiqua" w:cs="Arial"/>
        </w:rPr>
        <w:t xml:space="preserve">, his fiancée, his uncle, aunt and cousins.  </w:t>
      </w:r>
    </w:p>
    <w:p w14:paraId="10D44227" w14:textId="77777777" w:rsidR="00D75502" w:rsidRDefault="00336CAF" w:rsidP="00911478">
      <w:pPr>
        <w:numPr>
          <w:ilvl w:val="0"/>
          <w:numId w:val="3"/>
        </w:numPr>
        <w:spacing w:before="240"/>
        <w:jc w:val="both"/>
        <w:rPr>
          <w:rFonts w:ascii="Book Antiqua" w:hAnsi="Book Antiqua" w:cs="Arial"/>
        </w:rPr>
      </w:pPr>
      <w:r>
        <w:rPr>
          <w:rFonts w:ascii="Book Antiqua" w:hAnsi="Book Antiqua" w:cs="Arial"/>
        </w:rPr>
        <w:t xml:space="preserve">As to the relationship with Ms </w:t>
      </w:r>
      <w:proofErr w:type="spellStart"/>
      <w:r>
        <w:rPr>
          <w:rFonts w:ascii="Book Antiqua" w:hAnsi="Book Antiqua" w:cs="Arial"/>
        </w:rPr>
        <w:t>Ojo</w:t>
      </w:r>
      <w:proofErr w:type="spellEnd"/>
      <w:r>
        <w:rPr>
          <w:rFonts w:ascii="Book Antiqua" w:hAnsi="Book Antiqua" w:cs="Arial"/>
        </w:rPr>
        <w:t xml:space="preserve"> it was his case that that had begun about five or six years prior to the hearing in the First-tier Tribunal.  She had arrived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in 2004.  He was not working.  Evidence was received</w:t>
      </w:r>
      <w:r w:rsidR="002A39D1">
        <w:rPr>
          <w:rFonts w:ascii="Book Antiqua" w:hAnsi="Book Antiqua" w:cs="Arial"/>
        </w:rPr>
        <w:t>,</w:t>
      </w:r>
      <w:r>
        <w:rPr>
          <w:rFonts w:ascii="Book Antiqua" w:hAnsi="Book Antiqua" w:cs="Arial"/>
        </w:rPr>
        <w:t xml:space="preserve"> as I have </w:t>
      </w:r>
      <w:r w:rsidR="00CB16EB">
        <w:rPr>
          <w:rFonts w:ascii="Book Antiqua" w:hAnsi="Book Antiqua" w:cs="Arial"/>
        </w:rPr>
        <w:t>said, from</w:t>
      </w:r>
      <w:r w:rsidR="00810266">
        <w:rPr>
          <w:rFonts w:ascii="Book Antiqua" w:hAnsi="Book Antiqua" w:cs="Arial"/>
        </w:rPr>
        <w:t xml:space="preserve"> a number of witnesses including Ms </w:t>
      </w:r>
      <w:proofErr w:type="spellStart"/>
      <w:r w:rsidR="00810266">
        <w:rPr>
          <w:rFonts w:ascii="Book Antiqua" w:hAnsi="Book Antiqua" w:cs="Arial"/>
        </w:rPr>
        <w:t>Ojo</w:t>
      </w:r>
      <w:proofErr w:type="spellEnd"/>
      <w:r w:rsidR="00DD5521">
        <w:rPr>
          <w:rFonts w:ascii="Book Antiqua" w:hAnsi="Book Antiqua" w:cs="Arial"/>
        </w:rPr>
        <w:t xml:space="preserve">.  Her evidence was that her </w:t>
      </w:r>
      <w:r w:rsidR="00666CD3">
        <w:rPr>
          <w:rFonts w:ascii="Book Antiqua" w:hAnsi="Book Antiqua" w:cs="Arial"/>
        </w:rPr>
        <w:t>l</w:t>
      </w:r>
      <w:r w:rsidR="00D75502">
        <w:rPr>
          <w:rFonts w:ascii="Book Antiqua" w:hAnsi="Book Antiqua" w:cs="Arial"/>
        </w:rPr>
        <w:t>eave had been extended to 2019. H</w:t>
      </w:r>
      <w:r w:rsidR="00666CD3">
        <w:rPr>
          <w:rFonts w:ascii="Book Antiqua" w:hAnsi="Book Antiqua" w:cs="Arial"/>
        </w:rPr>
        <w:t xml:space="preserve">er family were, she said, in the United Kingdom.  </w:t>
      </w:r>
    </w:p>
    <w:p w14:paraId="39FA7BFB" w14:textId="77777777" w:rsidR="00336CAF" w:rsidRDefault="00666CD3" w:rsidP="00911478">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Akindele</w:t>
      </w:r>
      <w:proofErr w:type="spellEnd"/>
      <w:r>
        <w:rPr>
          <w:rFonts w:ascii="Book Antiqua" w:hAnsi="Book Antiqua" w:cs="Arial"/>
        </w:rPr>
        <w:t xml:space="preserve"> gave evidence.  He is a German national and confirmed that he had been supporting the appellant </w:t>
      </w:r>
      <w:r w:rsidR="00F011D5">
        <w:rPr>
          <w:rFonts w:ascii="Book Antiqua" w:hAnsi="Book Antiqua" w:cs="Arial"/>
        </w:rPr>
        <w:t>since</w:t>
      </w:r>
      <w:r>
        <w:rPr>
          <w:rFonts w:ascii="Book Antiqua" w:hAnsi="Book Antiqua" w:cs="Arial"/>
        </w:rPr>
        <w:t xml:space="preserve"> his, the appellant’s, arrival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w:t>
      </w:r>
    </w:p>
    <w:p w14:paraId="59730D4C" w14:textId="77777777" w:rsidR="00666CD3" w:rsidRDefault="00666CD3" w:rsidP="00911478">
      <w:pPr>
        <w:numPr>
          <w:ilvl w:val="0"/>
          <w:numId w:val="3"/>
        </w:numPr>
        <w:spacing w:before="240"/>
        <w:jc w:val="both"/>
        <w:rPr>
          <w:rFonts w:ascii="Book Antiqua" w:hAnsi="Book Antiqua" w:cs="Arial"/>
        </w:rPr>
      </w:pPr>
      <w:r>
        <w:rPr>
          <w:rFonts w:ascii="Book Antiqua" w:hAnsi="Book Antiqua" w:cs="Arial"/>
        </w:rPr>
        <w:t xml:space="preserve">Ms Adebayo gave evidence.  She is the aunt of the appellant and gave evidence to the effect that the appellant had no family in </w:t>
      </w:r>
      <w:smartTag w:uri="urn:schemas-microsoft-com:office:smarttags" w:element="country-region">
        <w:smartTag w:uri="urn:schemas-microsoft-com:office:smarttags" w:element="place">
          <w:r>
            <w:rPr>
              <w:rFonts w:ascii="Book Antiqua" w:hAnsi="Book Antiqua" w:cs="Arial"/>
            </w:rPr>
            <w:t>Nigeria</w:t>
          </w:r>
        </w:smartTag>
      </w:smartTag>
      <w:r>
        <w:rPr>
          <w:rFonts w:ascii="Book Antiqua" w:hAnsi="Book Antiqua" w:cs="Arial"/>
        </w:rPr>
        <w:t xml:space="preserve">.  She was not in contact with the appellant’s father.  </w:t>
      </w:r>
    </w:p>
    <w:p w14:paraId="2DD1F088" w14:textId="77777777" w:rsidR="00666CD3" w:rsidRDefault="00666CD3" w:rsidP="00911478">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Dosumu</w:t>
      </w:r>
      <w:proofErr w:type="spellEnd"/>
      <w:r>
        <w:rPr>
          <w:rFonts w:ascii="Book Antiqua" w:hAnsi="Book Antiqua" w:cs="Arial"/>
        </w:rPr>
        <w:t xml:space="preserve"> gave evidence.  She is an aunt of the appellant.</w:t>
      </w:r>
    </w:p>
    <w:p w14:paraId="6A0555AA" w14:textId="77777777" w:rsidR="00666CD3" w:rsidRDefault="00666CD3" w:rsidP="00911478">
      <w:pPr>
        <w:numPr>
          <w:ilvl w:val="0"/>
          <w:numId w:val="3"/>
        </w:numPr>
        <w:spacing w:before="240"/>
        <w:jc w:val="both"/>
        <w:rPr>
          <w:rFonts w:ascii="Book Antiqua" w:hAnsi="Book Antiqua" w:cs="Arial"/>
        </w:rPr>
      </w:pPr>
      <w:r>
        <w:rPr>
          <w:rFonts w:ascii="Book Antiqua" w:hAnsi="Book Antiqua" w:cs="Arial"/>
        </w:rPr>
        <w:lastRenderedPageBreak/>
        <w:t xml:space="preserve">Evidence was then received from a Mrs Oni, a British national, who spoke of the appellant’s good character, and finally a Mr </w:t>
      </w:r>
      <w:proofErr w:type="spellStart"/>
      <w:r>
        <w:rPr>
          <w:rFonts w:ascii="Book Antiqua" w:hAnsi="Book Antiqua" w:cs="Arial"/>
        </w:rPr>
        <w:t>Sogeyinbo</w:t>
      </w:r>
      <w:proofErr w:type="spellEnd"/>
      <w:r>
        <w:rPr>
          <w:rFonts w:ascii="Book Antiqua" w:hAnsi="Book Antiqua" w:cs="Arial"/>
        </w:rPr>
        <w:t>, a friend of the appellant for over ten years spoke highly of the appellant’s patience and honesty and how he was a valuable member of the community.</w:t>
      </w:r>
    </w:p>
    <w:p w14:paraId="69B446CD" w14:textId="77777777" w:rsidR="00CB16EB" w:rsidRDefault="00D5098C" w:rsidP="00911478">
      <w:pPr>
        <w:numPr>
          <w:ilvl w:val="0"/>
          <w:numId w:val="3"/>
        </w:numPr>
        <w:spacing w:before="240"/>
        <w:jc w:val="both"/>
        <w:rPr>
          <w:rFonts w:ascii="Book Antiqua" w:hAnsi="Book Antiqua" w:cs="Arial"/>
        </w:rPr>
      </w:pPr>
      <w:r>
        <w:rPr>
          <w:rFonts w:ascii="Book Antiqua" w:hAnsi="Book Antiqua" w:cs="Arial"/>
        </w:rPr>
        <w:t>Judge Cockrill, found as a fact</w:t>
      </w:r>
      <w:r w:rsidR="00CB16EB">
        <w:rPr>
          <w:rFonts w:ascii="Book Antiqua" w:hAnsi="Book Antiqua" w:cs="Arial"/>
        </w:rPr>
        <w:t>,</w:t>
      </w:r>
      <w:r>
        <w:rPr>
          <w:rFonts w:ascii="Book Antiqua" w:hAnsi="Book Antiqua" w:cs="Arial"/>
        </w:rPr>
        <w:t xml:space="preserve"> on the basis of all of the evidence</w:t>
      </w:r>
      <w:r w:rsidR="00CB16EB">
        <w:rPr>
          <w:rFonts w:ascii="Book Antiqua" w:hAnsi="Book Antiqua" w:cs="Arial"/>
        </w:rPr>
        <w:t xml:space="preserve"> that he </w:t>
      </w:r>
      <w:r>
        <w:rPr>
          <w:rFonts w:ascii="Book Antiqua" w:hAnsi="Book Antiqua" w:cs="Arial"/>
        </w:rPr>
        <w:t>heard</w:t>
      </w:r>
      <w:r w:rsidR="00D75502">
        <w:rPr>
          <w:rFonts w:ascii="Book Antiqua" w:hAnsi="Book Antiqua" w:cs="Arial"/>
        </w:rPr>
        <w:t>,</w:t>
      </w:r>
      <w:r>
        <w:rPr>
          <w:rFonts w:ascii="Book Antiqua" w:hAnsi="Book Antiqua" w:cs="Arial"/>
        </w:rPr>
        <w:t xml:space="preserve"> that the appellant arrived when he said he had done so and that he </w:t>
      </w:r>
      <w:r w:rsidR="00CB16EB">
        <w:rPr>
          <w:rFonts w:ascii="Book Antiqua" w:hAnsi="Book Antiqua" w:cs="Arial"/>
        </w:rPr>
        <w:t xml:space="preserve">accepted that the Appellant had </w:t>
      </w:r>
      <w:r>
        <w:rPr>
          <w:rFonts w:ascii="Book Antiqua" w:hAnsi="Book Antiqua" w:cs="Arial"/>
        </w:rPr>
        <w:t xml:space="preserve">studied in the United Kingdom.  He </w:t>
      </w:r>
      <w:r w:rsidR="00F011D5">
        <w:rPr>
          <w:rFonts w:ascii="Book Antiqua" w:hAnsi="Book Antiqua" w:cs="Arial"/>
        </w:rPr>
        <w:t>accepted</w:t>
      </w:r>
      <w:r>
        <w:rPr>
          <w:rFonts w:ascii="Book Antiqua" w:hAnsi="Book Antiqua" w:cs="Arial"/>
        </w:rPr>
        <w:t xml:space="preserve"> that, to some extent</w:t>
      </w:r>
      <w:r w:rsidR="00D75502">
        <w:rPr>
          <w:rFonts w:ascii="Book Antiqua" w:hAnsi="Book Antiqua" w:cs="Arial"/>
        </w:rPr>
        <w:t>, the appellant was a victim,</w:t>
      </w:r>
      <w:r>
        <w:rPr>
          <w:rFonts w:ascii="Book Antiqua" w:hAnsi="Book Antiqua" w:cs="Arial"/>
        </w:rPr>
        <w:t xml:space="preserve"> having arrived in the United Kingdom when he was a minor.  </w:t>
      </w:r>
    </w:p>
    <w:p w14:paraId="440D23D4" w14:textId="77777777" w:rsidR="00CB16EB" w:rsidRDefault="00D5098C" w:rsidP="00911478">
      <w:pPr>
        <w:numPr>
          <w:ilvl w:val="0"/>
          <w:numId w:val="3"/>
        </w:numPr>
        <w:spacing w:before="240"/>
        <w:jc w:val="both"/>
        <w:rPr>
          <w:rFonts w:ascii="Book Antiqua" w:hAnsi="Book Antiqua" w:cs="Arial"/>
        </w:rPr>
      </w:pPr>
      <w:r>
        <w:rPr>
          <w:rFonts w:ascii="Book Antiqua" w:hAnsi="Book Antiqua" w:cs="Arial"/>
        </w:rPr>
        <w:t xml:space="preserve">Having regard to those factors to which weight should be given, Judge Cockrill noted the length of time that the appellant had been in the United Kingdom, but he </w:t>
      </w:r>
      <w:r w:rsidR="00F011D5">
        <w:rPr>
          <w:rFonts w:ascii="Book Antiqua" w:hAnsi="Book Antiqua" w:cs="Arial"/>
        </w:rPr>
        <w:t>came</w:t>
      </w:r>
      <w:r>
        <w:rPr>
          <w:rFonts w:ascii="Book Antiqua" w:hAnsi="Book Antiqua" w:cs="Arial"/>
        </w:rPr>
        <w:t xml:space="preserve"> to the view that as a young man who was fit and able with A levels, he should be able to integrate himself </w:t>
      </w:r>
      <w:r w:rsidR="00F011D5">
        <w:rPr>
          <w:rFonts w:ascii="Book Antiqua" w:hAnsi="Book Antiqua" w:cs="Arial"/>
        </w:rPr>
        <w:t>perfectly</w:t>
      </w:r>
      <w:r>
        <w:rPr>
          <w:rFonts w:ascii="Book Antiqua" w:hAnsi="Book Antiqua" w:cs="Arial"/>
        </w:rPr>
        <w:t xml:space="preserve"> satisfactorily into Nigerian society.  He concluded that the appellant did not meet the test under 276ADE(1)(vi).  The judge then went on to consider the issue of proportionality outside of the Rules.  </w:t>
      </w:r>
    </w:p>
    <w:p w14:paraId="4724516F" w14:textId="77777777" w:rsidR="00666CD3" w:rsidRDefault="00CB16EB" w:rsidP="00911478">
      <w:pPr>
        <w:numPr>
          <w:ilvl w:val="0"/>
          <w:numId w:val="3"/>
        </w:numPr>
        <w:spacing w:before="240"/>
        <w:jc w:val="both"/>
        <w:rPr>
          <w:rFonts w:ascii="Book Antiqua" w:hAnsi="Book Antiqua" w:cs="Arial"/>
        </w:rPr>
      </w:pPr>
      <w:r>
        <w:rPr>
          <w:rFonts w:ascii="Book Antiqua" w:hAnsi="Book Antiqua" w:cs="Arial"/>
        </w:rPr>
        <w:t>It is clear to me that</w:t>
      </w:r>
      <w:r w:rsidR="00D5098C">
        <w:rPr>
          <w:rFonts w:ascii="Book Antiqua" w:hAnsi="Book Antiqua" w:cs="Arial"/>
        </w:rPr>
        <w:t>, in making findings</w:t>
      </w:r>
      <w:r>
        <w:rPr>
          <w:rFonts w:ascii="Book Antiqua" w:hAnsi="Book Antiqua" w:cs="Arial"/>
        </w:rPr>
        <w:t>,</w:t>
      </w:r>
      <w:r w:rsidR="00D5098C">
        <w:rPr>
          <w:rFonts w:ascii="Book Antiqua" w:hAnsi="Book Antiqua" w:cs="Arial"/>
        </w:rPr>
        <w:t xml:space="preserve"> at paragraph 29</w:t>
      </w:r>
      <w:r>
        <w:rPr>
          <w:rFonts w:ascii="Book Antiqua" w:hAnsi="Book Antiqua" w:cs="Arial"/>
        </w:rPr>
        <w:t>,</w:t>
      </w:r>
      <w:r w:rsidR="00D75502">
        <w:rPr>
          <w:rFonts w:ascii="Book Antiqua" w:hAnsi="Book Antiqua" w:cs="Arial"/>
        </w:rPr>
        <w:t xml:space="preserve"> J</w:t>
      </w:r>
      <w:r w:rsidR="00D5098C">
        <w:rPr>
          <w:rFonts w:ascii="Book Antiqua" w:hAnsi="Book Antiqua" w:cs="Arial"/>
        </w:rPr>
        <w:t>udge</w:t>
      </w:r>
      <w:r w:rsidR="00D75502">
        <w:rPr>
          <w:rFonts w:ascii="Book Antiqua" w:hAnsi="Book Antiqua" w:cs="Arial"/>
        </w:rPr>
        <w:t xml:space="preserve"> Cockrill</w:t>
      </w:r>
      <w:r w:rsidR="00D5098C">
        <w:rPr>
          <w:rFonts w:ascii="Book Antiqua" w:hAnsi="Book Antiqua" w:cs="Arial"/>
        </w:rPr>
        <w:t xml:space="preserve"> </w:t>
      </w:r>
      <w:r w:rsidR="00D75502">
        <w:rPr>
          <w:rFonts w:ascii="Book Antiqua" w:hAnsi="Book Antiqua" w:cs="Arial"/>
        </w:rPr>
        <w:t>did have</w:t>
      </w:r>
      <w:r w:rsidR="00D5098C">
        <w:rPr>
          <w:rFonts w:ascii="Book Antiqua" w:hAnsi="Book Antiqua" w:cs="Arial"/>
        </w:rPr>
        <w:t xml:space="preserve"> regard to the totality of the evidence as given before him.  The judge </w:t>
      </w:r>
      <w:r>
        <w:rPr>
          <w:rFonts w:ascii="Book Antiqua" w:hAnsi="Book Antiqua" w:cs="Arial"/>
        </w:rPr>
        <w:t xml:space="preserve">found that </w:t>
      </w:r>
      <w:r w:rsidR="00D5098C">
        <w:rPr>
          <w:rFonts w:ascii="Book Antiqua" w:hAnsi="Book Antiqua" w:cs="Arial"/>
        </w:rPr>
        <w:t>the appellant d</w:t>
      </w:r>
      <w:r>
        <w:rPr>
          <w:rFonts w:ascii="Book Antiqua" w:hAnsi="Book Antiqua" w:cs="Arial"/>
        </w:rPr>
        <w:t>id</w:t>
      </w:r>
      <w:r w:rsidR="00D5098C">
        <w:rPr>
          <w:rFonts w:ascii="Book Antiqua" w:hAnsi="Book Antiqua" w:cs="Arial"/>
        </w:rPr>
        <w:t xml:space="preserve"> not have family life </w:t>
      </w:r>
      <w:r>
        <w:rPr>
          <w:rFonts w:ascii="Book Antiqua" w:hAnsi="Book Antiqua" w:cs="Arial"/>
        </w:rPr>
        <w:t>“</w:t>
      </w:r>
      <w:r w:rsidR="00D5098C">
        <w:rPr>
          <w:rFonts w:ascii="Book Antiqua" w:hAnsi="Book Antiqua" w:cs="Arial"/>
        </w:rPr>
        <w:t>as such</w:t>
      </w:r>
      <w:r>
        <w:rPr>
          <w:rFonts w:ascii="Book Antiqua" w:hAnsi="Book Antiqua" w:cs="Arial"/>
        </w:rPr>
        <w:t>”</w:t>
      </w:r>
      <w:r w:rsidR="00D5098C">
        <w:rPr>
          <w:rFonts w:ascii="Book Antiqua" w:hAnsi="Book Antiqua" w:cs="Arial"/>
        </w:rPr>
        <w:t xml:space="preserve"> in the United Kingdom.  </w:t>
      </w:r>
      <w:r>
        <w:rPr>
          <w:rFonts w:ascii="Book Antiqua" w:hAnsi="Book Antiqua" w:cs="Arial"/>
        </w:rPr>
        <w:t>“</w:t>
      </w:r>
      <w:r w:rsidR="00D5098C">
        <w:rPr>
          <w:rFonts w:ascii="Book Antiqua" w:hAnsi="Book Antiqua" w:cs="Arial"/>
        </w:rPr>
        <w:t xml:space="preserve">He has got family members but none of those relationships goes beyond anything that can be described as “normal, emotional bonds”. </w:t>
      </w:r>
      <w:r>
        <w:rPr>
          <w:rFonts w:ascii="Book Antiqua" w:hAnsi="Book Antiqua" w:cs="Arial"/>
        </w:rPr>
        <w:t xml:space="preserve">That finding </w:t>
      </w:r>
      <w:r w:rsidR="00D75502">
        <w:rPr>
          <w:rFonts w:ascii="Book Antiqua" w:hAnsi="Book Antiqua" w:cs="Arial"/>
        </w:rPr>
        <w:t>was clearly based on the evidence which Judge Cockrill heard</w:t>
      </w:r>
      <w:r w:rsidR="00D5098C">
        <w:rPr>
          <w:rFonts w:ascii="Book Antiqua" w:hAnsi="Book Antiqua" w:cs="Arial"/>
        </w:rPr>
        <w:t xml:space="preserve">.  </w:t>
      </w:r>
      <w:r w:rsidR="00D75502">
        <w:rPr>
          <w:rFonts w:ascii="Book Antiqua" w:hAnsi="Book Antiqua" w:cs="Arial"/>
        </w:rPr>
        <w:t>H</w:t>
      </w:r>
      <w:r w:rsidR="00D5098C">
        <w:rPr>
          <w:rFonts w:ascii="Book Antiqua" w:hAnsi="Book Antiqua" w:cs="Arial"/>
        </w:rPr>
        <w:t xml:space="preserve">e went on to note that there was a “steady girlfriend who is [his] fiancée”.  The judge also took that into account and gave weight to it.  </w:t>
      </w:r>
      <w:r w:rsidR="00A511F6">
        <w:rPr>
          <w:rFonts w:ascii="Book Antiqua" w:hAnsi="Book Antiqua" w:cs="Arial"/>
        </w:rPr>
        <w:t xml:space="preserve">The judge noted that there would be a difference for the appellant in living in </w:t>
      </w:r>
      <w:smartTag w:uri="urn:schemas-microsoft-com:office:smarttags" w:element="country-region">
        <w:smartTag w:uri="urn:schemas-microsoft-com:office:smarttags" w:element="place">
          <w:r w:rsidR="00A511F6">
            <w:rPr>
              <w:rFonts w:ascii="Book Antiqua" w:hAnsi="Book Antiqua" w:cs="Arial"/>
            </w:rPr>
            <w:t>Nigeria</w:t>
          </w:r>
        </w:smartTag>
      </w:smartTag>
      <w:r w:rsidR="00A511F6">
        <w:rPr>
          <w:rFonts w:ascii="Book Antiqua" w:hAnsi="Book Antiqua" w:cs="Arial"/>
        </w:rPr>
        <w:t xml:space="preserve">, but then went through the </w:t>
      </w:r>
      <w:proofErr w:type="spellStart"/>
      <w:r w:rsidR="00A511F6" w:rsidRPr="00CB16EB">
        <w:rPr>
          <w:rFonts w:ascii="Book Antiqua" w:hAnsi="Book Antiqua" w:cs="Arial"/>
          <w:b/>
          <w:i/>
          <w:u w:val="single"/>
        </w:rPr>
        <w:t>Razgar</w:t>
      </w:r>
      <w:proofErr w:type="spellEnd"/>
      <w:r w:rsidR="00A511F6">
        <w:rPr>
          <w:rFonts w:ascii="Book Antiqua" w:hAnsi="Book Antiqua" w:cs="Arial"/>
        </w:rPr>
        <w:t xml:space="preserve"> tests and found that the public interest outweighed the individual factors prayed in aid by the appellant.  </w:t>
      </w:r>
    </w:p>
    <w:p w14:paraId="5754EBDC" w14:textId="77777777" w:rsidR="00A511F6" w:rsidRDefault="00A511F6" w:rsidP="00594263">
      <w:pPr>
        <w:numPr>
          <w:ilvl w:val="0"/>
          <w:numId w:val="3"/>
        </w:numPr>
        <w:spacing w:before="240"/>
        <w:jc w:val="both"/>
        <w:rPr>
          <w:rFonts w:ascii="Book Antiqua" w:hAnsi="Book Antiqua" w:cs="Arial"/>
        </w:rPr>
      </w:pPr>
      <w:r>
        <w:rPr>
          <w:rFonts w:ascii="Book Antiqua" w:hAnsi="Book Antiqua" w:cs="Arial"/>
        </w:rPr>
        <w:t xml:space="preserve">Mr Collins submitted that there was no sufficient full assessment of the problems which would face the appellant were he required to return to Nigeria.  The appellant has had no contact with his father since he was 7, and there were no sufficient findings with respect to that aspect of the case against a background in which the appellant had contended that he had no family ties in Nigeria.  Mr Collins reminded me of the guidance in the case of </w:t>
      </w:r>
      <w:r w:rsidR="00594263" w:rsidRPr="00594263">
        <w:rPr>
          <w:rFonts w:ascii="Book Antiqua" w:hAnsi="Book Antiqua" w:cs="Arial"/>
          <w:b/>
          <w:u w:val="single"/>
        </w:rPr>
        <w:t>AK (Failure to assess witnesses' evidence) Turkey</w:t>
      </w:r>
      <w:r w:rsidR="00594263" w:rsidRPr="00594263">
        <w:rPr>
          <w:rFonts w:ascii="Book Antiqua" w:hAnsi="Book Antiqua" w:cs="Arial"/>
          <w:b/>
        </w:rPr>
        <w:t xml:space="preserve"> [2004] UKIAT 00230 </w:t>
      </w:r>
      <w:r>
        <w:rPr>
          <w:rFonts w:ascii="Book Antiqua" w:hAnsi="Book Antiqua" w:cs="Arial"/>
        </w:rPr>
        <w:t xml:space="preserve">and the need for findings in respect of all the witnesses called.  The observations of the judge, it was submitted at paragraph 27, about whether or not the appellant is a “fit and able” young man who should be in a position to integrate was an error of law because the proper test was about insurmountable obstacles and I was then reminded of the guidance in the case of </w:t>
      </w:r>
      <w:proofErr w:type="spellStart"/>
      <w:r w:rsidRPr="00A511F6">
        <w:rPr>
          <w:rFonts w:ascii="Book Antiqua" w:hAnsi="Book Antiqua" w:cs="Arial"/>
          <w:b/>
          <w:u w:val="single"/>
        </w:rPr>
        <w:t>Agyarko</w:t>
      </w:r>
      <w:proofErr w:type="spellEnd"/>
      <w:r w:rsidRPr="00A511F6">
        <w:rPr>
          <w:rFonts w:ascii="Book Antiqua" w:hAnsi="Book Antiqua" w:cs="Arial"/>
          <w:b/>
        </w:rPr>
        <w:t xml:space="preserve"> [2017] UKSC 11</w:t>
      </w:r>
      <w:r>
        <w:rPr>
          <w:rFonts w:ascii="Book Antiqua" w:hAnsi="Book Antiqua" w:cs="Arial"/>
        </w:rPr>
        <w:t xml:space="preserve">.  </w:t>
      </w:r>
    </w:p>
    <w:p w14:paraId="6FE93D45" w14:textId="77777777" w:rsidR="00A511F6" w:rsidRDefault="00A511F6" w:rsidP="00911478">
      <w:pPr>
        <w:numPr>
          <w:ilvl w:val="0"/>
          <w:numId w:val="3"/>
        </w:numPr>
        <w:spacing w:before="240"/>
        <w:jc w:val="both"/>
        <w:rPr>
          <w:rFonts w:ascii="Book Antiqua" w:hAnsi="Book Antiqua" w:cs="Arial"/>
        </w:rPr>
      </w:pPr>
      <w:r>
        <w:rPr>
          <w:rFonts w:ascii="Book Antiqua" w:hAnsi="Book Antiqua" w:cs="Arial"/>
        </w:rPr>
        <w:t xml:space="preserve">After some analysis in respect of the meaning of insurmountable obstacles and precariousness, at paragraph 57 in the case of </w:t>
      </w:r>
      <w:proofErr w:type="spellStart"/>
      <w:r w:rsidRPr="00A511F6">
        <w:rPr>
          <w:rFonts w:ascii="Book Antiqua" w:hAnsi="Book Antiqua" w:cs="Arial"/>
          <w:b/>
          <w:u w:val="single"/>
        </w:rPr>
        <w:t>Agyarko</w:t>
      </w:r>
      <w:proofErr w:type="spellEnd"/>
      <w:r>
        <w:rPr>
          <w:rFonts w:ascii="Book Antiqua" w:hAnsi="Book Antiqua" w:cs="Arial"/>
        </w:rPr>
        <w:t xml:space="preserve"> Lord Reed who gave the leading judgment said as follows:-</w:t>
      </w:r>
    </w:p>
    <w:p w14:paraId="61E084EA" w14:textId="77777777" w:rsidR="00A511F6" w:rsidRPr="009351EC" w:rsidRDefault="00A511F6" w:rsidP="00A511F6">
      <w:pPr>
        <w:spacing w:before="240"/>
        <w:ind w:left="1134"/>
        <w:jc w:val="both"/>
        <w:rPr>
          <w:rFonts w:ascii="Book Antiqua" w:hAnsi="Book Antiqua" w:cs="Arial"/>
          <w:i/>
        </w:rPr>
      </w:pPr>
      <w:r w:rsidRPr="009351EC">
        <w:rPr>
          <w:rFonts w:ascii="Book Antiqua" w:hAnsi="Book Antiqua" w:cs="Arial"/>
          <w:i/>
        </w:rPr>
        <w:t>“</w:t>
      </w:r>
      <w:bookmarkStart w:id="1" w:name="para57"/>
      <w:r w:rsidRPr="009351EC">
        <w:rPr>
          <w:rFonts w:ascii="Book Antiqua" w:hAnsi="Book Antiqua" w:cs="Arial"/>
          <w:i/>
        </w:rPr>
        <w:t xml:space="preserve">That approach (referring to the guidance in </w:t>
      </w:r>
      <w:r w:rsidRPr="009351EC">
        <w:rPr>
          <w:rFonts w:ascii="Book Antiqua" w:hAnsi="Book Antiqua" w:cs="Arial"/>
          <w:b/>
          <w:i/>
          <w:u w:val="single"/>
        </w:rPr>
        <w:t>Hesham Ali</w:t>
      </w:r>
      <w:r w:rsidRPr="009351EC">
        <w:rPr>
          <w:rFonts w:ascii="Book Antiqua" w:hAnsi="Book Antiqua" w:cs="Arial"/>
          <w:i/>
        </w:rPr>
        <w:t xml:space="preserve">) is also appropriate when a court or tribunal is considering whether a refusal of leave to remain is compatible with </w:t>
      </w:r>
      <w:r w:rsidR="0064245F" w:rsidRPr="009351EC">
        <w:rPr>
          <w:rFonts w:ascii="Book Antiqua" w:hAnsi="Book Antiqua" w:cs="Arial"/>
          <w:i/>
        </w:rPr>
        <w:t>A</w:t>
      </w:r>
      <w:r w:rsidRPr="009351EC">
        <w:rPr>
          <w:rFonts w:ascii="Book Antiqua" w:hAnsi="Book Antiqua" w:cs="Arial"/>
          <w:i/>
        </w:rPr>
        <w:t xml:space="preserve">rticle 8 in the context of precarious family life. Ultimately, it has to decide whether the refusal is proportionate in the particular case before it, balancing the strength of the public interest in the removal of the person in question against the impact on private and family </w:t>
      </w:r>
      <w:r w:rsidRPr="009351EC">
        <w:rPr>
          <w:rFonts w:ascii="Book Antiqua" w:hAnsi="Book Antiqua" w:cs="Arial"/>
          <w:i/>
        </w:rPr>
        <w:lastRenderedPageBreak/>
        <w:t>life. In doing so, it should give appropriate w</w:t>
      </w:r>
      <w:r w:rsidR="00DA75DF" w:rsidRPr="009351EC">
        <w:rPr>
          <w:rFonts w:ascii="Book Antiqua" w:hAnsi="Book Antiqua" w:cs="Arial"/>
          <w:i/>
        </w:rPr>
        <w:t>eight to the Secretary of State’</w:t>
      </w:r>
      <w:r w:rsidRPr="009351EC">
        <w:rPr>
          <w:rFonts w:ascii="Book Antiqua" w:hAnsi="Book Antiqua" w:cs="Arial"/>
          <w:i/>
        </w:rPr>
        <w:t xml:space="preserve">s policy, expressed in the Rules and the Instructions, that the public interest in immigration control can be outweighed, when considering an application for leave to remain brought by a person in the UK in breach of immigration laws, only where there are </w:t>
      </w:r>
      <w:r w:rsidR="00DA75DF" w:rsidRPr="009351EC">
        <w:rPr>
          <w:rFonts w:ascii="Book Antiqua" w:hAnsi="Book Antiqua" w:cs="Arial"/>
          <w:i/>
        </w:rPr>
        <w:t>‘insurmountable obstacles’ or ‘exceptional circumstances’</w:t>
      </w:r>
      <w:r w:rsidRPr="009351EC">
        <w:rPr>
          <w:rFonts w:ascii="Book Antiqua" w:hAnsi="Book Antiqua" w:cs="Arial"/>
          <w:i/>
        </w:rPr>
        <w:t xml:space="preserve"> as defined. It must also consider all factors relevant to the specific case in question, including, where relevant, the matters discussed in </w:t>
      </w:r>
      <w:r w:rsidR="0064245F" w:rsidRPr="009351EC">
        <w:rPr>
          <w:rFonts w:ascii="Book Antiqua" w:hAnsi="Book Antiqua" w:cs="Arial"/>
          <w:i/>
        </w:rPr>
        <w:t xml:space="preserve">paragraphs </w:t>
      </w:r>
      <w:r w:rsidRPr="009351EC">
        <w:rPr>
          <w:rFonts w:ascii="Book Antiqua" w:hAnsi="Book Antiqua" w:cs="Arial"/>
          <w:i/>
        </w:rPr>
        <w:t xml:space="preserve">51-52 above. The critical issue will generally be whether, giving due weight to the strength of the public interest in the removal of the person in the case before it, the </w:t>
      </w:r>
      <w:r w:rsidR="0064245F" w:rsidRPr="009351EC">
        <w:rPr>
          <w:rFonts w:ascii="Book Antiqua" w:hAnsi="Book Antiqua" w:cs="Arial"/>
          <w:i/>
        </w:rPr>
        <w:t>A</w:t>
      </w:r>
      <w:r w:rsidRPr="009351EC">
        <w:rPr>
          <w:rFonts w:ascii="Book Antiqua" w:hAnsi="Book Antiqua" w:cs="Arial"/>
          <w:i/>
        </w:rPr>
        <w:t>rticle 8 claim is sufficiently strong to outweigh it</w:t>
      </w:r>
      <w:r w:rsidR="00DA75DF" w:rsidRPr="009351EC">
        <w:rPr>
          <w:rFonts w:ascii="Book Antiqua" w:hAnsi="Book Antiqua" w:cs="Arial"/>
          <w:i/>
        </w:rPr>
        <w:t xml:space="preserve">.  </w:t>
      </w:r>
      <w:r w:rsidRPr="009351EC">
        <w:rPr>
          <w:rFonts w:ascii="Book Antiqua" w:hAnsi="Book Antiqua" w:cs="Arial"/>
          <w:i/>
        </w:rPr>
        <w:t>In general, in cases concerned with precarious family life, a very strong or compelling claim is required to outweigh the public interest in immigration control.</w:t>
      </w:r>
      <w:bookmarkEnd w:id="1"/>
      <w:r w:rsidR="00206A4D" w:rsidRPr="009351EC">
        <w:rPr>
          <w:rFonts w:ascii="Book Antiqua" w:hAnsi="Book Antiqua" w:cs="Arial"/>
          <w:i/>
        </w:rPr>
        <w:t>”</w:t>
      </w:r>
    </w:p>
    <w:p w14:paraId="7D57E0CB" w14:textId="77777777" w:rsidR="008F017D" w:rsidRDefault="000E1099" w:rsidP="00911478">
      <w:pPr>
        <w:numPr>
          <w:ilvl w:val="0"/>
          <w:numId w:val="3"/>
        </w:numPr>
        <w:spacing w:before="240"/>
        <w:jc w:val="both"/>
        <w:rPr>
          <w:rFonts w:ascii="Book Antiqua" w:hAnsi="Book Antiqua" w:cs="Arial"/>
        </w:rPr>
      </w:pPr>
      <w:r>
        <w:rPr>
          <w:rFonts w:ascii="Book Antiqua" w:hAnsi="Book Antiqua" w:cs="Arial"/>
        </w:rPr>
        <w:t xml:space="preserve">In making reference to paragraphs 51 </w:t>
      </w:r>
      <w:r w:rsidR="009351EC">
        <w:rPr>
          <w:rFonts w:ascii="Book Antiqua" w:hAnsi="Book Antiqua" w:cs="Arial"/>
        </w:rPr>
        <w:t>considered the distinction that might be made between a person unlawfully in the United Kingdom subject to deportation because of criminality contrasted with the person in the United Kingdom unlawfully but who would inevitably be grated leave to enter were they removed.</w:t>
      </w:r>
      <w:r>
        <w:rPr>
          <w:rFonts w:ascii="Book Antiqua" w:hAnsi="Book Antiqua" w:cs="Arial"/>
          <w:b/>
        </w:rPr>
        <w:t xml:space="preserve"> </w:t>
      </w:r>
      <w:r>
        <w:rPr>
          <w:rFonts w:ascii="Book Antiqua" w:hAnsi="Book Antiqua" w:cs="Arial"/>
        </w:rPr>
        <w:t xml:space="preserve">Paragraph 52 made reference to the public interest was liable to diminish if there was protracted delay in the enforcement of immigration control.  </w:t>
      </w:r>
    </w:p>
    <w:p w14:paraId="2F57B925" w14:textId="77777777" w:rsidR="008F017D" w:rsidRDefault="009351EC" w:rsidP="00911478">
      <w:pPr>
        <w:numPr>
          <w:ilvl w:val="0"/>
          <w:numId w:val="3"/>
        </w:numPr>
        <w:spacing w:before="240"/>
        <w:jc w:val="both"/>
        <w:rPr>
          <w:rFonts w:ascii="Book Antiqua" w:hAnsi="Book Antiqua" w:cs="Arial"/>
        </w:rPr>
      </w:pPr>
      <w:r>
        <w:rPr>
          <w:rFonts w:ascii="Book Antiqua" w:hAnsi="Book Antiqua" w:cs="Arial"/>
        </w:rPr>
        <w:t>Specifically,</w:t>
      </w:r>
      <w:r w:rsidR="008F017D">
        <w:rPr>
          <w:rFonts w:ascii="Book Antiqua" w:hAnsi="Book Antiqua" w:cs="Arial"/>
        </w:rPr>
        <w:t xml:space="preserve"> in relation to that</w:t>
      </w:r>
      <w:r>
        <w:rPr>
          <w:rFonts w:ascii="Book Antiqua" w:hAnsi="Book Antiqua" w:cs="Arial"/>
        </w:rPr>
        <w:t xml:space="preserve"> latter</w:t>
      </w:r>
      <w:r w:rsidR="008F017D">
        <w:rPr>
          <w:rFonts w:ascii="Book Antiqua" w:hAnsi="Book Antiqua" w:cs="Arial"/>
        </w:rPr>
        <w:t xml:space="preserve"> point, Mr Collins invited me to have regard to the fact that the appellant had not been removed, but I observe that he had not been removed</w:t>
      </w:r>
      <w:r>
        <w:rPr>
          <w:rFonts w:ascii="Book Antiqua" w:hAnsi="Book Antiqua" w:cs="Arial"/>
        </w:rPr>
        <w:t xml:space="preserve"> in large measure because he had</w:t>
      </w:r>
      <w:r w:rsidR="008F017D">
        <w:rPr>
          <w:rFonts w:ascii="Book Antiqua" w:hAnsi="Book Antiqua" w:cs="Arial"/>
        </w:rPr>
        <w:t xml:space="preserve"> making successive applications which required the Secretary of State to make a decision.  I also observe that none of those applications were successful.  </w:t>
      </w:r>
      <w:r w:rsidR="00956C41">
        <w:rPr>
          <w:rFonts w:ascii="Book Antiqua" w:hAnsi="Book Antiqua" w:cs="Arial"/>
        </w:rPr>
        <w:t>In part therefore the Appellant relies, in part, on private life arising during a period of successive unmeritorious applications.</w:t>
      </w:r>
    </w:p>
    <w:p w14:paraId="53667B69" w14:textId="77777777" w:rsidR="00A511F6" w:rsidRPr="008F017D" w:rsidRDefault="0003076A" w:rsidP="00911478">
      <w:pPr>
        <w:numPr>
          <w:ilvl w:val="0"/>
          <w:numId w:val="3"/>
        </w:numPr>
        <w:spacing w:before="240"/>
        <w:jc w:val="both"/>
        <w:rPr>
          <w:rFonts w:ascii="Book Antiqua" w:hAnsi="Book Antiqua" w:cs="Arial"/>
        </w:rPr>
      </w:pPr>
      <w:r>
        <w:rPr>
          <w:rFonts w:ascii="Book Antiqua" w:hAnsi="Book Antiqua" w:cs="Arial"/>
        </w:rPr>
        <w:t>At p</w:t>
      </w:r>
      <w:r w:rsidR="008F017D">
        <w:rPr>
          <w:rFonts w:ascii="Book Antiqua" w:hAnsi="Book Antiqua" w:cs="Arial"/>
        </w:rPr>
        <w:t xml:space="preserve">aragraph 12 in the case of </w:t>
      </w:r>
      <w:r w:rsidR="008F017D" w:rsidRPr="008F017D">
        <w:rPr>
          <w:rFonts w:ascii="Book Antiqua" w:hAnsi="Book Antiqua" w:cs="Arial"/>
          <w:b/>
          <w:u w:val="single"/>
        </w:rPr>
        <w:t>VW</w:t>
      </w:r>
      <w:r w:rsidR="008F017D" w:rsidRPr="008F017D">
        <w:rPr>
          <w:rFonts w:ascii="Book Antiqua" w:hAnsi="Book Antiqua" w:cs="Arial"/>
          <w:b/>
        </w:rPr>
        <w:t xml:space="preserve"> (</w:t>
      </w:r>
      <w:smartTag w:uri="urn:schemas-microsoft-com:office:smarttags" w:element="country-region">
        <w:smartTag w:uri="urn:schemas-microsoft-com:office:smarttags" w:element="place">
          <w:r w:rsidR="008F017D" w:rsidRPr="008F017D">
            <w:rPr>
              <w:rFonts w:ascii="Book Antiqua" w:hAnsi="Book Antiqua" w:cs="Arial"/>
              <w:b/>
            </w:rPr>
            <w:t>Sri Lanka</w:t>
          </w:r>
        </w:smartTag>
      </w:smartTag>
      <w:r w:rsidR="008F017D" w:rsidRPr="008F017D">
        <w:rPr>
          <w:rFonts w:ascii="Book Antiqua" w:hAnsi="Book Antiqua" w:cs="Arial"/>
          <w:b/>
        </w:rPr>
        <w:t xml:space="preserve">) [2013] EWCA </w:t>
      </w:r>
      <w:proofErr w:type="spellStart"/>
      <w:r w:rsidR="008F017D" w:rsidRPr="008F017D">
        <w:rPr>
          <w:rFonts w:ascii="Book Antiqua" w:hAnsi="Book Antiqua" w:cs="Arial"/>
          <w:b/>
        </w:rPr>
        <w:t>Civ</w:t>
      </w:r>
      <w:proofErr w:type="spellEnd"/>
      <w:r w:rsidR="008F017D" w:rsidRPr="008F017D">
        <w:rPr>
          <w:rFonts w:ascii="Book Antiqua" w:hAnsi="Book Antiqua" w:cs="Arial"/>
          <w:b/>
        </w:rPr>
        <w:t xml:space="preserve"> 522</w:t>
      </w:r>
      <w:r w:rsidR="008F017D">
        <w:rPr>
          <w:rFonts w:ascii="Book Antiqua" w:hAnsi="Book Antiqua" w:cs="Arial"/>
        </w:rPr>
        <w:t xml:space="preserve"> </w:t>
      </w:r>
      <w:proofErr w:type="spellStart"/>
      <w:r w:rsidR="008F017D" w:rsidRPr="008F017D">
        <w:rPr>
          <w:rFonts w:ascii="Book Antiqua" w:hAnsi="Book Antiqua" w:cs="Arial"/>
        </w:rPr>
        <w:t>McCombe</w:t>
      </w:r>
      <w:proofErr w:type="spellEnd"/>
      <w:r w:rsidR="008F017D" w:rsidRPr="008F017D">
        <w:rPr>
          <w:rFonts w:ascii="Book Antiqua" w:hAnsi="Book Antiqua" w:cs="Arial"/>
        </w:rPr>
        <w:t xml:space="preserve"> LJ said:-</w:t>
      </w:r>
    </w:p>
    <w:p w14:paraId="1D99431D" w14:textId="77777777" w:rsidR="008F017D" w:rsidRPr="009351EC" w:rsidRDefault="008F017D" w:rsidP="008F017D">
      <w:pPr>
        <w:spacing w:before="240"/>
        <w:ind w:left="1134"/>
        <w:jc w:val="both"/>
        <w:rPr>
          <w:rFonts w:ascii="Book Antiqua" w:hAnsi="Book Antiqua" w:cs="Arial"/>
          <w:i/>
        </w:rPr>
      </w:pPr>
      <w:bookmarkStart w:id="2" w:name="para12"/>
      <w:r w:rsidRPr="009351EC">
        <w:rPr>
          <w:rFonts w:ascii="Book Antiqua" w:hAnsi="Book Antiqua" w:cs="Arial"/>
          <w:i/>
        </w:rPr>
        <w:t>“Regrettably, there is an increasing tendency in immigration cases, when a First-tier Tribunal Judge has given a judgment explaining why he has reached a particular decision, of seeking to burrow out industriously areas of evidence that have been less fully dealt with than others and then to use this as a basis for saying the judge’s decision is legally flawed because it did not deal with a particular matter more fully. In my judgment, with respect, that is no basis on which to sustain a proper challenge to a judge’s finding of fact.”</w:t>
      </w:r>
      <w:bookmarkEnd w:id="2"/>
    </w:p>
    <w:p w14:paraId="1BB06C74" w14:textId="77777777" w:rsidR="0028014A" w:rsidRDefault="008F017D" w:rsidP="00911478">
      <w:pPr>
        <w:numPr>
          <w:ilvl w:val="0"/>
          <w:numId w:val="3"/>
        </w:numPr>
        <w:spacing w:before="240"/>
        <w:jc w:val="both"/>
        <w:rPr>
          <w:rFonts w:ascii="Book Antiqua" w:hAnsi="Book Antiqua" w:cs="Arial"/>
        </w:rPr>
      </w:pPr>
      <w:r>
        <w:rPr>
          <w:rFonts w:ascii="Book Antiqua" w:hAnsi="Book Antiqua" w:cs="Arial"/>
        </w:rPr>
        <w:t xml:space="preserve">In determining whether or not there is an error of law in this case I am invited to find that there was </w:t>
      </w:r>
      <w:r w:rsidR="00F011D5">
        <w:rPr>
          <w:rFonts w:ascii="Book Antiqua" w:hAnsi="Book Antiqua" w:cs="Arial"/>
        </w:rPr>
        <w:t>insufficient</w:t>
      </w:r>
      <w:r>
        <w:rPr>
          <w:rFonts w:ascii="Book Antiqua" w:hAnsi="Book Antiqua" w:cs="Arial"/>
        </w:rPr>
        <w:t xml:space="preserve"> reasoning.  However, I find</w:t>
      </w:r>
      <w:r w:rsidR="009351EC">
        <w:rPr>
          <w:rFonts w:ascii="Book Antiqua" w:hAnsi="Book Antiqua" w:cs="Arial"/>
        </w:rPr>
        <w:t>,</w:t>
      </w:r>
      <w:r>
        <w:rPr>
          <w:rFonts w:ascii="Book Antiqua" w:hAnsi="Book Antiqua" w:cs="Arial"/>
        </w:rPr>
        <w:t xml:space="preserve"> when reading this decision as a whole</w:t>
      </w:r>
      <w:r w:rsidR="009351EC">
        <w:rPr>
          <w:rFonts w:ascii="Book Antiqua" w:hAnsi="Book Antiqua" w:cs="Arial"/>
        </w:rPr>
        <w:t>, that</w:t>
      </w:r>
      <w:r>
        <w:rPr>
          <w:rFonts w:ascii="Book Antiqua" w:hAnsi="Book Antiqua" w:cs="Arial"/>
        </w:rPr>
        <w:t xml:space="preserve"> it is perfectly clear how the judge arrived at his decision.  He was required to deal with the case as advanced before him.  Private life considerations were raised under 276ADE(1)(vi).  I note that at paragraph 22 Mr </w:t>
      </w:r>
      <w:proofErr w:type="spellStart"/>
      <w:r>
        <w:rPr>
          <w:rFonts w:ascii="Book Antiqua" w:hAnsi="Book Antiqua" w:cs="Arial"/>
        </w:rPr>
        <w:t>Tampuri</w:t>
      </w:r>
      <w:proofErr w:type="spellEnd"/>
      <w:r>
        <w:rPr>
          <w:rFonts w:ascii="Book Antiqua" w:hAnsi="Book Antiqua" w:cs="Arial"/>
        </w:rPr>
        <w:t xml:space="preserve">, who appeared below, did not expand on the point save to raise it.  I note also at paragraph 31 that Mr </w:t>
      </w:r>
      <w:proofErr w:type="spellStart"/>
      <w:r>
        <w:rPr>
          <w:rFonts w:ascii="Book Antiqua" w:hAnsi="Book Antiqua" w:cs="Arial"/>
        </w:rPr>
        <w:t>Tampuri</w:t>
      </w:r>
      <w:proofErr w:type="spellEnd"/>
      <w:r>
        <w:rPr>
          <w:rFonts w:ascii="Book Antiqua" w:hAnsi="Book Antiqua" w:cs="Arial"/>
        </w:rPr>
        <w:t xml:space="preserve"> was recorded as being “</w:t>
      </w:r>
      <w:r w:rsidRPr="009351EC">
        <w:rPr>
          <w:rFonts w:ascii="Book Antiqua" w:hAnsi="Book Antiqua" w:cs="Arial"/>
          <w:i/>
        </w:rPr>
        <w:t>candid enough to say that the law had never been on the appellant’s side</w:t>
      </w:r>
      <w:r>
        <w:rPr>
          <w:rFonts w:ascii="Book Antiqua" w:hAnsi="Book Antiqua" w:cs="Arial"/>
        </w:rPr>
        <w:t>”.  Be that as it may, has the judge (I ask rhetorically) given sufficient reasons as to why the appellant did not overcome the hurdle of the very significant obstacles to the appellant’s integration in [</w:t>
      </w:r>
      <w:smartTag w:uri="urn:schemas-microsoft-com:office:smarttags" w:element="country-region">
        <w:r>
          <w:rPr>
            <w:rFonts w:ascii="Book Antiqua" w:hAnsi="Book Antiqua" w:cs="Arial"/>
          </w:rPr>
          <w:t>Nigeria</w:t>
        </w:r>
      </w:smartTag>
      <w:r>
        <w:rPr>
          <w:rFonts w:ascii="Book Antiqua" w:hAnsi="Book Antiqua" w:cs="Arial"/>
        </w:rPr>
        <w:t>] that he would have to meet were he required to le</w:t>
      </w:r>
      <w:r w:rsidR="0028014A">
        <w:rPr>
          <w:rFonts w:ascii="Book Antiqua" w:hAnsi="Book Antiqua" w:cs="Arial"/>
        </w:rPr>
        <w:t>a</w:t>
      </w:r>
      <w:r>
        <w:rPr>
          <w:rFonts w:ascii="Book Antiqua" w:hAnsi="Book Antiqua" w:cs="Arial"/>
        </w:rPr>
        <w:t xml:space="preserve">ve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In my judgment, notwithstanding the very able submissions made by Mr Collins, the judge, having regard to the totality of the </w:t>
      </w:r>
      <w:r>
        <w:rPr>
          <w:rFonts w:ascii="Book Antiqua" w:hAnsi="Book Antiqua" w:cs="Arial"/>
        </w:rPr>
        <w:lastRenderedPageBreak/>
        <w:t xml:space="preserve">evidence, noted that the appellant was a person who had qualifications that he could </w:t>
      </w:r>
      <w:r w:rsidR="00F011D5">
        <w:rPr>
          <w:rFonts w:ascii="Book Antiqua" w:hAnsi="Book Antiqua" w:cs="Arial"/>
        </w:rPr>
        <w:t>put</w:t>
      </w:r>
      <w:r>
        <w:rPr>
          <w:rFonts w:ascii="Book Antiqua" w:hAnsi="Book Antiqua" w:cs="Arial"/>
        </w:rPr>
        <w:t xml:space="preserve"> to use in </w:t>
      </w:r>
      <w:smartTag w:uri="urn:schemas-microsoft-com:office:smarttags" w:element="country-region">
        <w:smartTag w:uri="urn:schemas-microsoft-com:office:smarttags" w:element="place">
          <w:r>
            <w:rPr>
              <w:rFonts w:ascii="Book Antiqua" w:hAnsi="Book Antiqua" w:cs="Arial"/>
            </w:rPr>
            <w:t>Nigeria</w:t>
          </w:r>
        </w:smartTag>
      </w:smartTag>
      <w:r>
        <w:rPr>
          <w:rFonts w:ascii="Book Antiqua" w:hAnsi="Book Antiqua" w:cs="Arial"/>
        </w:rPr>
        <w:t xml:space="preserve">, the country of his birth.  Insofar as Mr Collins urged me to find that the appellant would be destitute were he returned to Nigeria, which was one of the submissions made, </w:t>
      </w:r>
      <w:r w:rsidR="0028014A">
        <w:rPr>
          <w:rFonts w:ascii="Book Antiqua" w:hAnsi="Book Antiqua" w:cs="Arial"/>
        </w:rPr>
        <w:t xml:space="preserve">there was a finding from the judge </w:t>
      </w:r>
      <w:r w:rsidR="00F011D5">
        <w:rPr>
          <w:rFonts w:ascii="Book Antiqua" w:hAnsi="Book Antiqua" w:cs="Arial"/>
        </w:rPr>
        <w:t>at</w:t>
      </w:r>
      <w:r w:rsidR="0028014A">
        <w:rPr>
          <w:rFonts w:ascii="Book Antiqua" w:hAnsi="Book Antiqua" w:cs="Arial"/>
        </w:rPr>
        <w:t xml:space="preserve"> paragraph 30 that the appellant could be supported by his uncle in the United Kingdom were he to be returned to make application from Nigeria to return to the United Kingdom.  The reasoning was </w:t>
      </w:r>
      <w:r w:rsidR="00F011D5">
        <w:rPr>
          <w:rFonts w:ascii="Book Antiqua" w:hAnsi="Book Antiqua" w:cs="Arial"/>
        </w:rPr>
        <w:t>brief</w:t>
      </w:r>
      <w:r w:rsidR="0028014A">
        <w:rPr>
          <w:rFonts w:ascii="Book Antiqua" w:hAnsi="Book Antiqua" w:cs="Arial"/>
        </w:rPr>
        <w:t>, but the test is whether it was sufficient and adequate</w:t>
      </w:r>
      <w:r w:rsidR="009351EC">
        <w:rPr>
          <w:rFonts w:ascii="Book Antiqua" w:hAnsi="Book Antiqua" w:cs="Arial"/>
        </w:rPr>
        <w:t xml:space="preserve"> such that the judge arrived at findings that were open to him</w:t>
      </w:r>
      <w:r w:rsidR="0028014A">
        <w:rPr>
          <w:rFonts w:ascii="Book Antiqua" w:hAnsi="Book Antiqua" w:cs="Arial"/>
        </w:rPr>
        <w:t xml:space="preserve">.  In my judgement </w:t>
      </w:r>
      <w:r w:rsidR="009351EC">
        <w:rPr>
          <w:rFonts w:ascii="Book Antiqua" w:hAnsi="Book Antiqua" w:cs="Arial"/>
        </w:rPr>
        <w:t>the judge passed that test</w:t>
      </w:r>
      <w:r w:rsidR="0028014A">
        <w:rPr>
          <w:rFonts w:ascii="Book Antiqua" w:hAnsi="Book Antiqua" w:cs="Arial"/>
        </w:rPr>
        <w:t xml:space="preserve">.  It is trite law to say, notwithstanding Mr Collins’ submissions in relation to </w:t>
      </w:r>
      <w:r w:rsidR="0028014A" w:rsidRPr="0028014A">
        <w:rPr>
          <w:rFonts w:ascii="Book Antiqua" w:hAnsi="Book Antiqua" w:cs="Arial"/>
          <w:b/>
          <w:u w:val="single"/>
        </w:rPr>
        <w:t>AK</w:t>
      </w:r>
      <w:r w:rsidR="0028014A" w:rsidRPr="0028014A">
        <w:rPr>
          <w:rFonts w:ascii="Book Antiqua" w:hAnsi="Book Antiqua" w:cs="Arial"/>
          <w:b/>
        </w:rPr>
        <w:t xml:space="preserve"> (</w:t>
      </w:r>
      <w:smartTag w:uri="urn:schemas-microsoft-com:office:smarttags" w:element="place">
        <w:smartTag w:uri="urn:schemas-microsoft-com:office:smarttags" w:element="country-region">
          <w:r w:rsidR="0028014A" w:rsidRPr="0028014A">
            <w:rPr>
              <w:rFonts w:ascii="Book Antiqua" w:hAnsi="Book Antiqua" w:cs="Arial"/>
              <w:b/>
            </w:rPr>
            <w:t>Turkey</w:t>
          </w:r>
        </w:smartTag>
      </w:smartTag>
      <w:r w:rsidR="0028014A" w:rsidRPr="0028014A">
        <w:rPr>
          <w:rFonts w:ascii="Book Antiqua" w:hAnsi="Book Antiqua" w:cs="Arial"/>
          <w:b/>
        </w:rPr>
        <w:t>)</w:t>
      </w:r>
      <w:r w:rsidR="0028014A">
        <w:rPr>
          <w:rFonts w:ascii="Book Antiqua" w:hAnsi="Book Antiqua" w:cs="Arial"/>
        </w:rPr>
        <w:t xml:space="preserve">, the judge does not need to deal with each and every matter.  The decisions of the First-tier Tribunal are often far too long.  What is needed is sufficient for the reader to understand how it is that the person who has lost in the First-tier Tribunal did so.  In my judgement it is clear how that decision was arrived at.  </w:t>
      </w:r>
    </w:p>
    <w:p w14:paraId="5A3D6B77" w14:textId="77777777" w:rsidR="0028014A" w:rsidRDefault="00956C41" w:rsidP="00911478">
      <w:pPr>
        <w:numPr>
          <w:ilvl w:val="0"/>
          <w:numId w:val="3"/>
        </w:numPr>
        <w:spacing w:before="240"/>
        <w:jc w:val="both"/>
        <w:rPr>
          <w:rFonts w:ascii="Book Antiqua" w:hAnsi="Book Antiqua" w:cs="Arial"/>
        </w:rPr>
      </w:pPr>
      <w:r>
        <w:rPr>
          <w:rFonts w:ascii="Book Antiqua" w:hAnsi="Book Antiqua" w:cs="Arial"/>
        </w:rPr>
        <w:t>In considering the wider application of Article 8 ECHR, it is to be remembered that it does not give judges a general power to dispense with the immigration rules. The residual discretion, if discretion it is, is to examine whether there is some feature of the evidence, not catered for in the rules, that entitles the Judge to say that the private interest outweighs the public interest. Judge Cockerill, as was open to him, found that there was not.</w:t>
      </w:r>
      <w:r w:rsidR="0028014A">
        <w:rPr>
          <w:rFonts w:ascii="Book Antiqua" w:hAnsi="Book Antiqua" w:cs="Arial"/>
        </w:rPr>
        <w:t xml:space="preserve">  I remind myself that individuals do not have a right to choose where they enjoy their family life, and if the appellant and Ms </w:t>
      </w:r>
      <w:proofErr w:type="spellStart"/>
      <w:r w:rsidR="0028014A">
        <w:rPr>
          <w:rFonts w:ascii="Book Antiqua" w:hAnsi="Book Antiqua" w:cs="Arial"/>
        </w:rPr>
        <w:t>Ojo</w:t>
      </w:r>
      <w:proofErr w:type="spellEnd"/>
      <w:r w:rsidR="0028014A">
        <w:rPr>
          <w:rFonts w:ascii="Book Antiqua" w:hAnsi="Book Antiqua" w:cs="Arial"/>
        </w:rPr>
        <w:t xml:space="preserve"> wish to continue life together, then reading the decision of Judge Cockrill no sufficient impediment was advanced as to why they could not enjoy family life in the country of their birth, they having a common nationality.  </w:t>
      </w:r>
    </w:p>
    <w:p w14:paraId="01509F75" w14:textId="77777777" w:rsidR="00956C41" w:rsidRDefault="0028014A" w:rsidP="00911478">
      <w:pPr>
        <w:numPr>
          <w:ilvl w:val="0"/>
          <w:numId w:val="3"/>
        </w:numPr>
        <w:spacing w:before="240"/>
        <w:jc w:val="both"/>
        <w:rPr>
          <w:rFonts w:ascii="Book Antiqua" w:hAnsi="Book Antiqua" w:cs="Arial"/>
        </w:rPr>
      </w:pPr>
      <w:r>
        <w:rPr>
          <w:rFonts w:ascii="Book Antiqua" w:hAnsi="Book Antiqua" w:cs="Arial"/>
        </w:rPr>
        <w:t xml:space="preserve">For the avoidance of </w:t>
      </w:r>
      <w:r w:rsidR="00956C41">
        <w:rPr>
          <w:rFonts w:ascii="Book Antiqua" w:hAnsi="Book Antiqua" w:cs="Arial"/>
        </w:rPr>
        <w:t>doubt,</w:t>
      </w:r>
      <w:r>
        <w:rPr>
          <w:rFonts w:ascii="Book Antiqua" w:hAnsi="Book Antiqua" w:cs="Arial"/>
        </w:rPr>
        <w:t xml:space="preserve"> I do not accept that there </w:t>
      </w:r>
      <w:r w:rsidR="00956C41">
        <w:rPr>
          <w:rFonts w:ascii="Book Antiqua" w:hAnsi="Book Antiqua" w:cs="Arial"/>
        </w:rPr>
        <w:t>were</w:t>
      </w:r>
      <w:r>
        <w:rPr>
          <w:rFonts w:ascii="Book Antiqua" w:hAnsi="Book Antiqua" w:cs="Arial"/>
        </w:rPr>
        <w:t xml:space="preserve"> insufficient findings in relation to the quality of the relationships with the various </w:t>
      </w:r>
      <w:r w:rsidR="00F011D5">
        <w:rPr>
          <w:rFonts w:ascii="Book Antiqua" w:hAnsi="Book Antiqua" w:cs="Arial"/>
        </w:rPr>
        <w:t>people</w:t>
      </w:r>
      <w:r>
        <w:rPr>
          <w:rFonts w:ascii="Book Antiqua" w:hAnsi="Book Antiqua" w:cs="Arial"/>
        </w:rPr>
        <w:t xml:space="preserve"> who gave evidence in support of the appellant.  </w:t>
      </w:r>
      <w:r w:rsidR="005300E8">
        <w:rPr>
          <w:rFonts w:ascii="Book Antiqua" w:hAnsi="Book Antiqua" w:cs="Arial"/>
        </w:rPr>
        <w:t xml:space="preserve">The judge found that those were the sorts of relationships that one might find as between adults, but the competing factors when </w:t>
      </w:r>
      <w:r w:rsidR="00956C41">
        <w:rPr>
          <w:rFonts w:ascii="Book Antiqua" w:hAnsi="Book Antiqua" w:cs="Arial"/>
        </w:rPr>
        <w:t>undertaking</w:t>
      </w:r>
      <w:r w:rsidR="005300E8">
        <w:rPr>
          <w:rFonts w:ascii="Book Antiqua" w:hAnsi="Book Antiqua" w:cs="Arial"/>
        </w:rPr>
        <w:t xml:space="preserve"> the balancing exercise came down in favour of the state.  That was a decision open to the appellant.  The approach of the judge was perfectly rational.  </w:t>
      </w:r>
    </w:p>
    <w:p w14:paraId="0D01FC36" w14:textId="77777777" w:rsidR="008F017D" w:rsidRDefault="005300E8" w:rsidP="00911478">
      <w:pPr>
        <w:numPr>
          <w:ilvl w:val="0"/>
          <w:numId w:val="3"/>
        </w:numPr>
        <w:spacing w:before="240"/>
        <w:jc w:val="both"/>
        <w:rPr>
          <w:rFonts w:ascii="Book Antiqua" w:hAnsi="Book Antiqua" w:cs="Arial"/>
        </w:rPr>
      </w:pPr>
      <w:r>
        <w:rPr>
          <w:rFonts w:ascii="Book Antiqua" w:hAnsi="Book Antiqua" w:cs="Arial"/>
        </w:rPr>
        <w:t xml:space="preserve">There was a proper application of Section 117B and in my judgement the grounds point </w:t>
      </w:r>
      <w:r w:rsidR="00F011D5">
        <w:rPr>
          <w:rFonts w:ascii="Book Antiqua" w:hAnsi="Book Antiqua" w:cs="Arial"/>
        </w:rPr>
        <w:t>to no material error of law.  In the circumstances the appeal is dismissed.</w:t>
      </w:r>
    </w:p>
    <w:p w14:paraId="203559A5" w14:textId="77777777" w:rsidR="00864126" w:rsidRDefault="00F011D5" w:rsidP="00F011D5">
      <w:pPr>
        <w:numPr>
          <w:ilvl w:val="0"/>
          <w:numId w:val="3"/>
        </w:numPr>
        <w:spacing w:before="240"/>
        <w:jc w:val="both"/>
        <w:rPr>
          <w:rFonts w:ascii="Book Antiqua" w:hAnsi="Book Antiqua" w:cs="Arial"/>
        </w:rPr>
      </w:pPr>
      <w:r>
        <w:rPr>
          <w:rFonts w:ascii="Book Antiqua" w:hAnsi="Book Antiqua" w:cs="Arial"/>
        </w:rPr>
        <w:t xml:space="preserve">No </w:t>
      </w:r>
      <w:r w:rsidR="00864126">
        <w:rPr>
          <w:rFonts w:ascii="Book Antiqua" w:hAnsi="Book Antiqua" w:cs="Arial"/>
        </w:rPr>
        <w:t>anonymity direction is made.</w:t>
      </w:r>
    </w:p>
    <w:p w14:paraId="39BCCC7F" w14:textId="77777777" w:rsidR="00864126" w:rsidRDefault="00864126" w:rsidP="00864126">
      <w:pPr>
        <w:jc w:val="both"/>
        <w:rPr>
          <w:rFonts w:ascii="Book Antiqua" w:hAnsi="Book Antiqua" w:cs="Arial"/>
        </w:rPr>
      </w:pPr>
    </w:p>
    <w:p w14:paraId="1AFDF327" w14:textId="77777777" w:rsidR="000369F5" w:rsidRDefault="000369F5" w:rsidP="000369F5">
      <w:pPr>
        <w:tabs>
          <w:tab w:val="left" w:pos="2520"/>
        </w:tabs>
        <w:jc w:val="both"/>
        <w:rPr>
          <w:rFonts w:ascii="Book Antiqua" w:hAnsi="Book Antiqua" w:cs="Arial"/>
        </w:rPr>
      </w:pPr>
    </w:p>
    <w:p w14:paraId="1B65D438" w14:textId="77777777"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956C41">
        <w:rPr>
          <w:rFonts w:ascii="Book Antiqua" w:hAnsi="Book Antiqua" w:cs="Arial"/>
        </w:rPr>
        <w:t>: 25 May 2018</w:t>
      </w:r>
    </w:p>
    <w:p w14:paraId="2C8B32E6" w14:textId="77777777" w:rsidR="00864126" w:rsidRPr="00F5664C" w:rsidRDefault="00864126" w:rsidP="00864126">
      <w:pPr>
        <w:tabs>
          <w:tab w:val="left" w:pos="2520"/>
        </w:tabs>
        <w:jc w:val="both"/>
        <w:rPr>
          <w:rFonts w:ascii="Book Antiqua" w:hAnsi="Book Antiqua" w:cs="Arial"/>
        </w:rPr>
      </w:pPr>
    </w:p>
    <w:p w14:paraId="732C7120" w14:textId="77777777" w:rsidR="00956C41" w:rsidRDefault="00956C41" w:rsidP="00864126">
      <w:pPr>
        <w:tabs>
          <w:tab w:val="left" w:pos="2520"/>
        </w:tabs>
        <w:jc w:val="both"/>
        <w:rPr>
          <w:rFonts w:ascii="Book Antiqua" w:hAnsi="Book Antiqua" w:cs="Arial"/>
        </w:rPr>
      </w:pPr>
    </w:p>
    <w:p w14:paraId="0AFCD516" w14:textId="69ADA1C6" w:rsidR="00956C41" w:rsidRDefault="00AE6EBF" w:rsidP="00864126">
      <w:pPr>
        <w:tabs>
          <w:tab w:val="left" w:pos="2520"/>
        </w:tabs>
        <w:jc w:val="both"/>
        <w:rPr>
          <w:rFonts w:ascii="Book Antiqua" w:hAnsi="Book Antiqua" w:cs="Arial"/>
        </w:rPr>
      </w:pPr>
      <w:r>
        <w:rPr>
          <w:noProof/>
        </w:rPr>
        <mc:AlternateContent>
          <mc:Choice Requires="wpi">
            <w:drawing>
              <wp:anchor distT="0" distB="0" distL="114300" distR="114300" simplePos="0" relativeHeight="251657728" behindDoc="0" locked="0" layoutInCell="1" allowOverlap="1" wp14:anchorId="1BEDDD15" wp14:editId="219EF1C4">
                <wp:simplePos x="0" y="0"/>
                <wp:positionH relativeFrom="column">
                  <wp:posOffset>208915</wp:posOffset>
                </wp:positionH>
                <wp:positionV relativeFrom="paragraph">
                  <wp:posOffset>-89535</wp:posOffset>
                </wp:positionV>
                <wp:extent cx="1480185" cy="473710"/>
                <wp:effectExtent l="62230" t="55880" r="38735" b="41910"/>
                <wp:wrapNone/>
                <wp:docPr id="2"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1480185" cy="473710"/>
                      </w14:xfrm>
                    </w14:contentPart>
                  </a:graphicData>
                </a:graphic>
                <wp14:sizeRelH relativeFrom="page">
                  <wp14:pctWidth>0</wp14:pctWidth>
                </wp14:sizeRelH>
                <wp14:sizeRelV relativeFrom="page">
                  <wp14:pctHeight>0</wp14:pctHeight>
                </wp14:sizeRelV>
              </wp:anchor>
            </w:drawing>
          </mc:Choice>
          <mc:Fallback>
            <w:pict>
              <v:shapetype w14:anchorId="2D0F6F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9pt;margin-top:-7.6pt;width:117.65pt;height:3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">
                <v:imagedata r:id="rId9" o:title=""/>
                <o:lock v:ext="edit" rotation="t" aspectratio="f"/>
              </v:shape>
            </w:pict>
          </mc:Fallback>
        </mc:AlternateContent>
      </w:r>
    </w:p>
    <w:p w14:paraId="2087553B" w14:textId="77777777" w:rsidR="00956C41" w:rsidRDefault="00956C41" w:rsidP="00864126">
      <w:pPr>
        <w:tabs>
          <w:tab w:val="left" w:pos="2520"/>
        </w:tabs>
        <w:jc w:val="both"/>
        <w:rPr>
          <w:rFonts w:ascii="Book Antiqua" w:hAnsi="Book Antiqua" w:cs="Arial"/>
        </w:rPr>
      </w:pPr>
    </w:p>
    <w:p w14:paraId="02DD80AB" w14:textId="77777777" w:rsidR="00956C41" w:rsidRDefault="00956C41" w:rsidP="00864126">
      <w:pPr>
        <w:tabs>
          <w:tab w:val="left" w:pos="2520"/>
        </w:tabs>
        <w:jc w:val="both"/>
        <w:rPr>
          <w:rFonts w:ascii="Book Antiqua" w:hAnsi="Book Antiqua" w:cs="Arial"/>
        </w:rPr>
      </w:pPr>
    </w:p>
    <w:p w14:paraId="069DD77F" w14:textId="77777777" w:rsidR="00956C41" w:rsidRDefault="00956C41" w:rsidP="00864126">
      <w:pPr>
        <w:tabs>
          <w:tab w:val="left" w:pos="2520"/>
        </w:tabs>
        <w:jc w:val="both"/>
        <w:rPr>
          <w:rFonts w:ascii="Book Antiqua" w:hAnsi="Book Antiqua" w:cs="Arial"/>
        </w:rPr>
      </w:pPr>
    </w:p>
    <w:p w14:paraId="7060DF87" w14:textId="77777777" w:rsidR="00864126" w:rsidRDefault="00864126" w:rsidP="00864126">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 xml:space="preserve">Judge </w:t>
      </w:r>
      <w:r>
        <w:rPr>
          <w:rFonts w:ascii="Book Antiqua" w:hAnsi="Book Antiqua" w:cs="Arial"/>
        </w:rPr>
        <w:t>Zucker</w:t>
      </w:r>
    </w:p>
    <w:p w14:paraId="4F6C3E4F" w14:textId="77777777" w:rsidR="005B7789" w:rsidRPr="00F5664C" w:rsidRDefault="005B7789" w:rsidP="000369F5">
      <w:pPr>
        <w:tabs>
          <w:tab w:val="left" w:pos="2520"/>
        </w:tabs>
        <w:jc w:val="both"/>
        <w:rPr>
          <w:rFonts w:ascii="Book Antiqua" w:hAnsi="Book Antiqua" w:cs="Arial"/>
        </w:rPr>
        <w:sectPr w:rsidR="005B7789" w:rsidRPr="00F5664C" w:rsidSect="00263A75">
          <w:headerReference w:type="default" r:id="rId10"/>
          <w:footerReference w:type="default" r:id="rId11"/>
          <w:headerReference w:type="first" r:id="rId12"/>
          <w:footerReference w:type="first" r:id="rId13"/>
          <w:type w:val="continuous"/>
          <w:pgSz w:w="11906" w:h="16838"/>
          <w:pgMar w:top="568" w:right="1134" w:bottom="1440" w:left="1134" w:header="709" w:footer="709" w:gutter="0"/>
          <w:cols w:space="708"/>
          <w:titlePg/>
          <w:docGrid w:linePitch="360"/>
        </w:sectPr>
      </w:pPr>
    </w:p>
    <w:p w14:paraId="069F4C92" w14:textId="77777777" w:rsidR="005B7789" w:rsidRPr="00F5664C" w:rsidRDefault="005B7789" w:rsidP="00416E58">
      <w:pPr>
        <w:tabs>
          <w:tab w:val="left" w:pos="2520"/>
        </w:tabs>
        <w:jc w:val="both"/>
        <w:rPr>
          <w:rFonts w:ascii="Book Antiqua" w:hAnsi="Book Antiqua" w:cs="Arial"/>
        </w:rPr>
      </w:pPr>
    </w:p>
    <w:sectPr w:rsidR="005B7789" w:rsidRPr="00F5664C" w:rsidSect="00416E58">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267E5" w14:textId="77777777" w:rsidR="00667F7C" w:rsidRDefault="00667F7C">
      <w:r>
        <w:separator/>
      </w:r>
    </w:p>
  </w:endnote>
  <w:endnote w:type="continuationSeparator" w:id="0">
    <w:p w14:paraId="484A781E" w14:textId="77777777" w:rsidR="00667F7C" w:rsidRDefault="0066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5E462" w14:textId="080149C5" w:rsidR="00C13AEA" w:rsidRPr="008C0191" w:rsidRDefault="00C13AEA" w:rsidP="00593795">
    <w:pPr>
      <w:pStyle w:val="Footer"/>
      <w:jc w:val="center"/>
      <w:rPr>
        <w:rFonts w:ascii="Book Antiqua" w:hAnsi="Book Antiqua" w:cs="Arial"/>
      </w:rPr>
    </w:pPr>
    <w:r w:rsidRPr="008C0191">
      <w:rPr>
        <w:rStyle w:val="PageNumber"/>
        <w:rFonts w:ascii="Book Antiqua" w:hAnsi="Book Antiqua" w:cs="Arial"/>
      </w:rPr>
      <w:fldChar w:fldCharType="begin"/>
    </w:r>
    <w:r w:rsidRPr="008C0191">
      <w:rPr>
        <w:rStyle w:val="PageNumber"/>
        <w:rFonts w:ascii="Book Antiqua" w:hAnsi="Book Antiqua" w:cs="Arial"/>
      </w:rPr>
      <w:instrText xml:space="preserve"> PAGE </w:instrText>
    </w:r>
    <w:r w:rsidRPr="008C0191">
      <w:rPr>
        <w:rStyle w:val="PageNumber"/>
        <w:rFonts w:ascii="Book Antiqua" w:hAnsi="Book Antiqua" w:cs="Arial"/>
      </w:rPr>
      <w:fldChar w:fldCharType="separate"/>
    </w:r>
    <w:r w:rsidR="00FD4A3D">
      <w:rPr>
        <w:rStyle w:val="PageNumber"/>
        <w:rFonts w:ascii="Book Antiqua" w:hAnsi="Book Antiqua" w:cs="Arial"/>
        <w:noProof/>
      </w:rPr>
      <w:t>5</w:t>
    </w:r>
    <w:r w:rsidRPr="008C019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DA04" w14:textId="77777777" w:rsidR="00C13AEA" w:rsidRPr="00F5664C" w:rsidRDefault="00C13AEA"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A1B4B" w14:textId="77777777" w:rsidR="00667F7C" w:rsidRDefault="00667F7C">
      <w:r>
        <w:separator/>
      </w:r>
    </w:p>
  </w:footnote>
  <w:footnote w:type="continuationSeparator" w:id="0">
    <w:p w14:paraId="5FCF02BD" w14:textId="77777777" w:rsidR="00667F7C" w:rsidRDefault="00667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06373" w14:textId="55A31F7B" w:rsidR="00C13AEA" w:rsidRDefault="00C13AEA"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062A4E">
      <w:rPr>
        <w:rFonts w:ascii="Book Antiqua" w:hAnsi="Book Antiqua" w:cs="Arial"/>
        <w:sz w:val="16"/>
        <w:szCs w:val="16"/>
      </w:rPr>
      <w:t>HU/10456/2015</w:t>
    </w:r>
  </w:p>
  <w:p w14:paraId="6DFB85D3" w14:textId="77777777" w:rsidR="008C0191" w:rsidRPr="00062A4E" w:rsidRDefault="008C019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5C17" w14:textId="77777777" w:rsidR="00C13AEA" w:rsidRPr="00F5664C" w:rsidRDefault="00C13AEA">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13"/>
    <w:rsid w:val="00000621"/>
    <w:rsid w:val="000036C2"/>
    <w:rsid w:val="0000577C"/>
    <w:rsid w:val="0003076A"/>
    <w:rsid w:val="00033D3D"/>
    <w:rsid w:val="000369F5"/>
    <w:rsid w:val="00062A4E"/>
    <w:rsid w:val="00071A7E"/>
    <w:rsid w:val="000746C0"/>
    <w:rsid w:val="00074D1D"/>
    <w:rsid w:val="00087037"/>
    <w:rsid w:val="00092580"/>
    <w:rsid w:val="000A32A2"/>
    <w:rsid w:val="000C3506"/>
    <w:rsid w:val="000D5D94"/>
    <w:rsid w:val="000E1099"/>
    <w:rsid w:val="001165A7"/>
    <w:rsid w:val="00151BB7"/>
    <w:rsid w:val="00167D3A"/>
    <w:rsid w:val="001A1E2C"/>
    <w:rsid w:val="001E12F7"/>
    <w:rsid w:val="001F2716"/>
    <w:rsid w:val="0020133A"/>
    <w:rsid w:val="00206A4D"/>
    <w:rsid w:val="00206DE2"/>
    <w:rsid w:val="00207617"/>
    <w:rsid w:val="00227A54"/>
    <w:rsid w:val="00263A75"/>
    <w:rsid w:val="00277941"/>
    <w:rsid w:val="0028014A"/>
    <w:rsid w:val="00283659"/>
    <w:rsid w:val="00284E94"/>
    <w:rsid w:val="00291D5E"/>
    <w:rsid w:val="002A39D1"/>
    <w:rsid w:val="002C4E73"/>
    <w:rsid w:val="002D68BF"/>
    <w:rsid w:val="002E13B5"/>
    <w:rsid w:val="00305FBC"/>
    <w:rsid w:val="00322913"/>
    <w:rsid w:val="00334945"/>
    <w:rsid w:val="00336CAF"/>
    <w:rsid w:val="00336CBF"/>
    <w:rsid w:val="003546C8"/>
    <w:rsid w:val="00392D87"/>
    <w:rsid w:val="003A7CF2"/>
    <w:rsid w:val="003C0DF3"/>
    <w:rsid w:val="003C5CE5"/>
    <w:rsid w:val="003C7DA0"/>
    <w:rsid w:val="003E267B"/>
    <w:rsid w:val="003E7CD1"/>
    <w:rsid w:val="00402B9E"/>
    <w:rsid w:val="00416E58"/>
    <w:rsid w:val="00423932"/>
    <w:rsid w:val="004249CB"/>
    <w:rsid w:val="0044127D"/>
    <w:rsid w:val="004448DB"/>
    <w:rsid w:val="00446C9A"/>
    <w:rsid w:val="00456521"/>
    <w:rsid w:val="00477193"/>
    <w:rsid w:val="004852B5"/>
    <w:rsid w:val="004A1848"/>
    <w:rsid w:val="00507FEC"/>
    <w:rsid w:val="00510F0E"/>
    <w:rsid w:val="00516E48"/>
    <w:rsid w:val="00520EA1"/>
    <w:rsid w:val="005300E8"/>
    <w:rsid w:val="005354D1"/>
    <w:rsid w:val="00541D19"/>
    <w:rsid w:val="005479E1"/>
    <w:rsid w:val="005570FD"/>
    <w:rsid w:val="005575EA"/>
    <w:rsid w:val="00564626"/>
    <w:rsid w:val="0057790C"/>
    <w:rsid w:val="00593795"/>
    <w:rsid w:val="00594263"/>
    <w:rsid w:val="005A75FF"/>
    <w:rsid w:val="005B4942"/>
    <w:rsid w:val="005B7789"/>
    <w:rsid w:val="00622725"/>
    <w:rsid w:val="00640E14"/>
    <w:rsid w:val="0064245F"/>
    <w:rsid w:val="0065791C"/>
    <w:rsid w:val="00666CD3"/>
    <w:rsid w:val="00667F7C"/>
    <w:rsid w:val="00677176"/>
    <w:rsid w:val="00687480"/>
    <w:rsid w:val="00690B8A"/>
    <w:rsid w:val="006A5C31"/>
    <w:rsid w:val="006D1DFA"/>
    <w:rsid w:val="006D506B"/>
    <w:rsid w:val="006D5949"/>
    <w:rsid w:val="006E3C90"/>
    <w:rsid w:val="006F08DA"/>
    <w:rsid w:val="00704B61"/>
    <w:rsid w:val="00723F34"/>
    <w:rsid w:val="00742A8D"/>
    <w:rsid w:val="0075191E"/>
    <w:rsid w:val="007552A9"/>
    <w:rsid w:val="00761858"/>
    <w:rsid w:val="00767D59"/>
    <w:rsid w:val="00776E97"/>
    <w:rsid w:val="00780FD7"/>
    <w:rsid w:val="007912AD"/>
    <w:rsid w:val="007A1F28"/>
    <w:rsid w:val="007B0824"/>
    <w:rsid w:val="0080326B"/>
    <w:rsid w:val="00810266"/>
    <w:rsid w:val="008303B8"/>
    <w:rsid w:val="00833DCE"/>
    <w:rsid w:val="00841581"/>
    <w:rsid w:val="00842418"/>
    <w:rsid w:val="00864126"/>
    <w:rsid w:val="00871D34"/>
    <w:rsid w:val="00876727"/>
    <w:rsid w:val="008B270C"/>
    <w:rsid w:val="008C0191"/>
    <w:rsid w:val="008C3D3D"/>
    <w:rsid w:val="008D4131"/>
    <w:rsid w:val="008E3C7A"/>
    <w:rsid w:val="008F017D"/>
    <w:rsid w:val="008F1932"/>
    <w:rsid w:val="008F294D"/>
    <w:rsid w:val="00911478"/>
    <w:rsid w:val="00921062"/>
    <w:rsid w:val="0093083E"/>
    <w:rsid w:val="009351EC"/>
    <w:rsid w:val="009451FF"/>
    <w:rsid w:val="009553DD"/>
    <w:rsid w:val="00955B0E"/>
    <w:rsid w:val="00956C41"/>
    <w:rsid w:val="00966ECF"/>
    <w:rsid w:val="009727A3"/>
    <w:rsid w:val="00987774"/>
    <w:rsid w:val="00987E7E"/>
    <w:rsid w:val="009A11E8"/>
    <w:rsid w:val="009A43A1"/>
    <w:rsid w:val="009B411D"/>
    <w:rsid w:val="009E4E62"/>
    <w:rsid w:val="009F5220"/>
    <w:rsid w:val="009F7C4D"/>
    <w:rsid w:val="00A15234"/>
    <w:rsid w:val="00A201AB"/>
    <w:rsid w:val="00A31C8B"/>
    <w:rsid w:val="00A511F6"/>
    <w:rsid w:val="00A54733"/>
    <w:rsid w:val="00A845DC"/>
    <w:rsid w:val="00A97AEE"/>
    <w:rsid w:val="00AC5CF6"/>
    <w:rsid w:val="00AC7862"/>
    <w:rsid w:val="00AE6EBF"/>
    <w:rsid w:val="00B144FA"/>
    <w:rsid w:val="00B16F58"/>
    <w:rsid w:val="00B30648"/>
    <w:rsid w:val="00B322F4"/>
    <w:rsid w:val="00B3524D"/>
    <w:rsid w:val="00B40F69"/>
    <w:rsid w:val="00B46616"/>
    <w:rsid w:val="00B57A65"/>
    <w:rsid w:val="00B610E3"/>
    <w:rsid w:val="00B61205"/>
    <w:rsid w:val="00B617C4"/>
    <w:rsid w:val="00B626FA"/>
    <w:rsid w:val="00B66D87"/>
    <w:rsid w:val="00B7040A"/>
    <w:rsid w:val="00B75BCA"/>
    <w:rsid w:val="00B96FA0"/>
    <w:rsid w:val="00BB2AA8"/>
    <w:rsid w:val="00BC592C"/>
    <w:rsid w:val="00BD4196"/>
    <w:rsid w:val="00BE4FE1"/>
    <w:rsid w:val="00BF22CA"/>
    <w:rsid w:val="00C13AEA"/>
    <w:rsid w:val="00C26032"/>
    <w:rsid w:val="00C265B0"/>
    <w:rsid w:val="00C321B5"/>
    <w:rsid w:val="00C345E1"/>
    <w:rsid w:val="00C9551E"/>
    <w:rsid w:val="00C977BA"/>
    <w:rsid w:val="00CB16EB"/>
    <w:rsid w:val="00CB6E35"/>
    <w:rsid w:val="00CC7FB1"/>
    <w:rsid w:val="00CD357F"/>
    <w:rsid w:val="00CE1A46"/>
    <w:rsid w:val="00CF253F"/>
    <w:rsid w:val="00CF56B4"/>
    <w:rsid w:val="00D20F09"/>
    <w:rsid w:val="00D22636"/>
    <w:rsid w:val="00D40FD9"/>
    <w:rsid w:val="00D42256"/>
    <w:rsid w:val="00D5098C"/>
    <w:rsid w:val="00D53769"/>
    <w:rsid w:val="00D67604"/>
    <w:rsid w:val="00D74CFD"/>
    <w:rsid w:val="00D75502"/>
    <w:rsid w:val="00D85C13"/>
    <w:rsid w:val="00D91BE3"/>
    <w:rsid w:val="00D94AFC"/>
    <w:rsid w:val="00DA75DF"/>
    <w:rsid w:val="00DB4FBF"/>
    <w:rsid w:val="00DB70AE"/>
    <w:rsid w:val="00DB7231"/>
    <w:rsid w:val="00DC53D0"/>
    <w:rsid w:val="00DD07FC"/>
    <w:rsid w:val="00DD5071"/>
    <w:rsid w:val="00DD5521"/>
    <w:rsid w:val="00DD5C39"/>
    <w:rsid w:val="00DE26AF"/>
    <w:rsid w:val="00DE7DB7"/>
    <w:rsid w:val="00E00A0A"/>
    <w:rsid w:val="00E00F73"/>
    <w:rsid w:val="00E07F57"/>
    <w:rsid w:val="00E23DD3"/>
    <w:rsid w:val="00E4586A"/>
    <w:rsid w:val="00E50BCE"/>
    <w:rsid w:val="00E61292"/>
    <w:rsid w:val="00E62D50"/>
    <w:rsid w:val="00E76309"/>
    <w:rsid w:val="00E77C4D"/>
    <w:rsid w:val="00E81D01"/>
    <w:rsid w:val="00E90C08"/>
    <w:rsid w:val="00EA4F85"/>
    <w:rsid w:val="00EE45D8"/>
    <w:rsid w:val="00F004CD"/>
    <w:rsid w:val="00F011D5"/>
    <w:rsid w:val="00F22EDA"/>
    <w:rsid w:val="00F26555"/>
    <w:rsid w:val="00F3224D"/>
    <w:rsid w:val="00F33E0E"/>
    <w:rsid w:val="00F3723B"/>
    <w:rsid w:val="00F5664C"/>
    <w:rsid w:val="00F64613"/>
    <w:rsid w:val="00F72B81"/>
    <w:rsid w:val="00F75835"/>
    <w:rsid w:val="00FA7AE3"/>
    <w:rsid w:val="00FB7E80"/>
    <w:rsid w:val="00FD4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331D20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NormalWeb">
    <w:name w:val="Normal (Web)"/>
    <w:basedOn w:val="Normal"/>
    <w:uiPriority w:val="99"/>
    <w:unhideWhenUsed/>
    <w:rsid w:val="00BC592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7T16:10:17.595"/>
    </inkml:context>
    <inkml:brush xml:id="br0">
      <inkml:brushProperty name="width" value="0.04" units="cm"/>
      <inkml:brushProperty name="height" value="0.04" units="cm"/>
    </inkml:brush>
  </inkml:definitions>
  <inkml:trace contextRef="#ctx0" brushRef="#br0">1035 0 17521,'0'0'5477,"-15"31"-1313,15-17-4453,-30 17 33,15 0-96,-15 15-33,0 0 33,0-1 64,-15 17-96,0-1 223,-15 1 97,0-1 64,0 15 32,0-15 32,-15 16 32,15-1-31,-15 0 31,15-15 0,-15 15 0,30-14-96,-15-15 64,15-2-128,15-14 64,15-17 0,0-14 0,15-14-32,15-2 0,14-30 0,17 1 32,-1-2 0,0-13-64,14 13 128,2-14-160,-1 16 32,14-1 0,-28-1-33,14 17 33,-15-1-64,-1 16 96,-13 0-64,-16 15 64,0 15 128,-15 0-96,-15 16 96,0-1-64,-16 1 32,17 16-32,-16-18 64,0 18-31,15-16-65,0-17 32,0 17-32,15-15 32,0-16 0,0 0-32,15-16 32,0 2-64,15-17 64,0-16-64,-1 16-64,17-29 64,-16 13-1,15-14 66,-15 16-66,-1-17 66,2 17-66,-1-1 66,-15 0 95,0 0-128,-15 16 64,0-1-128,0 0 64,-15 16-32,0-1-32,-15 2-1,-1 14 1,-13 0 0,-1 0 0,0 0 32,-15 14-64,0 2 32,0-1 32,-1 16 0,2-17-32,14 17 64,0 0-96,-1 0 128,17 15-64,-1-15 64,15-2-64,15 18 96,15-16 64,0-1-32,15-15-32,1 0-32,27-15 32,3-15-32,-2 0 32,17-31-64,-1 1-64,0-1 64,0-1 96,-15 2-96,0 14 97,0 1-129,-30 13 32,0 17-33,-15 17-31,-15 13 32,-15 1-128,-15 14 96,0 2-64,0-1 96,0-1 96,0-14-64,14-16 0,16 0 32,0-15-64,16 0 96,14-30 64,0 15-96,14-32 32,17 16 32,-1-14 33,14 0-1,-13 14 64,-1-16-160,0 16 32,-15 17-64,0-17-32,-15 31-64,-15 0 32,-15 0 0,0 31-64,0-17 128,-15 3-64,0-3 64,15 2 0,-15-1 32,15 1 0,0-16 0,15 15 0,-15-15 32,15 0-32,0-15 0,15-1 96,0-15-32,0 0 32,15 2-64,0-2 64,15-15 289,-15 15-65,0 1 64,0 15-384,0 15-64,-30 0 0,-1 15 0,-14 15-32,-14 17-320,-16-2 0,-15 17-33,0 14 385,-30-15-32,15 31 32,-30-16 32,15 17-32,-15-3 64,0-12-64,14 12 96,1-12-64,31-2 64,-1-14-288,14-17-2435,17 2-1472,14-33-610,14-14-31,17-14-193,14-48 929</inkml:trace>
  <inkml:trace contextRef="#ctx0" brushRef="#br0" timeOffset="771">2026 367 15983,'-15'16'4965,"-1"14"-33,1-30-4932,15 16 97,0-16-65,0 0 0,15-16 32,1 16-32,-1-15-32,15 0 64,-1-16-96,2 16 32,-2 15-32,1-15 0,1 15-32,-1 0 32,-1 15-32,-14 0-97,-15 0 33,0 16-32,0 0 96,-30 0-64,1 14 96,-2 1 0,-14 1 64,-15-2-32,1 17 96,13-16-96,-14 15 0,15-16 32,15-14 96,1 0-64,13-15 32,16-16-32,16 0-32,13-16 64,1-15-63,31 0 127,-17-14-192,32 14 32,-1-15 32,0 0-32,-1 16 32,2-1-64,-1 15 32,-31 2-32,17 28-64,-32 2 64,2 15-97,-31-1 65,0 16-64,-15 16 128,-15-17-32,15 17-64,-15-16 224,-1 0-96,17 0 96,-2 0 33,2-16 63,14-14-96,14-1 64,16 1-64,1-2 0,-1-14-32,15 0-32,15-14-32,0-2-32,15 1 32,0-1-64,0-14 64,15-1-32,1-15 97,-17 15-33,16 1 64,0-1-64,-15 0 64,0 0-64,1 16 0,-2 15-64,-14 0 32,1 0-32,-2 0 0,-13 15-96,-2-15-64,2 16-4164,-16-1-673,14-15-160,-28-15-288,28-1 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2417</Words>
  <Characters>11654</Characters>
  <Application>Microsoft Office Word</Application>
  <DocSecurity>0</DocSecurity>
  <Lines>97</Lines>
  <Paragraphs>28</Paragraphs>
  <ScaleCrop>false</ScaleCrop>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2018-06-20T12:34:00Z</dcterms:created>
  <dcterms:modified xsi:type="dcterms:W3CDTF">2018-06-20T12:34:00Z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