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B18FE" w14:textId="77777777" w:rsidR="00D94AFC" w:rsidRPr="00F97703" w:rsidRDefault="00D94AFC">
      <w:pPr>
        <w:rPr>
          <w:rFonts w:ascii="Book Antiqua" w:hAnsi="Book Antiqua" w:cs="Arial"/>
          <w:color w:val="000000"/>
          <w:sz w:val="16"/>
          <w:szCs w:val="16"/>
        </w:rPr>
      </w:pPr>
    </w:p>
    <w:p w14:paraId="373A8CAF" w14:textId="564517ED" w:rsidR="00F97703" w:rsidRDefault="003060E9" w:rsidP="00F97703">
      <w:pPr>
        <w:jc w:val="center"/>
        <w:rPr>
          <w:rFonts w:ascii="Book Antiqua" w:hAnsi="Book Antiqua" w:cs="Arial"/>
          <w:color w:val="000000"/>
        </w:rPr>
      </w:pPr>
      <w:r>
        <w:rPr>
          <w:noProof/>
        </w:rPr>
        <w:drawing>
          <wp:inline distT="0" distB="0" distL="0" distR="0" wp14:anchorId="6FAA8CD6" wp14:editId="5ED7EAF4">
            <wp:extent cx="1422000" cy="1080000"/>
            <wp:effectExtent l="0" t="0" r="698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2000" cy="1080000"/>
                    </a:xfrm>
                    <a:prstGeom prst="rect">
                      <a:avLst/>
                    </a:prstGeom>
                    <a:noFill/>
                    <a:ln>
                      <a:noFill/>
                    </a:ln>
                  </pic:spPr>
                </pic:pic>
              </a:graphicData>
            </a:graphic>
          </wp:inline>
        </w:drawing>
      </w:r>
    </w:p>
    <w:p w14:paraId="5C33E931"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4E85F1EA" w14:textId="66B54AFE" w:rsidR="003446EF" w:rsidRDefault="00F97703" w:rsidP="00BC6466">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BC6466">
        <w:rPr>
          <w:rFonts w:ascii="Book Antiqua" w:hAnsi="Book Antiqua" w:cs="Arial"/>
          <w:b/>
          <w:color w:val="000000"/>
        </w:rPr>
        <w:t xml:space="preserve">   </w:t>
      </w:r>
      <w:proofErr w:type="gramEnd"/>
      <w:r w:rsidR="00BC6466">
        <w:rPr>
          <w:rFonts w:ascii="Book Antiqua" w:hAnsi="Book Antiqua" w:cs="Arial"/>
          <w:b/>
          <w:color w:val="000000"/>
        </w:rPr>
        <w:t xml:space="preserve">                   </w:t>
      </w:r>
      <w:r w:rsidR="00B3524D" w:rsidRPr="00BC6466">
        <w:rPr>
          <w:rFonts w:ascii="Book Antiqua" w:hAnsi="Book Antiqua" w:cs="Arial"/>
          <w:b/>
          <w:color w:val="000000"/>
        </w:rPr>
        <w:t>Appeal Number</w:t>
      </w:r>
      <w:r w:rsidR="00D53769" w:rsidRPr="00BC6466">
        <w:rPr>
          <w:rFonts w:ascii="Book Antiqua" w:hAnsi="Book Antiqua" w:cs="Arial"/>
          <w:b/>
          <w:color w:val="000000"/>
        </w:rPr>
        <w:t>:</w:t>
      </w:r>
      <w:r w:rsidR="00B3524D" w:rsidRPr="00BC6466">
        <w:rPr>
          <w:rFonts w:ascii="Book Antiqua" w:hAnsi="Book Antiqua" w:cs="Arial"/>
          <w:b/>
          <w:color w:val="000000"/>
        </w:rPr>
        <w:t xml:space="preserve"> </w:t>
      </w:r>
      <w:r w:rsidR="00675DEB" w:rsidRPr="00BC6466">
        <w:rPr>
          <w:rFonts w:ascii="Book Antiqua" w:hAnsi="Book Antiqua" w:cs="Arial"/>
          <w:b/>
        </w:rPr>
        <w:t>HU/104</w:t>
      </w:r>
      <w:r w:rsidR="00805F86" w:rsidRPr="00BC6466">
        <w:rPr>
          <w:rFonts w:ascii="Book Antiqua" w:hAnsi="Book Antiqua" w:cs="Arial"/>
          <w:b/>
        </w:rPr>
        <w:t>6</w:t>
      </w:r>
      <w:r w:rsidR="00675DEB" w:rsidRPr="00BC6466">
        <w:rPr>
          <w:rFonts w:ascii="Book Antiqua" w:hAnsi="Book Antiqua" w:cs="Arial"/>
          <w:b/>
        </w:rPr>
        <w:t>3/2019(A)</w:t>
      </w:r>
    </w:p>
    <w:p w14:paraId="540AE3DD" w14:textId="459ADC90" w:rsidR="00BC6466" w:rsidRDefault="00BC6466" w:rsidP="00BC6466">
      <w:pPr>
        <w:tabs>
          <w:tab w:val="right" w:pos="9720"/>
        </w:tabs>
        <w:ind w:right="-82"/>
        <w:rPr>
          <w:rFonts w:ascii="Book Antiqua" w:hAnsi="Book Antiqua" w:cs="Arial"/>
          <w:b/>
        </w:rPr>
      </w:pPr>
    </w:p>
    <w:p w14:paraId="14123C9C" w14:textId="77777777" w:rsidR="00BC6466" w:rsidRPr="00D32B8A" w:rsidRDefault="00BC6466" w:rsidP="00BC6466">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039E742E" w14:textId="77777777" w:rsidR="00E533BA" w:rsidRPr="00D32B8A" w:rsidRDefault="00E533BA" w:rsidP="003446EF">
      <w:pPr>
        <w:tabs>
          <w:tab w:val="right" w:pos="9720"/>
        </w:tabs>
        <w:ind w:right="-82"/>
        <w:jc w:val="right"/>
        <w:rPr>
          <w:rFonts w:ascii="Book Antiqua" w:hAnsi="Book Antiqua" w:cs="Arial"/>
          <w:color w:val="000000"/>
        </w:rPr>
      </w:pPr>
    </w:p>
    <w:tbl>
      <w:tblPr>
        <w:tblW w:w="10392" w:type="dxa"/>
        <w:tblLook w:val="01E0" w:firstRow="1" w:lastRow="1" w:firstColumn="1" w:lastColumn="1" w:noHBand="0" w:noVBand="0"/>
      </w:tblPr>
      <w:tblGrid>
        <w:gridCol w:w="5245"/>
        <w:gridCol w:w="142"/>
        <w:gridCol w:w="5005"/>
      </w:tblGrid>
      <w:tr w:rsidR="00E533BA" w:rsidRPr="003C5723" w14:paraId="51C33CC7" w14:textId="77777777" w:rsidTr="00BC6466">
        <w:trPr>
          <w:trHeight w:val="511"/>
        </w:trPr>
        <w:tc>
          <w:tcPr>
            <w:tcW w:w="5245" w:type="dxa"/>
            <w:shd w:val="clear" w:color="auto" w:fill="auto"/>
          </w:tcPr>
          <w:p w14:paraId="3828969C" w14:textId="1540CDAC" w:rsidR="00E533BA" w:rsidRPr="003C5723" w:rsidRDefault="00675DEB" w:rsidP="003C5723">
            <w:pPr>
              <w:jc w:val="both"/>
              <w:rPr>
                <w:rFonts w:ascii="Book Antiqua" w:hAnsi="Book Antiqua" w:cs="Arial"/>
                <w:b/>
              </w:rPr>
            </w:pPr>
            <w:r>
              <w:rPr>
                <w:rFonts w:ascii="Book Antiqua" w:hAnsi="Book Antiqua" w:cs="Arial"/>
                <w:b/>
              </w:rPr>
              <w:t>On the papers on 1</w:t>
            </w:r>
            <w:r w:rsidR="00902B33">
              <w:rPr>
                <w:rFonts w:ascii="Book Antiqua" w:hAnsi="Book Antiqua" w:cs="Arial"/>
                <w:b/>
              </w:rPr>
              <w:t>4</w:t>
            </w:r>
            <w:r>
              <w:rPr>
                <w:rFonts w:ascii="Book Antiqua" w:hAnsi="Book Antiqua" w:cs="Arial"/>
                <w:b/>
              </w:rPr>
              <w:t xml:space="preserve"> July 2020</w:t>
            </w:r>
            <w:r w:rsidR="00E533BA" w:rsidRPr="003C5723">
              <w:rPr>
                <w:rFonts w:ascii="Book Antiqua" w:hAnsi="Book Antiqua" w:cs="Arial"/>
                <w:b/>
              </w:rPr>
              <w:t xml:space="preserve"> </w:t>
            </w:r>
          </w:p>
        </w:tc>
        <w:tc>
          <w:tcPr>
            <w:tcW w:w="5147" w:type="dxa"/>
            <w:gridSpan w:val="2"/>
            <w:shd w:val="clear" w:color="auto" w:fill="auto"/>
          </w:tcPr>
          <w:p w14:paraId="479B516A" w14:textId="77777777" w:rsidR="00BC6466" w:rsidRDefault="00E533BA" w:rsidP="003C5723">
            <w:pPr>
              <w:jc w:val="both"/>
              <w:rPr>
                <w:rFonts w:ascii="Book Antiqua" w:hAnsi="Book Antiqua" w:cs="Arial"/>
                <w:b/>
              </w:rPr>
            </w:pPr>
            <w:r w:rsidRPr="003C5723">
              <w:rPr>
                <w:rFonts w:ascii="Book Antiqua" w:hAnsi="Book Antiqua" w:cs="Arial"/>
                <w:b/>
                <w:color w:val="000000"/>
              </w:rPr>
              <w:t>De</w:t>
            </w:r>
            <w:r w:rsidR="00675DEB">
              <w:rPr>
                <w:rFonts w:ascii="Book Antiqua" w:hAnsi="Book Antiqua" w:cs="Arial"/>
                <w:b/>
                <w:color w:val="000000"/>
              </w:rPr>
              <w:t>cision</w:t>
            </w:r>
            <w:r w:rsidR="004A56F2">
              <w:rPr>
                <w:rFonts w:ascii="Book Antiqua" w:hAnsi="Book Antiqua" w:cs="Arial"/>
                <w:b/>
                <w:color w:val="000000"/>
              </w:rPr>
              <w:t xml:space="preserve"> &amp; Reasons P</w:t>
            </w:r>
            <w:r w:rsidR="00675DEB">
              <w:rPr>
                <w:rFonts w:ascii="Book Antiqua" w:hAnsi="Book Antiqua" w:cs="Arial"/>
                <w:b/>
                <w:color w:val="000000"/>
              </w:rPr>
              <w:t>r</w:t>
            </w:r>
            <w:r w:rsidRPr="003C5723">
              <w:rPr>
                <w:rFonts w:ascii="Book Antiqua" w:hAnsi="Book Antiqua" w:cs="Arial"/>
                <w:b/>
                <w:color w:val="000000"/>
              </w:rPr>
              <w:t>omulgated</w:t>
            </w:r>
            <w:r w:rsidR="00BC6466">
              <w:rPr>
                <w:rFonts w:ascii="Book Antiqua" w:hAnsi="Book Antiqua" w:cs="Arial"/>
                <w:b/>
              </w:rPr>
              <w:t xml:space="preserve"> </w:t>
            </w:r>
          </w:p>
          <w:p w14:paraId="0826C0E8" w14:textId="40DF0A4F" w:rsidR="00E533BA" w:rsidRPr="003C5723" w:rsidRDefault="00BC6466" w:rsidP="003C5723">
            <w:pPr>
              <w:jc w:val="both"/>
              <w:rPr>
                <w:rFonts w:ascii="Book Antiqua" w:hAnsi="Book Antiqua" w:cs="Arial"/>
                <w:b/>
                <w:color w:val="000000"/>
              </w:rPr>
            </w:pPr>
            <w:r>
              <w:rPr>
                <w:rFonts w:ascii="Book Antiqua" w:hAnsi="Book Antiqua" w:cs="Arial"/>
                <w:b/>
              </w:rPr>
              <w:t>On 23 July 2020</w:t>
            </w:r>
          </w:p>
        </w:tc>
      </w:tr>
      <w:tr w:rsidR="00E533BA" w:rsidRPr="003C5723" w14:paraId="5C6BDFF9" w14:textId="77777777" w:rsidTr="00BC6466">
        <w:trPr>
          <w:trHeight w:val="255"/>
        </w:trPr>
        <w:tc>
          <w:tcPr>
            <w:tcW w:w="5387" w:type="dxa"/>
            <w:gridSpan w:val="2"/>
            <w:shd w:val="clear" w:color="auto" w:fill="auto"/>
          </w:tcPr>
          <w:p w14:paraId="49FF767C" w14:textId="198276A0" w:rsidR="00E533BA" w:rsidRPr="003C5723" w:rsidRDefault="00E533BA" w:rsidP="003C5723">
            <w:pPr>
              <w:jc w:val="both"/>
              <w:rPr>
                <w:rFonts w:ascii="Book Antiqua" w:hAnsi="Book Antiqua" w:cs="Arial"/>
                <w:b/>
              </w:rPr>
            </w:pPr>
          </w:p>
        </w:tc>
        <w:tc>
          <w:tcPr>
            <w:tcW w:w="5005" w:type="dxa"/>
            <w:shd w:val="clear" w:color="auto" w:fill="auto"/>
          </w:tcPr>
          <w:p w14:paraId="687144DE" w14:textId="59110B5F" w:rsidR="00E533BA" w:rsidRPr="003C5723" w:rsidRDefault="00E533BA" w:rsidP="003C5723">
            <w:pPr>
              <w:jc w:val="both"/>
              <w:rPr>
                <w:rFonts w:ascii="Book Antiqua" w:hAnsi="Book Antiqua" w:cs="Arial"/>
                <w:b/>
              </w:rPr>
            </w:pPr>
          </w:p>
        </w:tc>
      </w:tr>
    </w:tbl>
    <w:p w14:paraId="06A88E57" w14:textId="77777777" w:rsidR="00C345E1" w:rsidRPr="00D32B8A" w:rsidRDefault="00C345E1" w:rsidP="00C345E1">
      <w:pPr>
        <w:jc w:val="center"/>
        <w:rPr>
          <w:rFonts w:ascii="Book Antiqua" w:hAnsi="Book Antiqua" w:cs="Arial"/>
          <w:color w:val="000000"/>
        </w:rPr>
      </w:pPr>
    </w:p>
    <w:p w14:paraId="6542E02A" w14:textId="77777777" w:rsidR="00C345E1" w:rsidRPr="00D32B8A" w:rsidRDefault="00C345E1" w:rsidP="00C345E1">
      <w:pPr>
        <w:jc w:val="center"/>
        <w:rPr>
          <w:rFonts w:ascii="Book Antiqua" w:hAnsi="Book Antiqua" w:cs="Arial"/>
          <w:b/>
          <w:u w:val="single"/>
        </w:rPr>
      </w:pPr>
    </w:p>
    <w:p w14:paraId="4EE84241" w14:textId="77777777"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3F429AD2" w14:textId="77777777" w:rsidR="00A15234" w:rsidRPr="00D32B8A" w:rsidRDefault="00A15234" w:rsidP="00A15234">
      <w:pPr>
        <w:jc w:val="center"/>
        <w:rPr>
          <w:rFonts w:ascii="Book Antiqua" w:hAnsi="Book Antiqua" w:cs="Arial"/>
          <w:b/>
        </w:rPr>
      </w:pPr>
    </w:p>
    <w:p w14:paraId="793A30A5"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48691949" w14:textId="77777777" w:rsidR="001B186A" w:rsidRPr="00D32B8A" w:rsidRDefault="001B186A" w:rsidP="00A15234">
      <w:pPr>
        <w:jc w:val="center"/>
        <w:rPr>
          <w:rFonts w:ascii="Book Antiqua" w:hAnsi="Book Antiqua" w:cs="Arial"/>
          <w:b/>
          <w:color w:val="000000"/>
        </w:rPr>
      </w:pPr>
    </w:p>
    <w:p w14:paraId="1341A345" w14:textId="29D0172E"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2F160F5C" w14:textId="77777777" w:rsidR="00675DEB" w:rsidRPr="00D32B8A" w:rsidRDefault="00675DEB" w:rsidP="00B467EA">
      <w:pPr>
        <w:jc w:val="center"/>
        <w:outlineLvl w:val="0"/>
        <w:rPr>
          <w:rFonts w:ascii="Book Antiqua" w:hAnsi="Book Antiqua" w:cs="Arial"/>
          <w:b/>
        </w:rPr>
      </w:pPr>
    </w:p>
    <w:p w14:paraId="58214C7C" w14:textId="1D72D8B7" w:rsidR="00A845DC" w:rsidRDefault="00D8634F" w:rsidP="00A15234">
      <w:pPr>
        <w:jc w:val="center"/>
        <w:rPr>
          <w:rFonts w:ascii="Book Antiqua" w:hAnsi="Book Antiqua" w:cs="Arial"/>
          <w:b/>
          <w:bCs/>
        </w:rPr>
      </w:pPr>
      <w:r>
        <w:rPr>
          <w:rFonts w:ascii="Book Antiqua" w:hAnsi="Book Antiqua" w:cs="Arial"/>
          <w:b/>
          <w:bCs/>
        </w:rPr>
        <w:t>WARNAKULASURIYA JULIAN MATHEWS FERNANDO</w:t>
      </w:r>
    </w:p>
    <w:p w14:paraId="59F09F26" w14:textId="725D4D90" w:rsidR="00D8634F" w:rsidRPr="00BC6466" w:rsidRDefault="00BC6466" w:rsidP="00A15234">
      <w:pPr>
        <w:jc w:val="center"/>
        <w:rPr>
          <w:rFonts w:ascii="Book Antiqua" w:hAnsi="Book Antiqua" w:cs="Arial"/>
          <w:bCs/>
        </w:rPr>
      </w:pPr>
      <w:r w:rsidRPr="00BC6466">
        <w:rPr>
          <w:rFonts w:ascii="Book Antiqua" w:hAnsi="Book Antiqua" w:cs="Arial"/>
          <w:bCs/>
        </w:rPr>
        <w:t>(ANONYMITY DIRECTION NOT MADE)</w:t>
      </w:r>
    </w:p>
    <w:p w14:paraId="1080074B"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6BE2932A" w14:textId="77777777" w:rsidR="00BC6466" w:rsidRDefault="00BC6466" w:rsidP="00704B61">
      <w:pPr>
        <w:jc w:val="center"/>
        <w:rPr>
          <w:rFonts w:ascii="Book Antiqua" w:hAnsi="Book Antiqua" w:cs="Arial"/>
          <w:b/>
        </w:rPr>
      </w:pPr>
    </w:p>
    <w:p w14:paraId="1AA47E59" w14:textId="12F569A5" w:rsidR="00704B61" w:rsidRPr="00D32B8A" w:rsidRDefault="00DD5071" w:rsidP="00704B61">
      <w:pPr>
        <w:jc w:val="center"/>
        <w:rPr>
          <w:rFonts w:ascii="Book Antiqua" w:hAnsi="Book Antiqua" w:cs="Arial"/>
          <w:b/>
        </w:rPr>
      </w:pPr>
      <w:r w:rsidRPr="00D32B8A">
        <w:rPr>
          <w:rFonts w:ascii="Book Antiqua" w:hAnsi="Book Antiqua" w:cs="Arial"/>
          <w:b/>
        </w:rPr>
        <w:t>and</w:t>
      </w:r>
    </w:p>
    <w:p w14:paraId="338FD55B" w14:textId="6349CCEF" w:rsidR="00DD5071" w:rsidRDefault="00DD5071" w:rsidP="00704B61">
      <w:pPr>
        <w:jc w:val="center"/>
        <w:rPr>
          <w:rFonts w:ascii="Book Antiqua" w:hAnsi="Book Antiqua" w:cs="Arial"/>
          <w:b/>
        </w:rPr>
      </w:pPr>
    </w:p>
    <w:p w14:paraId="2147DA99" w14:textId="66E62879" w:rsidR="00BC6466" w:rsidRPr="00D32B8A" w:rsidRDefault="00BC6466" w:rsidP="00704B61">
      <w:pPr>
        <w:jc w:val="center"/>
        <w:rPr>
          <w:rFonts w:ascii="Book Antiqua" w:hAnsi="Book Antiqua" w:cs="Arial"/>
          <w:b/>
        </w:rPr>
      </w:pPr>
      <w:r>
        <w:rPr>
          <w:rFonts w:ascii="Book Antiqua" w:hAnsi="Book Antiqua" w:cs="Arial"/>
          <w:b/>
        </w:rPr>
        <w:t>THE SECRETARY OF STATE FOR THE HOME DEPARTMENT</w:t>
      </w:r>
    </w:p>
    <w:p w14:paraId="220231A6"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49378126" w14:textId="77777777" w:rsidR="00DD5071" w:rsidRPr="00D32B8A" w:rsidRDefault="00DD5071" w:rsidP="00DD5071">
      <w:pPr>
        <w:rPr>
          <w:rFonts w:ascii="Book Antiqua" w:hAnsi="Book Antiqua" w:cs="Arial"/>
          <w:u w:val="single"/>
        </w:rPr>
      </w:pPr>
    </w:p>
    <w:p w14:paraId="763F2D83" w14:textId="0DA8A7EC" w:rsidR="00BE485D" w:rsidRDefault="00BE485D" w:rsidP="00BE485D">
      <w:pPr>
        <w:jc w:val="center"/>
        <w:rPr>
          <w:rFonts w:ascii="Book Antiqua" w:hAnsi="Book Antiqua"/>
          <w:b/>
          <w:u w:val="single"/>
        </w:rPr>
      </w:pPr>
      <w:r>
        <w:rPr>
          <w:rFonts w:ascii="Book Antiqua" w:hAnsi="Book Antiqua"/>
          <w:b/>
          <w:u w:val="single"/>
        </w:rPr>
        <w:t>E</w:t>
      </w:r>
      <w:r w:rsidR="00BA3A4D">
        <w:rPr>
          <w:rFonts w:ascii="Book Antiqua" w:hAnsi="Book Antiqua"/>
          <w:b/>
          <w:u w:val="single"/>
        </w:rPr>
        <w:t xml:space="preserve">RROR OF LAW FINDING AND </w:t>
      </w:r>
      <w:r>
        <w:rPr>
          <w:rFonts w:ascii="Book Antiqua" w:hAnsi="Book Antiqua"/>
          <w:b/>
          <w:u w:val="single"/>
        </w:rPr>
        <w:t>REASONS</w:t>
      </w:r>
    </w:p>
    <w:p w14:paraId="70C1F7A4" w14:textId="77777777" w:rsidR="00BE485D" w:rsidRDefault="00BE485D" w:rsidP="00BE485D">
      <w:pPr>
        <w:tabs>
          <w:tab w:val="left" w:pos="2520"/>
        </w:tabs>
        <w:ind w:left="360"/>
        <w:jc w:val="both"/>
        <w:rPr>
          <w:rFonts w:ascii="Book Antiqua" w:hAnsi="Book Antiqua" w:cs="Arial"/>
        </w:rPr>
      </w:pPr>
    </w:p>
    <w:p w14:paraId="1134D5CD" w14:textId="7D33781C" w:rsidR="00BE485D" w:rsidRDefault="00902B33" w:rsidP="00461A0D">
      <w:pPr>
        <w:numPr>
          <w:ilvl w:val="0"/>
          <w:numId w:val="3"/>
        </w:numPr>
        <w:tabs>
          <w:tab w:val="left" w:pos="2520"/>
        </w:tabs>
        <w:jc w:val="both"/>
        <w:rPr>
          <w:rFonts w:ascii="Book Antiqua" w:hAnsi="Book Antiqua" w:cs="Arial"/>
        </w:rPr>
      </w:pPr>
      <w:r>
        <w:rPr>
          <w:rFonts w:ascii="Book Antiqua" w:hAnsi="Book Antiqua" w:cs="Arial"/>
        </w:rPr>
        <w:t xml:space="preserve">On </w:t>
      </w:r>
      <w:r w:rsidR="00E72CBB">
        <w:rPr>
          <w:rFonts w:ascii="Book Antiqua" w:hAnsi="Book Antiqua" w:cs="Arial"/>
        </w:rPr>
        <w:t>5 September 2019 First-tier Tribunal Judge Jepson dismissed the appellant’s appeal on human rights grounds.</w:t>
      </w:r>
    </w:p>
    <w:p w14:paraId="5D16E90F" w14:textId="6DFA80DB" w:rsidR="00A15A6F" w:rsidRDefault="00A15A6F" w:rsidP="00461A0D">
      <w:pPr>
        <w:numPr>
          <w:ilvl w:val="0"/>
          <w:numId w:val="3"/>
        </w:numPr>
        <w:tabs>
          <w:tab w:val="left" w:pos="2520"/>
        </w:tabs>
        <w:jc w:val="both"/>
        <w:rPr>
          <w:rFonts w:ascii="Book Antiqua" w:hAnsi="Book Antiqua" w:cs="Arial"/>
        </w:rPr>
      </w:pPr>
      <w:r>
        <w:rPr>
          <w:rFonts w:ascii="Book Antiqua" w:hAnsi="Book Antiqua" w:cs="Arial"/>
        </w:rPr>
        <w:t>Permission to appeal was granted by another judge of the</w:t>
      </w:r>
      <w:r w:rsidR="00A50CD5">
        <w:rPr>
          <w:rFonts w:ascii="Book Antiqua" w:hAnsi="Book Antiqua" w:cs="Arial"/>
        </w:rPr>
        <w:t xml:space="preserve"> First</w:t>
      </w:r>
      <w:r>
        <w:rPr>
          <w:rFonts w:ascii="Book Antiqua" w:hAnsi="Book Antiqua" w:cs="Arial"/>
        </w:rPr>
        <w:t>-</w:t>
      </w:r>
      <w:r w:rsidR="00A50CD5">
        <w:rPr>
          <w:rFonts w:ascii="Book Antiqua" w:hAnsi="Book Antiqua" w:cs="Arial"/>
        </w:rPr>
        <w:t>t</w:t>
      </w:r>
      <w:r>
        <w:rPr>
          <w:rFonts w:ascii="Book Antiqua" w:hAnsi="Book Antiqua" w:cs="Arial"/>
        </w:rPr>
        <w:t xml:space="preserve">ier Tribunal on 31 March 2020 the operative part of </w:t>
      </w:r>
      <w:r w:rsidR="00A50CD5">
        <w:rPr>
          <w:rFonts w:ascii="Book Antiqua" w:hAnsi="Book Antiqua" w:cs="Arial"/>
        </w:rPr>
        <w:t xml:space="preserve">the grant being </w:t>
      </w:r>
      <w:r>
        <w:rPr>
          <w:rFonts w:ascii="Book Antiqua" w:hAnsi="Book Antiqua" w:cs="Arial"/>
        </w:rPr>
        <w:t>in the following terms:</w:t>
      </w:r>
    </w:p>
    <w:p w14:paraId="5BE6EABF" w14:textId="7A9552ED" w:rsidR="00E72CBB" w:rsidRDefault="00E72CBB" w:rsidP="00461A0D">
      <w:pPr>
        <w:tabs>
          <w:tab w:val="left" w:pos="2520"/>
        </w:tabs>
        <w:ind w:left="1080"/>
        <w:jc w:val="both"/>
        <w:rPr>
          <w:rFonts w:ascii="Book Antiqua" w:hAnsi="Book Antiqua" w:cs="Arial"/>
        </w:rPr>
      </w:pPr>
    </w:p>
    <w:p w14:paraId="4D9B3C77" w14:textId="2D84D684" w:rsidR="00A15A6F" w:rsidRPr="00EA55DF" w:rsidRDefault="00EA55DF" w:rsidP="00461A0D">
      <w:pPr>
        <w:tabs>
          <w:tab w:val="left" w:pos="2520"/>
        </w:tabs>
        <w:ind w:left="1080"/>
        <w:jc w:val="both"/>
        <w:rPr>
          <w:rFonts w:ascii="Book Antiqua" w:hAnsi="Book Antiqua" w:cs="Arial"/>
          <w:sz w:val="20"/>
          <w:szCs w:val="20"/>
        </w:rPr>
      </w:pPr>
      <w:r w:rsidRPr="00EA55DF">
        <w:rPr>
          <w:rFonts w:ascii="Book Antiqua" w:hAnsi="Book Antiqua" w:cs="Arial"/>
          <w:sz w:val="20"/>
          <w:szCs w:val="20"/>
        </w:rPr>
        <w:t>“I</w:t>
      </w:r>
      <w:r w:rsidR="00F35599" w:rsidRPr="00EA55DF">
        <w:rPr>
          <w:rFonts w:ascii="Book Antiqua" w:hAnsi="Book Antiqua" w:cs="Arial"/>
          <w:sz w:val="20"/>
          <w:szCs w:val="20"/>
        </w:rPr>
        <w:t>t is argu</w:t>
      </w:r>
      <w:r w:rsidR="000837B4" w:rsidRPr="00EA55DF">
        <w:rPr>
          <w:rFonts w:ascii="Book Antiqua" w:hAnsi="Book Antiqua" w:cs="Arial"/>
          <w:sz w:val="20"/>
          <w:szCs w:val="20"/>
        </w:rPr>
        <w:t>ed</w:t>
      </w:r>
      <w:r w:rsidR="00F35599" w:rsidRPr="00EA55DF">
        <w:rPr>
          <w:rFonts w:ascii="Book Antiqua" w:hAnsi="Book Antiqua" w:cs="Arial"/>
          <w:sz w:val="20"/>
          <w:szCs w:val="20"/>
        </w:rPr>
        <w:t xml:space="preserve"> that the Tribunal erred in:</w:t>
      </w:r>
    </w:p>
    <w:p w14:paraId="55517681" w14:textId="313C152C" w:rsidR="00F35599" w:rsidRPr="00EA55DF" w:rsidRDefault="00F35599" w:rsidP="00461A0D">
      <w:pPr>
        <w:tabs>
          <w:tab w:val="left" w:pos="2520"/>
        </w:tabs>
        <w:ind w:left="1080"/>
        <w:jc w:val="both"/>
        <w:rPr>
          <w:rFonts w:ascii="Book Antiqua" w:hAnsi="Book Antiqua" w:cs="Arial"/>
          <w:sz w:val="20"/>
          <w:szCs w:val="20"/>
        </w:rPr>
      </w:pPr>
    </w:p>
    <w:p w14:paraId="6904F872" w14:textId="5E7CAC64" w:rsidR="00F35599" w:rsidRPr="00EA55DF" w:rsidRDefault="00F35599" w:rsidP="00461A0D">
      <w:pPr>
        <w:numPr>
          <w:ilvl w:val="0"/>
          <w:numId w:val="4"/>
        </w:numPr>
        <w:tabs>
          <w:tab w:val="left" w:pos="2520"/>
        </w:tabs>
        <w:jc w:val="both"/>
        <w:rPr>
          <w:rFonts w:ascii="Book Antiqua" w:hAnsi="Book Antiqua" w:cs="Arial"/>
          <w:sz w:val="20"/>
          <w:szCs w:val="20"/>
        </w:rPr>
      </w:pPr>
      <w:r w:rsidRPr="00EA55DF">
        <w:rPr>
          <w:rFonts w:ascii="Book Antiqua" w:hAnsi="Book Antiqua" w:cs="Arial"/>
          <w:sz w:val="20"/>
          <w:szCs w:val="20"/>
        </w:rPr>
        <w:t>Failing to consider the evidence from the Appellant’s parents-in-law</w:t>
      </w:r>
      <w:r w:rsidR="000837B4" w:rsidRPr="00EA55DF">
        <w:rPr>
          <w:rFonts w:ascii="Book Antiqua" w:hAnsi="Book Antiqua" w:cs="Arial"/>
          <w:sz w:val="20"/>
          <w:szCs w:val="20"/>
        </w:rPr>
        <w:t xml:space="preserve"> and considering it an adverse credibility point that there was no such evidence when there was. This is not arguable because Judge Jepson was clearly aware of this evidence and considered it as is demonstrated by the last </w:t>
      </w:r>
      <w:r w:rsidR="00EA55DF" w:rsidRPr="00EA55DF">
        <w:rPr>
          <w:rFonts w:ascii="Book Antiqua" w:hAnsi="Book Antiqua" w:cs="Arial"/>
          <w:sz w:val="20"/>
          <w:szCs w:val="20"/>
        </w:rPr>
        <w:t xml:space="preserve">two </w:t>
      </w:r>
      <w:r w:rsidR="000837B4" w:rsidRPr="00EA55DF">
        <w:rPr>
          <w:rFonts w:ascii="Book Antiqua" w:hAnsi="Book Antiqua" w:cs="Arial"/>
          <w:sz w:val="20"/>
          <w:szCs w:val="20"/>
        </w:rPr>
        <w:t>bullet points at paragraph 35.</w:t>
      </w:r>
    </w:p>
    <w:p w14:paraId="396C1DED" w14:textId="30BDDAD8" w:rsidR="000837B4" w:rsidRDefault="00F10657" w:rsidP="00461A0D">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 xml:space="preserve">The limited weight given to the evidence from </w:t>
      </w:r>
      <w:r w:rsidR="00EA55DF">
        <w:rPr>
          <w:rFonts w:ascii="Book Antiqua" w:hAnsi="Book Antiqua" w:cs="Arial"/>
          <w:sz w:val="20"/>
          <w:szCs w:val="20"/>
        </w:rPr>
        <w:t>two w</w:t>
      </w:r>
      <w:r>
        <w:rPr>
          <w:rFonts w:ascii="Book Antiqua" w:hAnsi="Book Antiqua" w:cs="Arial"/>
          <w:sz w:val="20"/>
          <w:szCs w:val="20"/>
        </w:rPr>
        <w:t xml:space="preserve">itnesses who the Tribunal found had effectively been deceived, finding at paragraph 47 that they had not necessarily been lying </w:t>
      </w:r>
      <w:r w:rsidR="007856B1">
        <w:rPr>
          <w:rFonts w:ascii="Book Antiqua" w:hAnsi="Book Antiqua" w:cs="Arial"/>
          <w:sz w:val="20"/>
          <w:szCs w:val="20"/>
        </w:rPr>
        <w:t xml:space="preserve">but </w:t>
      </w:r>
      <w:r>
        <w:rPr>
          <w:rFonts w:ascii="Book Antiqua" w:hAnsi="Book Antiqua" w:cs="Arial"/>
          <w:sz w:val="20"/>
          <w:szCs w:val="20"/>
        </w:rPr>
        <w:t>had been “led up the garden path”.</w:t>
      </w:r>
      <w:r w:rsidR="007856B1">
        <w:rPr>
          <w:rFonts w:ascii="Book Antiqua" w:hAnsi="Book Antiqua" w:cs="Arial"/>
          <w:sz w:val="20"/>
          <w:szCs w:val="20"/>
        </w:rPr>
        <w:t xml:space="preserve"> This ground it is arguable. It is un-clear why the Tribunal found </w:t>
      </w:r>
      <w:r w:rsidR="007856B1">
        <w:rPr>
          <w:rFonts w:ascii="Book Antiqua" w:hAnsi="Book Antiqua" w:cs="Arial"/>
          <w:sz w:val="20"/>
          <w:szCs w:val="20"/>
        </w:rPr>
        <w:lastRenderedPageBreak/>
        <w:t>the witnesses had been deceived into believing that the Appellant was in a genuine and subsisting relationship</w:t>
      </w:r>
      <w:r w:rsidR="00C01399">
        <w:rPr>
          <w:rFonts w:ascii="Book Antiqua" w:hAnsi="Book Antiqua" w:cs="Arial"/>
          <w:sz w:val="20"/>
          <w:szCs w:val="20"/>
        </w:rPr>
        <w:t xml:space="preserve"> with his wife.</w:t>
      </w:r>
    </w:p>
    <w:p w14:paraId="3C3EB287" w14:textId="4842F3D3" w:rsidR="00C01399" w:rsidRDefault="00C01399" w:rsidP="00461A0D">
      <w:pPr>
        <w:numPr>
          <w:ilvl w:val="0"/>
          <w:numId w:val="4"/>
        </w:numPr>
        <w:tabs>
          <w:tab w:val="left" w:pos="2520"/>
        </w:tabs>
        <w:jc w:val="both"/>
        <w:rPr>
          <w:rFonts w:ascii="Book Antiqua" w:hAnsi="Book Antiqua" w:cs="Arial"/>
          <w:sz w:val="20"/>
          <w:szCs w:val="20"/>
        </w:rPr>
      </w:pPr>
      <w:r>
        <w:rPr>
          <w:rFonts w:ascii="Book Antiqua" w:hAnsi="Book Antiqua" w:cs="Arial"/>
          <w:sz w:val="20"/>
          <w:szCs w:val="20"/>
        </w:rPr>
        <w:t>Failing to conduct a holistic proportionality assessment and give adequate reasons for the decision.</w:t>
      </w:r>
    </w:p>
    <w:p w14:paraId="0B3D8029" w14:textId="78971457" w:rsidR="00C01399" w:rsidRDefault="00C01399" w:rsidP="00461A0D">
      <w:pPr>
        <w:tabs>
          <w:tab w:val="left" w:pos="2520"/>
        </w:tabs>
        <w:ind w:left="2832"/>
        <w:jc w:val="both"/>
        <w:rPr>
          <w:rFonts w:ascii="Book Antiqua" w:hAnsi="Book Antiqua" w:cs="Arial"/>
          <w:sz w:val="20"/>
          <w:szCs w:val="20"/>
        </w:rPr>
      </w:pPr>
    </w:p>
    <w:p w14:paraId="56F449B0" w14:textId="72060817" w:rsidR="00C01399" w:rsidRPr="00A15A6F" w:rsidRDefault="00C01399" w:rsidP="00461A0D">
      <w:pPr>
        <w:tabs>
          <w:tab w:val="left" w:pos="2520"/>
        </w:tabs>
        <w:ind w:left="2832"/>
        <w:jc w:val="both"/>
        <w:rPr>
          <w:rFonts w:ascii="Book Antiqua" w:hAnsi="Book Antiqua" w:cs="Arial"/>
          <w:sz w:val="20"/>
          <w:szCs w:val="20"/>
        </w:rPr>
      </w:pPr>
      <w:r>
        <w:rPr>
          <w:rFonts w:ascii="Book Antiqua" w:hAnsi="Book Antiqua" w:cs="Arial"/>
          <w:sz w:val="20"/>
          <w:szCs w:val="20"/>
        </w:rPr>
        <w:t xml:space="preserve">The </w:t>
      </w:r>
      <w:r w:rsidR="000A1C44">
        <w:rPr>
          <w:rFonts w:ascii="Book Antiqua" w:hAnsi="Book Antiqua" w:cs="Arial"/>
          <w:sz w:val="20"/>
          <w:szCs w:val="20"/>
        </w:rPr>
        <w:t xml:space="preserve">second </w:t>
      </w:r>
      <w:r>
        <w:rPr>
          <w:rFonts w:ascii="Book Antiqua" w:hAnsi="Book Antiqua" w:cs="Arial"/>
          <w:sz w:val="20"/>
          <w:szCs w:val="20"/>
        </w:rPr>
        <w:t xml:space="preserve">and </w:t>
      </w:r>
      <w:r w:rsidR="000A1C44">
        <w:rPr>
          <w:rFonts w:ascii="Book Antiqua" w:hAnsi="Book Antiqua" w:cs="Arial"/>
          <w:sz w:val="20"/>
          <w:szCs w:val="20"/>
        </w:rPr>
        <w:t xml:space="preserve">third </w:t>
      </w:r>
      <w:r>
        <w:rPr>
          <w:rFonts w:ascii="Book Antiqua" w:hAnsi="Book Antiqua" w:cs="Arial"/>
          <w:sz w:val="20"/>
          <w:szCs w:val="20"/>
        </w:rPr>
        <w:t>grounds are arguable.</w:t>
      </w:r>
    </w:p>
    <w:p w14:paraId="08090124" w14:textId="33CAA18B" w:rsidR="00A15A6F" w:rsidRDefault="00A15A6F" w:rsidP="00461A0D">
      <w:pPr>
        <w:tabs>
          <w:tab w:val="left" w:pos="2520"/>
        </w:tabs>
        <w:ind w:left="1080"/>
        <w:jc w:val="both"/>
        <w:rPr>
          <w:rFonts w:ascii="Book Antiqua" w:hAnsi="Book Antiqua" w:cs="Arial"/>
        </w:rPr>
      </w:pPr>
    </w:p>
    <w:p w14:paraId="53F206A2" w14:textId="36A6CA02" w:rsidR="00A15A6F" w:rsidRDefault="00570A40" w:rsidP="00461A0D">
      <w:pPr>
        <w:numPr>
          <w:ilvl w:val="0"/>
          <w:numId w:val="3"/>
        </w:numPr>
        <w:tabs>
          <w:tab w:val="left" w:pos="2520"/>
        </w:tabs>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Covid-19 Pandemic directions were given by the Upper Tribunal</w:t>
      </w:r>
      <w:r w:rsidR="008E3BC7">
        <w:rPr>
          <w:rFonts w:ascii="Book Antiqua" w:hAnsi="Book Antiqua" w:cs="Arial"/>
        </w:rPr>
        <w:t xml:space="preserve"> advising the parties that the Upper Tribunal had reached the provisional view that it will be appropriate in th</w:t>
      </w:r>
      <w:r w:rsidR="00CA45C1">
        <w:rPr>
          <w:rFonts w:ascii="Book Antiqua" w:hAnsi="Book Antiqua" w:cs="Arial"/>
        </w:rPr>
        <w:t xml:space="preserve">is </w:t>
      </w:r>
      <w:r w:rsidR="008E3BC7">
        <w:rPr>
          <w:rFonts w:ascii="Book Antiqua" w:hAnsi="Book Antiqua" w:cs="Arial"/>
        </w:rPr>
        <w:t>case to determine the question of whether the First-</w:t>
      </w:r>
      <w:r w:rsidR="00633663">
        <w:rPr>
          <w:rFonts w:ascii="Book Antiqua" w:hAnsi="Book Antiqua" w:cs="Arial"/>
        </w:rPr>
        <w:t>t</w:t>
      </w:r>
      <w:r w:rsidR="008E3BC7">
        <w:rPr>
          <w:rFonts w:ascii="Book Antiqua" w:hAnsi="Book Antiqua" w:cs="Arial"/>
        </w:rPr>
        <w:t>ier Tribunal decision involved the making of an error of law</w:t>
      </w:r>
      <w:r w:rsidR="00B3751D">
        <w:rPr>
          <w:rFonts w:ascii="Book Antiqua" w:hAnsi="Book Antiqua" w:cs="Arial"/>
        </w:rPr>
        <w:t xml:space="preserve"> and if so whether the decision should be set aside on the papers</w:t>
      </w:r>
      <w:r w:rsidR="00633663">
        <w:rPr>
          <w:rFonts w:ascii="Book Antiqua" w:hAnsi="Book Antiqua" w:cs="Arial"/>
        </w:rPr>
        <w:t>.</w:t>
      </w:r>
      <w:r w:rsidR="00B3751D">
        <w:rPr>
          <w:rFonts w:ascii="Book Antiqua" w:hAnsi="Book Antiqua" w:cs="Arial"/>
        </w:rPr>
        <w:t xml:space="preserve"> </w:t>
      </w:r>
      <w:r w:rsidR="00633663">
        <w:rPr>
          <w:rFonts w:ascii="Book Antiqua" w:hAnsi="Book Antiqua" w:cs="Arial"/>
        </w:rPr>
        <w:t>T</w:t>
      </w:r>
      <w:r w:rsidR="00B3751D">
        <w:rPr>
          <w:rFonts w:ascii="Book Antiqua" w:hAnsi="Book Antiqua" w:cs="Arial"/>
        </w:rPr>
        <w:t xml:space="preserve">he directions </w:t>
      </w:r>
      <w:r w:rsidR="00633663">
        <w:rPr>
          <w:rFonts w:ascii="Book Antiqua" w:hAnsi="Book Antiqua" w:cs="Arial"/>
        </w:rPr>
        <w:t xml:space="preserve">also </w:t>
      </w:r>
      <w:r w:rsidR="00B3751D">
        <w:rPr>
          <w:rFonts w:ascii="Book Antiqua" w:hAnsi="Book Antiqua" w:cs="Arial"/>
        </w:rPr>
        <w:t>contain specific time limit</w:t>
      </w:r>
      <w:r w:rsidR="00633663">
        <w:rPr>
          <w:rFonts w:ascii="Book Antiqua" w:hAnsi="Book Antiqua" w:cs="Arial"/>
        </w:rPr>
        <w:t>s</w:t>
      </w:r>
      <w:r w:rsidR="00B3751D">
        <w:rPr>
          <w:rFonts w:ascii="Book Antiqua" w:hAnsi="Book Antiqua" w:cs="Arial"/>
        </w:rPr>
        <w:t xml:space="preserve"> to enable the parties to make submissions in response to this provisional view and to make further submissions in support of their respective cases, if they wish to do so</w:t>
      </w:r>
      <w:r w:rsidR="0073043C">
        <w:rPr>
          <w:rFonts w:ascii="Book Antiqua" w:hAnsi="Book Antiqua" w:cs="Arial"/>
        </w:rPr>
        <w:t>,</w:t>
      </w:r>
      <w:r w:rsidR="00B3751D">
        <w:rPr>
          <w:rFonts w:ascii="Book Antiqua" w:hAnsi="Book Antiqua" w:cs="Arial"/>
        </w:rPr>
        <w:t xml:space="preserve"> in any event.</w:t>
      </w:r>
    </w:p>
    <w:p w14:paraId="6DB7E742" w14:textId="61BD0EE5" w:rsidR="00C146A2" w:rsidRDefault="00C146A2" w:rsidP="00461A0D">
      <w:pPr>
        <w:numPr>
          <w:ilvl w:val="0"/>
          <w:numId w:val="3"/>
        </w:numPr>
        <w:tabs>
          <w:tab w:val="left" w:pos="2520"/>
        </w:tabs>
        <w:jc w:val="both"/>
        <w:rPr>
          <w:rFonts w:ascii="Book Antiqua" w:hAnsi="Book Antiqua" w:cs="Arial"/>
        </w:rPr>
      </w:pPr>
      <w:r>
        <w:rPr>
          <w:rFonts w:ascii="Book Antiqua" w:hAnsi="Book Antiqua" w:cs="Arial"/>
        </w:rPr>
        <w:t>Response ha</w:t>
      </w:r>
      <w:r w:rsidR="0073043C">
        <w:rPr>
          <w:rFonts w:ascii="Book Antiqua" w:hAnsi="Book Antiqua" w:cs="Arial"/>
        </w:rPr>
        <w:t xml:space="preserve">ve </w:t>
      </w:r>
      <w:r>
        <w:rPr>
          <w:rFonts w:ascii="Book Antiqua" w:hAnsi="Book Antiqua" w:cs="Arial"/>
        </w:rPr>
        <w:t>been received from both the appellant and respondent’s representatives.</w:t>
      </w:r>
    </w:p>
    <w:p w14:paraId="08E91922" w14:textId="77777777" w:rsidR="00B437A2" w:rsidRDefault="00B437A2" w:rsidP="00461A0D">
      <w:pPr>
        <w:numPr>
          <w:ilvl w:val="0"/>
          <w:numId w:val="3"/>
        </w:numPr>
        <w:jc w:val="both"/>
        <w:rPr>
          <w:rFonts w:ascii="Book Antiqua" w:hAnsi="Book Antiqua" w:cs="Arial"/>
        </w:rPr>
      </w:pPr>
      <w:r>
        <w:rPr>
          <w:rFonts w:ascii="Book Antiqua" w:hAnsi="Book Antiqua" w:cs="Arial"/>
        </w:rPr>
        <w:t xml:space="preserve">The Overriding Objective is contained in the Upper Tribunal Procedure Rules. </w:t>
      </w:r>
      <w:r w:rsidRPr="002D1AEF">
        <w:rPr>
          <w:rFonts w:ascii="Book Antiqua" w:hAnsi="Book Antiqua" w:cs="Arial"/>
        </w:rPr>
        <w:t>Rule  2(2)  explains  that  dealing  with  a  case  fairly  and  justly  includes:  dealing with  it  in  ways that  are  proportionate  to  the  importance  of  the  case,  the complexity  of  the  issues,  etc;  avoiding  unnecessary  formality  and  seeking flexibility  in  the  proceedings;  ensuring,  so  far  as  practicable,  that</w:t>
      </w:r>
      <w:r>
        <w:rPr>
          <w:rFonts w:ascii="Book Antiqua" w:hAnsi="Book Antiqua" w:cs="Arial"/>
        </w:rPr>
        <w:t xml:space="preserve"> </w:t>
      </w:r>
      <w:r w:rsidRPr="002D1AEF">
        <w:rPr>
          <w:rFonts w:ascii="Book Antiqua" w:hAnsi="Book Antiqua" w:cs="Arial"/>
        </w:rPr>
        <w:t>the</w:t>
      </w:r>
      <w:r>
        <w:rPr>
          <w:rFonts w:ascii="Book Antiqua" w:hAnsi="Book Antiqua" w:cs="Arial"/>
        </w:rPr>
        <w:t xml:space="preserve"> </w:t>
      </w:r>
      <w:r w:rsidRPr="002D1AEF">
        <w:rPr>
          <w:rFonts w:ascii="Book Antiqua" w:hAnsi="Book Antiqua" w:cs="Arial"/>
        </w:rPr>
        <w:t>parties are able to participate fully in the proceedings; using any special expertise of the Upper Tribunal effectively; and avoiding delay, so far as compatible with proper consideration of the issues.</w:t>
      </w:r>
    </w:p>
    <w:p w14:paraId="7175E65F" w14:textId="77777777" w:rsidR="00B437A2" w:rsidRDefault="00B437A2" w:rsidP="00461A0D">
      <w:pPr>
        <w:numPr>
          <w:ilvl w:val="0"/>
          <w:numId w:val="3"/>
        </w:numPr>
        <w:jc w:val="both"/>
        <w:rPr>
          <w:rFonts w:ascii="Book Antiqua" w:hAnsi="Book Antiqua" w:cs="Arial"/>
        </w:rPr>
      </w:pPr>
      <w:r w:rsidRPr="002D1AEF">
        <w:rPr>
          <w:rFonts w:ascii="Book Antiqua" w:hAnsi="Book Antiqua" w:cs="Arial"/>
        </w:rPr>
        <w:t>Rule 2(4)</w:t>
      </w:r>
      <w:r>
        <w:rPr>
          <w:rFonts w:ascii="Book Antiqua" w:hAnsi="Book Antiqua" w:cs="Arial"/>
        </w:rPr>
        <w:t xml:space="preserve"> </w:t>
      </w:r>
      <w:r w:rsidRPr="002D1AEF">
        <w:rPr>
          <w:rFonts w:ascii="Book Antiqua" w:hAnsi="Book Antiqua" w:cs="Arial"/>
        </w:rPr>
        <w:t>puts a duty on the parties</w:t>
      </w:r>
      <w:r>
        <w:rPr>
          <w:rFonts w:ascii="Book Antiqua" w:hAnsi="Book Antiqua" w:cs="Arial"/>
        </w:rPr>
        <w:t xml:space="preserve"> </w:t>
      </w:r>
      <w:r w:rsidRPr="002D1AEF">
        <w:rPr>
          <w:rFonts w:ascii="Book Antiqua" w:hAnsi="Book Antiqua" w:cs="Arial"/>
        </w:rPr>
        <w:t>to help the Upper Tribunal to further the overriding objective; and to cooperate with the Upper Tribunal generally.</w:t>
      </w:r>
    </w:p>
    <w:p w14:paraId="5313AD1E" w14:textId="77777777" w:rsidR="00B437A2" w:rsidRDefault="00B437A2" w:rsidP="00461A0D">
      <w:pPr>
        <w:numPr>
          <w:ilvl w:val="0"/>
          <w:numId w:val="3"/>
        </w:numPr>
        <w:jc w:val="both"/>
        <w:rPr>
          <w:rFonts w:ascii="Book Antiqua" w:hAnsi="Book Antiqua" w:cs="Arial"/>
        </w:rPr>
      </w:pPr>
      <w:r w:rsidRPr="002D1AEF">
        <w:rPr>
          <w:rFonts w:ascii="Book Antiqua" w:hAnsi="Book Antiqua" w:cs="Arial"/>
        </w:rPr>
        <w:t>Rule</w:t>
      </w:r>
      <w:r>
        <w:rPr>
          <w:rFonts w:ascii="Book Antiqua" w:hAnsi="Book Antiqua" w:cs="Arial"/>
        </w:rPr>
        <w:t xml:space="preserve"> </w:t>
      </w:r>
      <w:r w:rsidRPr="002D1AEF">
        <w:rPr>
          <w:rFonts w:ascii="Book Antiqua" w:hAnsi="Book Antiqua" w:cs="Arial"/>
        </w:rPr>
        <w:t>34</w:t>
      </w:r>
      <w:r>
        <w:rPr>
          <w:rFonts w:ascii="Book Antiqua" w:hAnsi="Book Antiqua" w:cs="Arial"/>
        </w:rPr>
        <w:t xml:space="preserve"> of </w:t>
      </w:r>
      <w:r w:rsidRPr="00BD1A6E">
        <w:rPr>
          <w:rFonts w:ascii="Book Antiqua" w:hAnsi="Book Antiqua" w:cs="Arial"/>
        </w:rPr>
        <w:t>The Tribunal Procedure (Upper Tribunal) Rules 2008</w:t>
      </w:r>
      <w:r>
        <w:rPr>
          <w:rFonts w:ascii="Book Antiqua" w:hAnsi="Book Antiqua" w:cs="Arial"/>
        </w:rPr>
        <w:t xml:space="preserve"> </w:t>
      </w:r>
      <w:r w:rsidRPr="002D1AEF">
        <w:rPr>
          <w:rFonts w:ascii="Book Antiqua" w:hAnsi="Book Antiqua" w:cs="Arial"/>
        </w:rPr>
        <w:t>provides:</w:t>
      </w:r>
    </w:p>
    <w:p w14:paraId="34E5333D" w14:textId="77777777" w:rsidR="00B437A2" w:rsidRDefault="00B437A2" w:rsidP="00461A0D">
      <w:pPr>
        <w:ind w:left="1080"/>
        <w:jc w:val="both"/>
        <w:rPr>
          <w:rFonts w:ascii="Book Antiqua" w:hAnsi="Book Antiqua" w:cs="Arial"/>
        </w:rPr>
      </w:pPr>
    </w:p>
    <w:p w14:paraId="57EB6EBF" w14:textId="77777777" w:rsidR="00B437A2" w:rsidRDefault="00B437A2" w:rsidP="00461A0D">
      <w:pPr>
        <w:ind w:left="1080"/>
        <w:jc w:val="both"/>
        <w:rPr>
          <w:rFonts w:ascii="Book Antiqua" w:hAnsi="Book Antiqua" w:cs="Arial"/>
          <w:sz w:val="20"/>
          <w:szCs w:val="20"/>
        </w:rPr>
      </w:pPr>
      <w:r w:rsidRPr="00714FF1">
        <w:rPr>
          <w:rFonts w:ascii="Book Antiqua" w:hAnsi="Book Antiqua" w:cs="Arial"/>
          <w:sz w:val="20"/>
          <w:szCs w:val="20"/>
        </w:rPr>
        <w:t>34.—</w:t>
      </w:r>
    </w:p>
    <w:p w14:paraId="7E046914" w14:textId="2C8403AA" w:rsidR="00B437A2" w:rsidRDefault="00B437A2" w:rsidP="00461A0D">
      <w:pPr>
        <w:ind w:left="1701" w:hanging="621"/>
        <w:jc w:val="both"/>
        <w:rPr>
          <w:rFonts w:ascii="Book Antiqua" w:hAnsi="Book Antiqua" w:cs="Arial"/>
          <w:sz w:val="20"/>
          <w:szCs w:val="20"/>
        </w:rPr>
      </w:pPr>
      <w:r w:rsidRPr="00714FF1">
        <w:rPr>
          <w:rFonts w:ascii="Book Antiqua" w:hAnsi="Book Antiqua" w:cs="Arial"/>
          <w:sz w:val="20"/>
          <w:szCs w:val="20"/>
        </w:rPr>
        <w:t>(1)</w:t>
      </w:r>
      <w:r>
        <w:rPr>
          <w:rFonts w:ascii="Book Antiqua" w:hAnsi="Book Antiqua" w:cs="Arial"/>
          <w:sz w:val="20"/>
          <w:szCs w:val="20"/>
        </w:rPr>
        <w:tab/>
      </w:r>
      <w:r w:rsidRPr="00714FF1">
        <w:rPr>
          <w:rFonts w:ascii="Book Antiqua" w:hAnsi="Book Antiqua" w:cs="Arial"/>
          <w:sz w:val="20"/>
          <w:szCs w:val="20"/>
        </w:rPr>
        <w:t>Subject to paragraphs</w:t>
      </w:r>
      <w:r>
        <w:rPr>
          <w:rFonts w:ascii="Book Antiqua" w:hAnsi="Book Antiqua" w:cs="Arial"/>
          <w:sz w:val="20"/>
          <w:szCs w:val="20"/>
        </w:rPr>
        <w:t xml:space="preserve"> </w:t>
      </w:r>
      <w:r w:rsidRPr="00714FF1">
        <w:rPr>
          <w:rFonts w:ascii="Book Antiqua" w:hAnsi="Book Antiqua" w:cs="Arial"/>
          <w:sz w:val="20"/>
          <w:szCs w:val="20"/>
        </w:rPr>
        <w:t>(2)</w:t>
      </w:r>
      <w:r w:rsidR="00BC6466">
        <w:rPr>
          <w:rFonts w:ascii="Book Antiqua" w:hAnsi="Book Antiqua" w:cs="Arial"/>
          <w:sz w:val="20"/>
          <w:szCs w:val="20"/>
        </w:rPr>
        <w:t xml:space="preserve"> </w:t>
      </w:r>
      <w:r w:rsidRPr="00714FF1">
        <w:rPr>
          <w:rFonts w:ascii="Book Antiqua" w:hAnsi="Book Antiqua" w:cs="Arial"/>
          <w:sz w:val="20"/>
          <w:szCs w:val="20"/>
        </w:rPr>
        <w:t>and (3), the Upper Tribunal may make any decision without a hearing.</w:t>
      </w:r>
    </w:p>
    <w:p w14:paraId="0A40205A" w14:textId="550A7803" w:rsidR="00B437A2" w:rsidRDefault="00B437A2" w:rsidP="00461A0D">
      <w:pPr>
        <w:ind w:left="1701" w:hanging="621"/>
        <w:jc w:val="both"/>
        <w:rPr>
          <w:rFonts w:ascii="Book Antiqua" w:hAnsi="Book Antiqua" w:cs="Arial"/>
          <w:sz w:val="20"/>
          <w:szCs w:val="20"/>
        </w:rPr>
      </w:pPr>
      <w:r w:rsidRPr="00714FF1">
        <w:rPr>
          <w:rFonts w:ascii="Book Antiqua" w:hAnsi="Book Antiqua" w:cs="Arial"/>
          <w:sz w:val="20"/>
          <w:szCs w:val="20"/>
        </w:rPr>
        <w:t>(2)</w:t>
      </w:r>
      <w:r>
        <w:rPr>
          <w:rFonts w:ascii="Book Antiqua" w:hAnsi="Book Antiqua" w:cs="Arial"/>
          <w:sz w:val="20"/>
          <w:szCs w:val="20"/>
        </w:rPr>
        <w:tab/>
      </w:r>
      <w:r w:rsidRPr="00714FF1">
        <w:rPr>
          <w:rFonts w:ascii="Book Antiqua" w:hAnsi="Book Antiqua" w:cs="Arial"/>
          <w:sz w:val="20"/>
          <w:szCs w:val="20"/>
        </w:rPr>
        <w:t>The Upper Tribunal must have regard to any view expressed by a party when deciding whether to hold a hearing to consider any matter, and the form of any such hearing.</w:t>
      </w:r>
    </w:p>
    <w:p w14:paraId="5925C861" w14:textId="3B8121C3" w:rsidR="00B437A2" w:rsidRPr="00714FF1" w:rsidRDefault="00B437A2" w:rsidP="00461A0D">
      <w:pPr>
        <w:ind w:left="1701" w:hanging="621"/>
        <w:jc w:val="both"/>
        <w:rPr>
          <w:rFonts w:ascii="Book Antiqua" w:hAnsi="Book Antiqua" w:cs="Arial"/>
          <w:sz w:val="20"/>
          <w:szCs w:val="20"/>
        </w:rPr>
      </w:pPr>
      <w:r w:rsidRPr="00714FF1">
        <w:rPr>
          <w:rFonts w:ascii="Book Antiqua" w:hAnsi="Book Antiqua" w:cs="Arial"/>
          <w:sz w:val="20"/>
          <w:szCs w:val="20"/>
        </w:rPr>
        <w:t>(3)</w:t>
      </w:r>
      <w:r>
        <w:rPr>
          <w:rFonts w:ascii="Book Antiqua" w:hAnsi="Book Antiqua" w:cs="Arial"/>
          <w:sz w:val="20"/>
          <w:szCs w:val="20"/>
        </w:rPr>
        <w:tab/>
      </w:r>
      <w:r w:rsidRPr="00714FF1">
        <w:rPr>
          <w:rFonts w:ascii="Book Antiqua" w:hAnsi="Book Antiqua" w:cs="Arial"/>
          <w:sz w:val="20"/>
          <w:szCs w:val="20"/>
        </w:rPr>
        <w:t xml:space="preserve">In immigration judicial review proceedings, the Upper Tribunal must hold a hearing before </w:t>
      </w:r>
      <w:proofErr w:type="gramStart"/>
      <w:r w:rsidRPr="00714FF1">
        <w:rPr>
          <w:rFonts w:ascii="Book Antiqua" w:hAnsi="Book Antiqua" w:cs="Arial"/>
          <w:sz w:val="20"/>
          <w:szCs w:val="20"/>
        </w:rPr>
        <w:t>making a decision</w:t>
      </w:r>
      <w:proofErr w:type="gramEnd"/>
      <w:r w:rsidRPr="00714FF1">
        <w:rPr>
          <w:rFonts w:ascii="Book Antiqua" w:hAnsi="Book Antiqua" w:cs="Arial"/>
          <w:sz w:val="20"/>
          <w:szCs w:val="20"/>
        </w:rPr>
        <w:t xml:space="preserve"> which disposes of proceedings.</w:t>
      </w:r>
      <w:r w:rsidR="00BC6466">
        <w:rPr>
          <w:rFonts w:ascii="Book Antiqua" w:hAnsi="Book Antiqua" w:cs="Arial"/>
          <w:sz w:val="20"/>
          <w:szCs w:val="20"/>
        </w:rPr>
        <w:t xml:space="preserve"> </w:t>
      </w:r>
      <w:r w:rsidRPr="00714FF1">
        <w:rPr>
          <w:rFonts w:ascii="Book Antiqua" w:hAnsi="Book Antiqua" w:cs="Arial"/>
          <w:sz w:val="20"/>
          <w:szCs w:val="20"/>
        </w:rPr>
        <w:t>(4)</w:t>
      </w:r>
      <w:r w:rsidR="00BC6466">
        <w:rPr>
          <w:rFonts w:ascii="Book Antiqua" w:hAnsi="Book Antiqua" w:cs="Arial"/>
          <w:sz w:val="20"/>
          <w:szCs w:val="20"/>
        </w:rPr>
        <w:t xml:space="preserve"> </w:t>
      </w:r>
      <w:r w:rsidRPr="00714FF1">
        <w:rPr>
          <w:rFonts w:ascii="Book Antiqua" w:hAnsi="Book Antiqua" w:cs="Arial"/>
          <w:sz w:val="20"/>
          <w:szCs w:val="20"/>
        </w:rPr>
        <w:t>Paragraph (3) does not affect the power of the Upper Tribunal to—</w:t>
      </w:r>
    </w:p>
    <w:p w14:paraId="1985071C" w14:textId="77777777" w:rsidR="00B437A2" w:rsidRPr="00714FF1" w:rsidRDefault="00B437A2" w:rsidP="00461A0D">
      <w:pPr>
        <w:ind w:left="1080"/>
        <w:jc w:val="both"/>
        <w:rPr>
          <w:rFonts w:ascii="Book Antiqua" w:hAnsi="Book Antiqua" w:cs="Arial"/>
          <w:sz w:val="20"/>
          <w:szCs w:val="20"/>
        </w:rPr>
      </w:pPr>
    </w:p>
    <w:p w14:paraId="1F6E76CB" w14:textId="77777777" w:rsidR="00B437A2" w:rsidRDefault="00B437A2" w:rsidP="00461A0D">
      <w:pPr>
        <w:ind w:left="1647" w:firstLine="54"/>
        <w:jc w:val="both"/>
        <w:rPr>
          <w:rFonts w:ascii="Book Antiqua" w:hAnsi="Book Antiqua" w:cs="Arial"/>
          <w:sz w:val="20"/>
          <w:szCs w:val="20"/>
        </w:rPr>
      </w:pPr>
      <w:r w:rsidRPr="00714FF1">
        <w:rPr>
          <w:rFonts w:ascii="Book Antiqua" w:hAnsi="Book Antiqua" w:cs="Arial"/>
          <w:sz w:val="20"/>
          <w:szCs w:val="20"/>
        </w:rPr>
        <w:t>(a)</w:t>
      </w:r>
      <w:r>
        <w:rPr>
          <w:rFonts w:ascii="Book Antiqua" w:hAnsi="Book Antiqua" w:cs="Arial"/>
          <w:sz w:val="20"/>
          <w:szCs w:val="20"/>
        </w:rPr>
        <w:tab/>
      </w:r>
      <w:r w:rsidRPr="00714FF1">
        <w:rPr>
          <w:rFonts w:ascii="Book Antiqua" w:hAnsi="Book Antiqua" w:cs="Arial"/>
          <w:sz w:val="20"/>
          <w:szCs w:val="20"/>
        </w:rPr>
        <w:t>strike out a party’s case, pursuant to rule 8(1)(b) or 8(2);</w:t>
      </w:r>
    </w:p>
    <w:p w14:paraId="6BD0175F" w14:textId="77777777" w:rsidR="00B437A2" w:rsidRDefault="00B437A2" w:rsidP="00461A0D">
      <w:pPr>
        <w:ind w:left="1593" w:firstLine="108"/>
        <w:jc w:val="both"/>
        <w:rPr>
          <w:rFonts w:ascii="Book Antiqua" w:hAnsi="Book Antiqua" w:cs="Arial"/>
          <w:sz w:val="20"/>
          <w:szCs w:val="20"/>
        </w:rPr>
      </w:pPr>
      <w:r w:rsidRPr="00714FF1">
        <w:rPr>
          <w:rFonts w:ascii="Book Antiqua" w:hAnsi="Book Antiqua" w:cs="Arial"/>
          <w:sz w:val="20"/>
          <w:szCs w:val="20"/>
        </w:rPr>
        <w:t>(b)</w:t>
      </w:r>
      <w:r>
        <w:rPr>
          <w:rFonts w:ascii="Book Antiqua" w:hAnsi="Book Antiqua" w:cs="Arial"/>
          <w:sz w:val="20"/>
          <w:szCs w:val="20"/>
        </w:rPr>
        <w:tab/>
      </w:r>
      <w:r w:rsidRPr="00714FF1">
        <w:rPr>
          <w:rFonts w:ascii="Book Antiqua" w:hAnsi="Book Antiqua" w:cs="Arial"/>
          <w:sz w:val="20"/>
          <w:szCs w:val="20"/>
        </w:rPr>
        <w:t>consent to withdrawal, pursuant to rule 17;</w:t>
      </w:r>
    </w:p>
    <w:p w14:paraId="291D783F" w14:textId="77777777" w:rsidR="00B437A2" w:rsidRDefault="00B437A2" w:rsidP="00461A0D">
      <w:pPr>
        <w:ind w:left="2265" w:hanging="564"/>
        <w:jc w:val="both"/>
        <w:rPr>
          <w:rFonts w:ascii="Book Antiqua" w:hAnsi="Book Antiqua" w:cs="Arial"/>
          <w:sz w:val="20"/>
          <w:szCs w:val="20"/>
        </w:rPr>
      </w:pPr>
      <w:r w:rsidRPr="00714FF1">
        <w:rPr>
          <w:rFonts w:ascii="Book Antiqua" w:hAnsi="Book Antiqua" w:cs="Arial"/>
          <w:sz w:val="20"/>
          <w:szCs w:val="20"/>
        </w:rPr>
        <w:t>(c)</w:t>
      </w:r>
      <w:r>
        <w:rPr>
          <w:rFonts w:ascii="Book Antiqua" w:hAnsi="Book Antiqua" w:cs="Arial"/>
          <w:sz w:val="20"/>
          <w:szCs w:val="20"/>
        </w:rPr>
        <w:tab/>
      </w:r>
      <w:r w:rsidRPr="00714FF1">
        <w:rPr>
          <w:rFonts w:ascii="Book Antiqua" w:hAnsi="Book Antiqua" w:cs="Arial"/>
          <w:sz w:val="20"/>
          <w:szCs w:val="20"/>
        </w:rPr>
        <w:t>determine an application for permission to bring judicial review proceedings, pursuant to rule 30; or</w:t>
      </w:r>
    </w:p>
    <w:p w14:paraId="6A9ACF8B" w14:textId="3FEB712D" w:rsidR="00B437A2" w:rsidRDefault="00B437A2" w:rsidP="00461A0D">
      <w:pPr>
        <w:ind w:left="2265" w:hanging="564"/>
        <w:jc w:val="both"/>
        <w:rPr>
          <w:rFonts w:ascii="Book Antiqua" w:hAnsi="Book Antiqua" w:cs="Arial"/>
          <w:sz w:val="20"/>
          <w:szCs w:val="20"/>
        </w:rPr>
      </w:pPr>
      <w:r w:rsidRPr="00714FF1">
        <w:rPr>
          <w:rFonts w:ascii="Book Antiqua" w:hAnsi="Book Antiqua" w:cs="Arial"/>
          <w:sz w:val="20"/>
          <w:szCs w:val="20"/>
        </w:rPr>
        <w:t>(d)</w:t>
      </w:r>
      <w:r>
        <w:rPr>
          <w:rFonts w:ascii="Book Antiqua" w:hAnsi="Book Antiqua" w:cs="Arial"/>
          <w:sz w:val="20"/>
          <w:szCs w:val="20"/>
        </w:rPr>
        <w:tab/>
      </w:r>
      <w:r w:rsidRPr="00714FF1">
        <w:rPr>
          <w:rFonts w:ascii="Book Antiqua" w:hAnsi="Book Antiqua" w:cs="Arial"/>
          <w:sz w:val="20"/>
          <w:szCs w:val="20"/>
        </w:rPr>
        <w:t>make a consent order disposing of proceedings, pursuant to rule 39,</w:t>
      </w:r>
      <w:r w:rsidR="00BC6466">
        <w:rPr>
          <w:rFonts w:ascii="Book Antiqua" w:hAnsi="Book Antiqua" w:cs="Arial"/>
          <w:sz w:val="20"/>
          <w:szCs w:val="20"/>
        </w:rPr>
        <w:t xml:space="preserve"> </w:t>
      </w:r>
      <w:r w:rsidRPr="00714FF1">
        <w:rPr>
          <w:rFonts w:ascii="Book Antiqua" w:hAnsi="Book Antiqua" w:cs="Arial"/>
          <w:sz w:val="20"/>
          <w:szCs w:val="20"/>
        </w:rPr>
        <w:t>without a hearing.</w:t>
      </w:r>
    </w:p>
    <w:p w14:paraId="5018EC59" w14:textId="77777777" w:rsidR="00B437A2" w:rsidRPr="00714FF1" w:rsidRDefault="00B437A2" w:rsidP="00461A0D">
      <w:pPr>
        <w:ind w:left="2265" w:hanging="564"/>
        <w:jc w:val="both"/>
        <w:rPr>
          <w:rFonts w:ascii="Book Antiqua" w:hAnsi="Book Antiqua" w:cs="Arial"/>
          <w:sz w:val="20"/>
          <w:szCs w:val="20"/>
        </w:rPr>
      </w:pPr>
    </w:p>
    <w:p w14:paraId="1CAF8326" w14:textId="7D70FF44" w:rsidR="00750BD2" w:rsidRDefault="00B437A2" w:rsidP="00461A0D">
      <w:pPr>
        <w:numPr>
          <w:ilvl w:val="0"/>
          <w:numId w:val="3"/>
        </w:numPr>
        <w:jc w:val="both"/>
        <w:rPr>
          <w:rFonts w:ascii="Book Antiqua" w:hAnsi="Book Antiqua" w:cs="Arial"/>
        </w:rPr>
      </w:pPr>
      <w:r>
        <w:rPr>
          <w:rFonts w:ascii="Book Antiqua" w:hAnsi="Book Antiqua" w:cs="Arial"/>
        </w:rPr>
        <w:t>The</w:t>
      </w:r>
      <w:r w:rsidR="00EB3161">
        <w:rPr>
          <w:rFonts w:ascii="Book Antiqua" w:hAnsi="Book Antiqua" w:cs="Arial"/>
        </w:rPr>
        <w:t xml:space="preserve"> parties make no specific submission upon the mode of hearing preferring instead to set out their arguments for why</w:t>
      </w:r>
      <w:r w:rsidR="00C578E1">
        <w:rPr>
          <w:rFonts w:ascii="Book Antiqua" w:hAnsi="Book Antiqua" w:cs="Arial"/>
        </w:rPr>
        <w:t xml:space="preserve">, in the case of the appellant, the decision should be set aside </w:t>
      </w:r>
      <w:r w:rsidR="0073043C">
        <w:rPr>
          <w:rFonts w:ascii="Book Antiqua" w:hAnsi="Book Antiqua" w:cs="Arial"/>
        </w:rPr>
        <w:t xml:space="preserve">and </w:t>
      </w:r>
      <w:r w:rsidR="00C578E1">
        <w:rPr>
          <w:rFonts w:ascii="Book Antiqua" w:hAnsi="Book Antiqua" w:cs="Arial"/>
        </w:rPr>
        <w:t>the appeal remitted with</w:t>
      </w:r>
      <w:r w:rsidR="0073043C">
        <w:rPr>
          <w:rFonts w:ascii="Book Antiqua" w:hAnsi="Book Antiqua" w:cs="Arial"/>
        </w:rPr>
        <w:t xml:space="preserve"> </w:t>
      </w:r>
      <w:r w:rsidR="00C578E1">
        <w:rPr>
          <w:rFonts w:ascii="Book Antiqua" w:hAnsi="Book Antiqua" w:cs="Arial"/>
        </w:rPr>
        <w:t xml:space="preserve">the case </w:t>
      </w:r>
      <w:r w:rsidR="0073043C">
        <w:rPr>
          <w:rFonts w:ascii="Book Antiqua" w:hAnsi="Book Antiqua" w:cs="Arial"/>
        </w:rPr>
        <w:t xml:space="preserve">for </w:t>
      </w:r>
      <w:r w:rsidR="00C578E1">
        <w:rPr>
          <w:rFonts w:ascii="Book Antiqua" w:hAnsi="Book Antiqua" w:cs="Arial"/>
        </w:rPr>
        <w:t xml:space="preserve">the respondent </w:t>
      </w:r>
      <w:r w:rsidR="0073043C">
        <w:rPr>
          <w:rFonts w:ascii="Book Antiqua" w:hAnsi="Book Antiqua" w:cs="Arial"/>
        </w:rPr>
        <w:t xml:space="preserve">being </w:t>
      </w:r>
      <w:r w:rsidR="00C578E1">
        <w:rPr>
          <w:rFonts w:ascii="Book Antiqua" w:hAnsi="Book Antiqua" w:cs="Arial"/>
        </w:rPr>
        <w:t>that the Judge has made no</w:t>
      </w:r>
      <w:r w:rsidR="00750BD2">
        <w:rPr>
          <w:rFonts w:ascii="Book Antiqua" w:hAnsi="Book Antiqua" w:cs="Arial"/>
        </w:rPr>
        <w:t xml:space="preserve"> material legal error.</w:t>
      </w:r>
    </w:p>
    <w:p w14:paraId="672FFEE7" w14:textId="22819B9D" w:rsidR="00B437A2" w:rsidRDefault="00750BD2" w:rsidP="00461A0D">
      <w:pPr>
        <w:numPr>
          <w:ilvl w:val="0"/>
          <w:numId w:val="3"/>
        </w:numPr>
        <w:jc w:val="both"/>
        <w:rPr>
          <w:rFonts w:ascii="Book Antiqua" w:hAnsi="Book Antiqua" w:cs="Arial"/>
        </w:rPr>
      </w:pPr>
      <w:r>
        <w:rPr>
          <w:rFonts w:ascii="Book Antiqua" w:hAnsi="Book Antiqua" w:cs="Arial"/>
        </w:rPr>
        <w:t xml:space="preserve">Having considered the interests of fairness, justice, and the overriding objectives I find it is appropriate in the circumstances in this case </w:t>
      </w:r>
      <w:r w:rsidR="008B66D2">
        <w:rPr>
          <w:rFonts w:ascii="Book Antiqua" w:hAnsi="Book Antiqua" w:cs="Arial"/>
        </w:rPr>
        <w:t xml:space="preserve">to </w:t>
      </w:r>
      <w:r>
        <w:rPr>
          <w:rFonts w:ascii="Book Antiqua" w:hAnsi="Book Antiqua" w:cs="Arial"/>
        </w:rPr>
        <w:t>determin</w:t>
      </w:r>
      <w:r w:rsidR="008B66D2">
        <w:rPr>
          <w:rFonts w:ascii="Book Antiqua" w:hAnsi="Book Antiqua" w:cs="Arial"/>
        </w:rPr>
        <w:t>e</w:t>
      </w:r>
      <w:r>
        <w:rPr>
          <w:rFonts w:ascii="Book Antiqua" w:hAnsi="Book Antiqua" w:cs="Arial"/>
        </w:rPr>
        <w:t xml:space="preserve"> the </w:t>
      </w:r>
      <w:r w:rsidR="008B66D2">
        <w:rPr>
          <w:rFonts w:ascii="Book Antiqua" w:hAnsi="Book Antiqua" w:cs="Arial"/>
        </w:rPr>
        <w:t xml:space="preserve">two </w:t>
      </w:r>
      <w:r w:rsidR="0015627D">
        <w:rPr>
          <w:rFonts w:ascii="Book Antiqua" w:hAnsi="Book Antiqua" w:cs="Arial"/>
        </w:rPr>
        <w:lastRenderedPageBreak/>
        <w:t xml:space="preserve">questions referred to above on the papers. </w:t>
      </w:r>
      <w:r w:rsidR="00B437A2">
        <w:rPr>
          <w:rFonts w:ascii="Book Antiqua" w:hAnsi="Book Antiqua" w:cs="Arial"/>
        </w:rPr>
        <w:t>It has not been shown to be inappropriate or unfair to exercise the discretion provided in Rule 34 by enabling the error of law question to be determined on the papers</w:t>
      </w:r>
      <w:r w:rsidR="002A1476">
        <w:rPr>
          <w:rFonts w:ascii="Book Antiqua" w:hAnsi="Book Antiqua" w:cs="Arial"/>
        </w:rPr>
        <w:t xml:space="preserve"> </w:t>
      </w:r>
      <w:r w:rsidR="00851136">
        <w:rPr>
          <w:rFonts w:ascii="Book Antiqua" w:hAnsi="Book Antiqua" w:cs="Arial"/>
        </w:rPr>
        <w:t>as it</w:t>
      </w:r>
      <w:r w:rsidR="002A1476">
        <w:rPr>
          <w:rFonts w:ascii="Book Antiqua" w:hAnsi="Book Antiqua" w:cs="Arial"/>
        </w:rPr>
        <w:t xml:space="preserve"> has not been made out </w:t>
      </w:r>
      <w:r w:rsidR="00B437A2">
        <w:rPr>
          <w:rFonts w:ascii="Book Antiqua" w:hAnsi="Book Antiqua" w:cs="Arial"/>
        </w:rPr>
        <w:t xml:space="preserve">consideration of the issues on the papers </w:t>
      </w:r>
      <w:r w:rsidR="002A1476">
        <w:rPr>
          <w:rFonts w:ascii="Book Antiqua" w:hAnsi="Book Antiqua" w:cs="Arial"/>
        </w:rPr>
        <w:t xml:space="preserve">is </w:t>
      </w:r>
      <w:r w:rsidR="00B437A2">
        <w:rPr>
          <w:rFonts w:ascii="Book Antiqua" w:hAnsi="Book Antiqua" w:cs="Arial"/>
        </w:rPr>
        <w:t xml:space="preserve">not in accordance with </w:t>
      </w:r>
      <w:r w:rsidR="008B66D2">
        <w:rPr>
          <w:rFonts w:ascii="Book Antiqua" w:hAnsi="Book Antiqua" w:cs="Arial"/>
        </w:rPr>
        <w:t xml:space="preserve">the </w:t>
      </w:r>
      <w:r w:rsidR="00B437A2">
        <w:rPr>
          <w:rFonts w:ascii="Book Antiqua" w:hAnsi="Book Antiqua" w:cs="Arial"/>
        </w:rPr>
        <w:t xml:space="preserve">overriding objectives </w:t>
      </w:r>
      <w:r w:rsidR="008B66D2">
        <w:rPr>
          <w:rFonts w:ascii="Book Antiqua" w:hAnsi="Book Antiqua" w:cs="Arial"/>
        </w:rPr>
        <w:t xml:space="preserve">and </w:t>
      </w:r>
      <w:r w:rsidR="000E05A8">
        <w:rPr>
          <w:rFonts w:ascii="Book Antiqua" w:hAnsi="Book Antiqua" w:cs="Arial"/>
        </w:rPr>
        <w:t xml:space="preserve">the </w:t>
      </w:r>
      <w:r w:rsidR="008B66D2">
        <w:rPr>
          <w:rFonts w:ascii="Book Antiqua" w:hAnsi="Book Antiqua" w:cs="Arial"/>
        </w:rPr>
        <w:t xml:space="preserve">principle of fairness </w:t>
      </w:r>
      <w:r w:rsidR="00B437A2">
        <w:rPr>
          <w:rFonts w:ascii="Book Antiqua" w:hAnsi="Book Antiqua" w:cs="Arial"/>
        </w:rPr>
        <w:t xml:space="preserve">at this stage. </w:t>
      </w:r>
    </w:p>
    <w:p w14:paraId="3752C553" w14:textId="77777777" w:rsidR="00B437A2" w:rsidRDefault="00B437A2" w:rsidP="00461A0D">
      <w:pPr>
        <w:jc w:val="both"/>
      </w:pPr>
    </w:p>
    <w:p w14:paraId="5CA92006" w14:textId="77777777" w:rsidR="00D32B8A" w:rsidRDefault="00FD1BDB" w:rsidP="00461A0D">
      <w:pPr>
        <w:pStyle w:val="Heading5"/>
        <w:jc w:val="both"/>
        <w:rPr>
          <w:rFonts w:ascii="Book Antiqua" w:hAnsi="Book Antiqua" w:cs="Arial"/>
          <w:sz w:val="24"/>
        </w:rPr>
      </w:pPr>
      <w:r>
        <w:rPr>
          <w:rFonts w:ascii="Book Antiqua" w:hAnsi="Book Antiqua" w:cs="Arial"/>
          <w:sz w:val="24"/>
        </w:rPr>
        <w:t>Background</w:t>
      </w:r>
    </w:p>
    <w:p w14:paraId="5F3E6470" w14:textId="77777777" w:rsidR="00BE485D" w:rsidRPr="00BE485D" w:rsidRDefault="00BE485D" w:rsidP="00461A0D">
      <w:pPr>
        <w:jc w:val="both"/>
        <w:rPr>
          <w:lang w:eastAsia="en-US"/>
        </w:rPr>
      </w:pPr>
    </w:p>
    <w:p w14:paraId="1B4098C8" w14:textId="79B075FF" w:rsidR="00612521" w:rsidRDefault="000A4BB3" w:rsidP="00461A0D">
      <w:pPr>
        <w:numPr>
          <w:ilvl w:val="0"/>
          <w:numId w:val="3"/>
        </w:numPr>
        <w:jc w:val="both"/>
        <w:rPr>
          <w:rFonts w:ascii="Book Antiqua" w:hAnsi="Book Antiqua" w:cs="Arial"/>
        </w:rPr>
      </w:pPr>
      <w:r>
        <w:rPr>
          <w:rFonts w:ascii="Book Antiqua" w:hAnsi="Book Antiqua" w:cs="Arial"/>
        </w:rPr>
        <w:t>The appellant, a citizen of Sri Lanka born on 29 July 1993</w:t>
      </w:r>
      <w:r w:rsidR="000E05A8">
        <w:rPr>
          <w:rFonts w:ascii="Book Antiqua" w:hAnsi="Book Antiqua" w:cs="Arial"/>
        </w:rPr>
        <w:t>,</w:t>
      </w:r>
      <w:r>
        <w:rPr>
          <w:rFonts w:ascii="Book Antiqua" w:hAnsi="Book Antiqua" w:cs="Arial"/>
        </w:rPr>
        <w:t xml:space="preserve"> applied for leave to remain in the United Kingdom on human rights grounds </w:t>
      </w:r>
      <w:r w:rsidR="000E05A8">
        <w:rPr>
          <w:rFonts w:ascii="Book Antiqua" w:hAnsi="Book Antiqua" w:cs="Arial"/>
        </w:rPr>
        <w:t xml:space="preserve">on </w:t>
      </w:r>
      <w:r w:rsidR="00B142FA">
        <w:rPr>
          <w:rFonts w:ascii="Book Antiqua" w:hAnsi="Book Antiqua" w:cs="Arial"/>
        </w:rPr>
        <w:t>20 November 2018. That application was refused by the Sec</w:t>
      </w:r>
      <w:r w:rsidR="000E05A8">
        <w:rPr>
          <w:rFonts w:ascii="Book Antiqua" w:hAnsi="Book Antiqua" w:cs="Arial"/>
        </w:rPr>
        <w:t>retary</w:t>
      </w:r>
      <w:r w:rsidR="00B142FA">
        <w:rPr>
          <w:rFonts w:ascii="Book Antiqua" w:hAnsi="Book Antiqua" w:cs="Arial"/>
        </w:rPr>
        <w:t xml:space="preserve"> of State in a decision dated 30 May 2019.</w:t>
      </w:r>
    </w:p>
    <w:p w14:paraId="4ECB36D6" w14:textId="34A5AC4E" w:rsidR="00B142FA" w:rsidRDefault="00B142FA" w:rsidP="00461A0D">
      <w:pPr>
        <w:numPr>
          <w:ilvl w:val="0"/>
          <w:numId w:val="3"/>
        </w:numPr>
        <w:jc w:val="both"/>
        <w:rPr>
          <w:rFonts w:ascii="Book Antiqua" w:hAnsi="Book Antiqua" w:cs="Arial"/>
        </w:rPr>
      </w:pPr>
      <w:r>
        <w:rPr>
          <w:rFonts w:ascii="Book Antiqua" w:hAnsi="Book Antiqua" w:cs="Arial"/>
        </w:rPr>
        <w:t>The appellant’s immigration history</w:t>
      </w:r>
      <w:r w:rsidR="00612521">
        <w:rPr>
          <w:rFonts w:ascii="Book Antiqua" w:hAnsi="Book Antiqua" w:cs="Arial"/>
        </w:rPr>
        <w:t xml:space="preserve"> was noted by the decision-maker who records that the appellant entered the United Kingdom on 28 March 2017</w:t>
      </w:r>
      <w:r w:rsidR="000E05A8">
        <w:rPr>
          <w:rFonts w:ascii="Book Antiqua" w:hAnsi="Book Antiqua" w:cs="Arial"/>
        </w:rPr>
        <w:t xml:space="preserve"> at</w:t>
      </w:r>
      <w:r w:rsidR="00612521">
        <w:rPr>
          <w:rFonts w:ascii="Book Antiqua" w:hAnsi="Book Antiqua" w:cs="Arial"/>
        </w:rPr>
        <w:t xml:space="preserve"> Stansted Airport</w:t>
      </w:r>
      <w:r w:rsidR="002C37D3">
        <w:rPr>
          <w:rFonts w:ascii="Book Antiqua" w:hAnsi="Book Antiqua" w:cs="Arial"/>
        </w:rPr>
        <w:t xml:space="preserve"> and claimed asylum the same day. The asylum claim was refused against which the appellant appealed to the First-</w:t>
      </w:r>
      <w:r w:rsidR="000E05A8">
        <w:rPr>
          <w:rFonts w:ascii="Book Antiqua" w:hAnsi="Book Antiqua" w:cs="Arial"/>
        </w:rPr>
        <w:t>t</w:t>
      </w:r>
      <w:r w:rsidR="002C37D3">
        <w:rPr>
          <w:rFonts w:ascii="Book Antiqua" w:hAnsi="Book Antiqua" w:cs="Arial"/>
        </w:rPr>
        <w:t>ier Tribunal who dismissed the appeal</w:t>
      </w:r>
      <w:r w:rsidR="000E05A8">
        <w:rPr>
          <w:rFonts w:ascii="Book Antiqua" w:hAnsi="Book Antiqua" w:cs="Arial"/>
        </w:rPr>
        <w:t xml:space="preserve">.  The </w:t>
      </w:r>
      <w:r w:rsidR="00CB7F12">
        <w:rPr>
          <w:rFonts w:ascii="Book Antiqua" w:hAnsi="Book Antiqua" w:cs="Arial"/>
        </w:rPr>
        <w:t>appellant became appeal rights exhausted on 29 May 2018.</w:t>
      </w:r>
    </w:p>
    <w:p w14:paraId="153A9E99" w14:textId="750DFD6F" w:rsidR="00CB7F12" w:rsidRDefault="00CB7F12" w:rsidP="00461A0D">
      <w:pPr>
        <w:numPr>
          <w:ilvl w:val="0"/>
          <w:numId w:val="3"/>
        </w:numPr>
        <w:jc w:val="both"/>
        <w:rPr>
          <w:rFonts w:ascii="Book Antiqua" w:hAnsi="Book Antiqua" w:cs="Arial"/>
        </w:rPr>
      </w:pPr>
      <w:r>
        <w:rPr>
          <w:rFonts w:ascii="Book Antiqua" w:hAnsi="Book Antiqua" w:cs="Arial"/>
        </w:rPr>
        <w:t xml:space="preserve">The application made on 20 November 2018 was </w:t>
      </w:r>
      <w:proofErr w:type="gramStart"/>
      <w:r>
        <w:rPr>
          <w:rFonts w:ascii="Book Antiqua" w:hAnsi="Book Antiqua" w:cs="Arial"/>
        </w:rPr>
        <w:t>on the basis of</w:t>
      </w:r>
      <w:proofErr w:type="gramEnd"/>
      <w:r>
        <w:rPr>
          <w:rFonts w:ascii="Book Antiqua" w:hAnsi="Book Antiqua" w:cs="Arial"/>
        </w:rPr>
        <w:t xml:space="preserve"> the appellant’s family and private life in the UK.</w:t>
      </w:r>
      <w:r w:rsidR="004519D5">
        <w:rPr>
          <w:rFonts w:ascii="Book Antiqua" w:hAnsi="Book Antiqua" w:cs="Arial"/>
        </w:rPr>
        <w:t xml:space="preserve"> The appellant claimed to be in a relationship in the UK with his partner </w:t>
      </w:r>
      <w:proofErr w:type="spellStart"/>
      <w:r w:rsidR="004519D5">
        <w:rPr>
          <w:rFonts w:ascii="Book Antiqua" w:hAnsi="Book Antiqua" w:cs="Arial"/>
        </w:rPr>
        <w:t>Mathusa</w:t>
      </w:r>
      <w:proofErr w:type="spellEnd"/>
      <w:r w:rsidR="004519D5">
        <w:rPr>
          <w:rFonts w:ascii="Book Antiqua" w:hAnsi="Book Antiqua" w:cs="Arial"/>
        </w:rPr>
        <w:t xml:space="preserve"> </w:t>
      </w:r>
      <w:proofErr w:type="spellStart"/>
      <w:r w:rsidR="004519D5">
        <w:rPr>
          <w:rFonts w:ascii="Book Antiqua" w:hAnsi="Book Antiqua" w:cs="Arial"/>
        </w:rPr>
        <w:t>Nadarasalingam</w:t>
      </w:r>
      <w:proofErr w:type="spellEnd"/>
      <w:r w:rsidR="004519D5">
        <w:rPr>
          <w:rFonts w:ascii="Book Antiqua" w:hAnsi="Book Antiqua" w:cs="Arial"/>
        </w:rPr>
        <w:t xml:space="preserve"> </w:t>
      </w:r>
      <w:r w:rsidR="005262CA">
        <w:rPr>
          <w:rFonts w:ascii="Book Antiqua" w:hAnsi="Book Antiqua" w:cs="Arial"/>
        </w:rPr>
        <w:t xml:space="preserve">but </w:t>
      </w:r>
      <w:r w:rsidR="00075723">
        <w:rPr>
          <w:rFonts w:ascii="Book Antiqua" w:hAnsi="Book Antiqua" w:cs="Arial"/>
        </w:rPr>
        <w:t>was not found to be so entitled</w:t>
      </w:r>
      <w:r w:rsidR="00984B70">
        <w:rPr>
          <w:rFonts w:ascii="Book Antiqua" w:hAnsi="Book Antiqua" w:cs="Arial"/>
        </w:rPr>
        <w:t>,</w:t>
      </w:r>
      <w:r w:rsidR="00075723">
        <w:rPr>
          <w:rFonts w:ascii="Book Antiqua" w:hAnsi="Book Antiqua" w:cs="Arial"/>
        </w:rPr>
        <w:t xml:space="preserve"> as the decision-maker did not accept the appellant could meet the Eligibility requirements</w:t>
      </w:r>
      <w:r w:rsidR="000620E8">
        <w:rPr>
          <w:rFonts w:ascii="Book Antiqua" w:hAnsi="Book Antiqua" w:cs="Arial"/>
        </w:rPr>
        <w:t xml:space="preserve"> in paragraph E-LTRP.1.1 to 1.12 </w:t>
      </w:r>
      <w:r w:rsidR="00984B70">
        <w:rPr>
          <w:rFonts w:ascii="Book Antiqua" w:hAnsi="Book Antiqua" w:cs="Arial"/>
        </w:rPr>
        <w:t xml:space="preserve">on the basis his </w:t>
      </w:r>
      <w:r w:rsidR="000620E8">
        <w:rPr>
          <w:rFonts w:ascii="Book Antiqua" w:hAnsi="Book Antiqua" w:cs="Arial"/>
        </w:rPr>
        <w:t>relationship was not considered to be genuine and subsisting even though the appellant</w:t>
      </w:r>
      <w:r w:rsidR="00984B70">
        <w:rPr>
          <w:rFonts w:ascii="Book Antiqua" w:hAnsi="Book Antiqua" w:cs="Arial"/>
        </w:rPr>
        <w:t xml:space="preserve"> and his </w:t>
      </w:r>
      <w:r w:rsidR="000620E8">
        <w:rPr>
          <w:rFonts w:ascii="Book Antiqua" w:hAnsi="Book Antiqua" w:cs="Arial"/>
        </w:rPr>
        <w:t>partner were married.</w:t>
      </w:r>
      <w:r w:rsidR="00D76240">
        <w:rPr>
          <w:rFonts w:ascii="Book Antiqua" w:hAnsi="Book Antiqua" w:cs="Arial"/>
        </w:rPr>
        <w:t xml:space="preserve"> </w:t>
      </w:r>
      <w:r w:rsidR="00995F22">
        <w:rPr>
          <w:rFonts w:ascii="Book Antiqua" w:hAnsi="Book Antiqua" w:cs="Arial"/>
        </w:rPr>
        <w:t xml:space="preserve"> It was c</w:t>
      </w:r>
      <w:r w:rsidR="00D76240">
        <w:rPr>
          <w:rFonts w:ascii="Book Antiqua" w:hAnsi="Book Antiqua" w:cs="Arial"/>
        </w:rPr>
        <w:t>laim</w:t>
      </w:r>
      <w:r w:rsidR="00995F22">
        <w:rPr>
          <w:rFonts w:ascii="Book Antiqua" w:hAnsi="Book Antiqua" w:cs="Arial"/>
        </w:rPr>
        <w:t>ed</w:t>
      </w:r>
      <w:r w:rsidR="00D76240">
        <w:rPr>
          <w:rFonts w:ascii="Book Antiqua" w:hAnsi="Book Antiqua" w:cs="Arial"/>
        </w:rPr>
        <w:t xml:space="preserve"> the appellant had failed to provide sufficient evidence to show he was cohabiting with his partner. It is also said, relevant to E–LTRP</w:t>
      </w:r>
      <w:r w:rsidR="000E41BB">
        <w:rPr>
          <w:rFonts w:ascii="Book Antiqua" w:hAnsi="Book Antiqua" w:cs="Arial"/>
        </w:rPr>
        <w:t>.2.1</w:t>
      </w:r>
      <w:r w:rsidR="00995F22">
        <w:rPr>
          <w:rFonts w:ascii="Book Antiqua" w:hAnsi="Book Antiqua" w:cs="Arial"/>
        </w:rPr>
        <w:t>,</w:t>
      </w:r>
      <w:r w:rsidR="000E41BB">
        <w:rPr>
          <w:rFonts w:ascii="Book Antiqua" w:hAnsi="Book Antiqua" w:cs="Arial"/>
        </w:rPr>
        <w:t xml:space="preserve"> </w:t>
      </w:r>
      <w:r w:rsidR="00995F22">
        <w:rPr>
          <w:rFonts w:ascii="Book Antiqua" w:hAnsi="Book Antiqua" w:cs="Arial"/>
        </w:rPr>
        <w:t>t</w:t>
      </w:r>
      <w:r w:rsidR="000E41BB">
        <w:rPr>
          <w:rFonts w:ascii="Book Antiqua" w:hAnsi="Book Antiqua" w:cs="Arial"/>
        </w:rPr>
        <w:t xml:space="preserve">hat the appellant could not satisfy this requirement as he has remained in the UK </w:t>
      </w:r>
      <w:r w:rsidR="00995F22">
        <w:rPr>
          <w:rFonts w:ascii="Book Antiqua" w:hAnsi="Book Antiqua" w:cs="Arial"/>
        </w:rPr>
        <w:t>il</w:t>
      </w:r>
      <w:r w:rsidR="000E41BB">
        <w:rPr>
          <w:rFonts w:ascii="Book Antiqua" w:hAnsi="Book Antiqua" w:cs="Arial"/>
        </w:rPr>
        <w:t xml:space="preserve">legally since he entered on 28 March 2017 </w:t>
      </w:r>
      <w:r w:rsidR="00995F22">
        <w:rPr>
          <w:rFonts w:ascii="Book Antiqua" w:hAnsi="Book Antiqua" w:cs="Arial"/>
        </w:rPr>
        <w:t xml:space="preserve">and </w:t>
      </w:r>
      <w:r w:rsidR="000E41BB">
        <w:rPr>
          <w:rFonts w:ascii="Book Antiqua" w:hAnsi="Book Antiqua" w:cs="Arial"/>
        </w:rPr>
        <w:t>was currently on immigration bail.</w:t>
      </w:r>
    </w:p>
    <w:p w14:paraId="53902426" w14:textId="40BBCF1F" w:rsidR="009C5BDD" w:rsidRDefault="009C5BDD" w:rsidP="00461A0D">
      <w:pPr>
        <w:numPr>
          <w:ilvl w:val="0"/>
          <w:numId w:val="3"/>
        </w:numPr>
        <w:jc w:val="both"/>
        <w:rPr>
          <w:rFonts w:ascii="Book Antiqua" w:hAnsi="Book Antiqua" w:cs="Arial"/>
        </w:rPr>
      </w:pPr>
      <w:r>
        <w:rPr>
          <w:rFonts w:ascii="Book Antiqua" w:hAnsi="Book Antiqua" w:cs="Arial"/>
        </w:rPr>
        <w:t>There is no evidence the appellant has a child in the United Kingdom.</w:t>
      </w:r>
    </w:p>
    <w:p w14:paraId="0005A3B8" w14:textId="4700416A" w:rsidR="009C5BDD" w:rsidRDefault="00995F22" w:rsidP="00461A0D">
      <w:pPr>
        <w:numPr>
          <w:ilvl w:val="0"/>
          <w:numId w:val="3"/>
        </w:numPr>
        <w:jc w:val="both"/>
        <w:rPr>
          <w:rFonts w:ascii="Book Antiqua" w:hAnsi="Book Antiqua" w:cs="Arial"/>
        </w:rPr>
      </w:pPr>
      <w:r>
        <w:rPr>
          <w:rFonts w:ascii="Book Antiqua" w:hAnsi="Book Antiqua" w:cs="Arial"/>
        </w:rPr>
        <w:t>The d</w:t>
      </w:r>
      <w:r w:rsidR="009C5BDD">
        <w:rPr>
          <w:rFonts w:ascii="Book Antiqua" w:hAnsi="Book Antiqua" w:cs="Arial"/>
        </w:rPr>
        <w:t>ecision maker concluded the appellant could not succeed under paragraph 276ADE</w:t>
      </w:r>
      <w:r w:rsidR="00BC6466">
        <w:rPr>
          <w:rFonts w:ascii="Book Antiqua" w:hAnsi="Book Antiqua" w:cs="Arial"/>
        </w:rPr>
        <w:t xml:space="preserve"> </w:t>
      </w:r>
      <w:r w:rsidR="009C5BDD">
        <w:rPr>
          <w:rFonts w:ascii="Book Antiqua" w:hAnsi="Book Antiqua" w:cs="Arial"/>
        </w:rPr>
        <w:t>(1)</w:t>
      </w:r>
      <w:r w:rsidR="001518F0">
        <w:rPr>
          <w:rFonts w:ascii="Book Antiqua" w:hAnsi="Book Antiqua" w:cs="Arial"/>
        </w:rPr>
        <w:t xml:space="preserve"> for the reasons set out in the Reasons for Refusal letter.</w:t>
      </w:r>
    </w:p>
    <w:p w14:paraId="09230BE6" w14:textId="6A6B854C" w:rsidR="001518F0" w:rsidRDefault="001518F0" w:rsidP="00461A0D">
      <w:pPr>
        <w:numPr>
          <w:ilvl w:val="0"/>
          <w:numId w:val="3"/>
        </w:numPr>
        <w:jc w:val="both"/>
        <w:rPr>
          <w:rFonts w:ascii="Book Antiqua" w:hAnsi="Book Antiqua" w:cs="Arial"/>
        </w:rPr>
      </w:pPr>
      <w:r>
        <w:rPr>
          <w:rFonts w:ascii="Book Antiqua" w:hAnsi="Book Antiqua" w:cs="Arial"/>
        </w:rPr>
        <w:t>Thereafter the decision-maker considered whether the appellant had established exceptional circumstances sufficient to warrant</w:t>
      </w:r>
      <w:r w:rsidR="002E1E48">
        <w:rPr>
          <w:rFonts w:ascii="Book Antiqua" w:hAnsi="Book Antiqua" w:cs="Arial"/>
        </w:rPr>
        <w:t xml:space="preserve"> a grant of leave to remain outside the Immigration Rules</w:t>
      </w:r>
      <w:r w:rsidR="0026022D">
        <w:rPr>
          <w:rFonts w:ascii="Book Antiqua" w:hAnsi="Book Antiqua" w:cs="Arial"/>
        </w:rPr>
        <w:t xml:space="preserve"> concluding that the decision was proportionate and that the public interest outweighs the matters relied upon by the appellant in support</w:t>
      </w:r>
      <w:r w:rsidR="002B77F2">
        <w:rPr>
          <w:rFonts w:ascii="Book Antiqua" w:hAnsi="Book Antiqua" w:cs="Arial"/>
        </w:rPr>
        <w:t xml:space="preserve"> of his claim.</w:t>
      </w:r>
    </w:p>
    <w:p w14:paraId="39E5A42E" w14:textId="57E612B7" w:rsidR="002B77F2" w:rsidRDefault="002B77F2" w:rsidP="00461A0D">
      <w:pPr>
        <w:numPr>
          <w:ilvl w:val="0"/>
          <w:numId w:val="3"/>
        </w:numPr>
        <w:jc w:val="both"/>
        <w:rPr>
          <w:rFonts w:ascii="Book Antiqua" w:hAnsi="Book Antiqua" w:cs="Arial"/>
        </w:rPr>
      </w:pPr>
      <w:r>
        <w:rPr>
          <w:rFonts w:ascii="Book Antiqua" w:hAnsi="Book Antiqua" w:cs="Arial"/>
        </w:rPr>
        <w:t>The Judge</w:t>
      </w:r>
      <w:r w:rsidR="00C54FFE">
        <w:rPr>
          <w:rFonts w:ascii="Book Antiqua" w:hAnsi="Book Antiqua" w:cs="Arial"/>
        </w:rPr>
        <w:t>,</w:t>
      </w:r>
      <w:r>
        <w:rPr>
          <w:rFonts w:ascii="Book Antiqua" w:hAnsi="Book Antiqua" w:cs="Arial"/>
        </w:rPr>
        <w:t xml:space="preserve"> in addition to considering the documentary evidence</w:t>
      </w:r>
      <w:r w:rsidR="00C54FFE">
        <w:rPr>
          <w:rFonts w:ascii="Book Antiqua" w:hAnsi="Book Antiqua" w:cs="Arial"/>
        </w:rPr>
        <w:t>,</w:t>
      </w:r>
      <w:r>
        <w:rPr>
          <w:rFonts w:ascii="Book Antiqua" w:hAnsi="Book Antiqua" w:cs="Arial"/>
        </w:rPr>
        <w:t xml:space="preserve"> </w:t>
      </w:r>
      <w:r w:rsidR="00C54FFE">
        <w:rPr>
          <w:rFonts w:ascii="Book Antiqua" w:hAnsi="Book Antiqua" w:cs="Arial"/>
        </w:rPr>
        <w:t xml:space="preserve">had </w:t>
      </w:r>
      <w:r>
        <w:rPr>
          <w:rFonts w:ascii="Book Antiqua" w:hAnsi="Book Antiqua" w:cs="Arial"/>
        </w:rPr>
        <w:t>the benefit of seeing and hearing oral evidence being given. The Judge</w:t>
      </w:r>
      <w:r w:rsidR="009019A7">
        <w:rPr>
          <w:rFonts w:ascii="Book Antiqua" w:hAnsi="Book Antiqua" w:cs="Arial"/>
        </w:rPr>
        <w:t xml:space="preserve"> notes at [16] </w:t>
      </w:r>
      <w:r w:rsidR="00491F5A">
        <w:rPr>
          <w:rFonts w:ascii="Book Antiqua" w:hAnsi="Book Antiqua" w:cs="Arial"/>
        </w:rPr>
        <w:t xml:space="preserve">the </w:t>
      </w:r>
      <w:r w:rsidR="009019A7">
        <w:rPr>
          <w:rFonts w:ascii="Book Antiqua" w:hAnsi="Book Antiqua" w:cs="Arial"/>
        </w:rPr>
        <w:t>agreed facts including th</w:t>
      </w:r>
      <w:r w:rsidR="00491F5A">
        <w:rPr>
          <w:rFonts w:ascii="Book Antiqua" w:hAnsi="Book Antiqua" w:cs="Arial"/>
        </w:rPr>
        <w:t xml:space="preserve">at </w:t>
      </w:r>
      <w:r w:rsidR="009019A7">
        <w:rPr>
          <w:rFonts w:ascii="Book Antiqua" w:hAnsi="Book Antiqua" w:cs="Arial"/>
        </w:rPr>
        <w:t xml:space="preserve">the appellant’s partner has settled status in the UK </w:t>
      </w:r>
      <w:proofErr w:type="gramStart"/>
      <w:r w:rsidR="009019A7">
        <w:rPr>
          <w:rFonts w:ascii="Book Antiqua" w:hAnsi="Book Antiqua" w:cs="Arial"/>
        </w:rPr>
        <w:t>by virtue of</w:t>
      </w:r>
      <w:proofErr w:type="gramEnd"/>
      <w:r w:rsidR="009019A7">
        <w:rPr>
          <w:rFonts w:ascii="Book Antiqua" w:hAnsi="Book Antiqua" w:cs="Arial"/>
        </w:rPr>
        <w:t xml:space="preserve"> an asylum claim. She is also a Sri Lankan national.</w:t>
      </w:r>
    </w:p>
    <w:p w14:paraId="100BCB48" w14:textId="2FEEBA37" w:rsidR="009019A7" w:rsidRDefault="001C0E92" w:rsidP="00461A0D">
      <w:pPr>
        <w:numPr>
          <w:ilvl w:val="0"/>
          <w:numId w:val="3"/>
        </w:numPr>
        <w:jc w:val="both"/>
        <w:rPr>
          <w:rFonts w:ascii="Book Antiqua" w:hAnsi="Book Antiqua" w:cs="Arial"/>
        </w:rPr>
      </w:pPr>
      <w:r>
        <w:rPr>
          <w:rFonts w:ascii="Book Antiqua" w:hAnsi="Book Antiqua" w:cs="Arial"/>
        </w:rPr>
        <w:t>The Judge sets out findings of fact from [29] in which it is recorded that the core issue in the cases that of credibility. The Judge notes at [34]</w:t>
      </w:r>
      <w:r w:rsidR="005C2276">
        <w:rPr>
          <w:rFonts w:ascii="Book Antiqua" w:hAnsi="Book Antiqua" w:cs="Arial"/>
        </w:rPr>
        <w:t xml:space="preserve"> what are described as “a lot of quite startling </w:t>
      </w:r>
      <w:r w:rsidR="00221CB1">
        <w:rPr>
          <w:rFonts w:ascii="Book Antiqua" w:hAnsi="Book Antiqua" w:cs="Arial"/>
        </w:rPr>
        <w:t xml:space="preserve">omissions </w:t>
      </w:r>
      <w:r w:rsidR="005C2276">
        <w:rPr>
          <w:rFonts w:ascii="Book Antiqua" w:hAnsi="Book Antiqua" w:cs="Arial"/>
        </w:rPr>
        <w:t xml:space="preserve">in the case” said to be summarised but not limited to the </w:t>
      </w:r>
      <w:r w:rsidR="00221CB1">
        <w:rPr>
          <w:rFonts w:ascii="Book Antiqua" w:hAnsi="Book Antiqua" w:cs="Arial"/>
        </w:rPr>
        <w:t xml:space="preserve">five </w:t>
      </w:r>
      <w:r w:rsidR="005C2276">
        <w:rPr>
          <w:rFonts w:ascii="Book Antiqua" w:hAnsi="Book Antiqua" w:cs="Arial"/>
        </w:rPr>
        <w:t>issues recorded. At [35] the Judge records that a further issue relates to the significant number of discrepancies</w:t>
      </w:r>
      <w:r w:rsidR="000A4031">
        <w:rPr>
          <w:rFonts w:ascii="Book Antiqua" w:hAnsi="Book Antiqua" w:cs="Arial"/>
        </w:rPr>
        <w:t xml:space="preserve"> which “litter this case” many arising from the marriage interview which were found to include but not be limited to the </w:t>
      </w:r>
      <w:r w:rsidR="0061683A">
        <w:rPr>
          <w:rFonts w:ascii="Book Antiqua" w:hAnsi="Book Antiqua" w:cs="Arial"/>
        </w:rPr>
        <w:t xml:space="preserve">eleven </w:t>
      </w:r>
      <w:r w:rsidR="000A4031">
        <w:rPr>
          <w:rFonts w:ascii="Book Antiqua" w:hAnsi="Book Antiqua" w:cs="Arial"/>
        </w:rPr>
        <w:t>items recorded.</w:t>
      </w:r>
      <w:r w:rsidR="00026A00">
        <w:rPr>
          <w:rFonts w:ascii="Book Antiqua" w:hAnsi="Book Antiqua" w:cs="Arial"/>
        </w:rPr>
        <w:t xml:space="preserve"> The Judge does not accept the appellant’s </w:t>
      </w:r>
      <w:r w:rsidR="00026A00">
        <w:rPr>
          <w:rFonts w:ascii="Book Antiqua" w:hAnsi="Book Antiqua" w:cs="Arial"/>
        </w:rPr>
        <w:lastRenderedPageBreak/>
        <w:t>wife’s explanation relating to the interpre</w:t>
      </w:r>
      <w:r w:rsidR="0061683A">
        <w:rPr>
          <w:rFonts w:ascii="Book Antiqua" w:hAnsi="Book Antiqua" w:cs="Arial"/>
        </w:rPr>
        <w:t xml:space="preserve">tation </w:t>
      </w:r>
      <w:r w:rsidR="00026A00">
        <w:rPr>
          <w:rFonts w:ascii="Book Antiqua" w:hAnsi="Book Antiqua" w:cs="Arial"/>
        </w:rPr>
        <w:t>at the marriage interview as be</w:t>
      </w:r>
      <w:r w:rsidR="004237B3">
        <w:rPr>
          <w:rFonts w:ascii="Book Antiqua" w:hAnsi="Book Antiqua" w:cs="Arial"/>
        </w:rPr>
        <w:t xml:space="preserve">ing </w:t>
      </w:r>
      <w:r w:rsidR="00026A00">
        <w:rPr>
          <w:rFonts w:ascii="Book Antiqua" w:hAnsi="Book Antiqua" w:cs="Arial"/>
        </w:rPr>
        <w:t>plausible</w:t>
      </w:r>
      <w:r w:rsidR="00FA316E">
        <w:rPr>
          <w:rFonts w:ascii="Book Antiqua" w:hAnsi="Book Antiqua" w:cs="Arial"/>
        </w:rPr>
        <w:t>.</w:t>
      </w:r>
    </w:p>
    <w:p w14:paraId="5CC916FE" w14:textId="093B64AF" w:rsidR="00FA316E" w:rsidRDefault="00FA316E" w:rsidP="00461A0D">
      <w:pPr>
        <w:numPr>
          <w:ilvl w:val="0"/>
          <w:numId w:val="3"/>
        </w:numPr>
        <w:jc w:val="both"/>
        <w:rPr>
          <w:rFonts w:ascii="Book Antiqua" w:hAnsi="Book Antiqua" w:cs="Arial"/>
        </w:rPr>
      </w:pPr>
      <w:r>
        <w:rPr>
          <w:rFonts w:ascii="Book Antiqua" w:hAnsi="Book Antiqua" w:cs="Arial"/>
        </w:rPr>
        <w:t>The Judge notes at [40] what is described as a “slightly bizarre refusal” of the appellant to accept matters which had been conceded on his behalf by the appellant</w:t>
      </w:r>
      <w:r w:rsidR="00DF2B1F">
        <w:rPr>
          <w:rFonts w:ascii="Book Antiqua" w:hAnsi="Book Antiqua" w:cs="Arial"/>
        </w:rPr>
        <w:t xml:space="preserve"> and at [41] the appellant’s wife’s evidence including repeated references to what her husband had said when challenged.</w:t>
      </w:r>
    </w:p>
    <w:p w14:paraId="4D7073AF" w14:textId="34CFDFCE" w:rsidR="00DF2B1F" w:rsidRDefault="004237B3" w:rsidP="00461A0D">
      <w:pPr>
        <w:numPr>
          <w:ilvl w:val="0"/>
          <w:numId w:val="3"/>
        </w:numPr>
        <w:jc w:val="both"/>
        <w:rPr>
          <w:rFonts w:ascii="Book Antiqua" w:hAnsi="Book Antiqua" w:cs="Arial"/>
        </w:rPr>
      </w:pPr>
      <w:r>
        <w:rPr>
          <w:rFonts w:ascii="Book Antiqua" w:hAnsi="Book Antiqua" w:cs="Arial"/>
        </w:rPr>
        <w:t xml:space="preserve">The </w:t>
      </w:r>
      <w:r w:rsidR="00DF2B1F">
        <w:rPr>
          <w:rFonts w:ascii="Book Antiqua" w:hAnsi="Book Antiqua" w:cs="Arial"/>
        </w:rPr>
        <w:t>Judge records some of the documentary evidence appearing dubious</w:t>
      </w:r>
      <w:r w:rsidR="00017926">
        <w:rPr>
          <w:rFonts w:ascii="Book Antiqua" w:hAnsi="Book Antiqua" w:cs="Arial"/>
        </w:rPr>
        <w:t xml:space="preserve"> </w:t>
      </w:r>
      <w:r w:rsidR="005915D6">
        <w:rPr>
          <w:rFonts w:ascii="Book Antiqua" w:hAnsi="Book Antiqua" w:cs="Arial"/>
        </w:rPr>
        <w:t xml:space="preserve">at </w:t>
      </w:r>
      <w:r w:rsidR="00017926">
        <w:rPr>
          <w:rFonts w:ascii="Book Antiqua" w:hAnsi="Book Antiqua" w:cs="Arial"/>
        </w:rPr>
        <w:t>[44] and concerns regarding the evidence of the witnesses to which further reference shall be made below. At [</w:t>
      </w:r>
      <w:r w:rsidR="00895ABD">
        <w:rPr>
          <w:rFonts w:ascii="Book Antiqua" w:hAnsi="Book Antiqua" w:cs="Arial"/>
        </w:rPr>
        <w:t xml:space="preserve">50] the Judge specifically states that having taken things in the round he did not accept </w:t>
      </w:r>
      <w:r w:rsidR="005915D6">
        <w:rPr>
          <w:rFonts w:ascii="Book Antiqua" w:hAnsi="Book Antiqua" w:cs="Arial"/>
        </w:rPr>
        <w:t xml:space="preserve">what he </w:t>
      </w:r>
      <w:r w:rsidR="00895ABD">
        <w:rPr>
          <w:rFonts w:ascii="Book Antiqua" w:hAnsi="Book Antiqua" w:cs="Arial"/>
        </w:rPr>
        <w:t>was be</w:t>
      </w:r>
      <w:r w:rsidR="005915D6">
        <w:rPr>
          <w:rFonts w:ascii="Book Antiqua" w:hAnsi="Book Antiqua" w:cs="Arial"/>
        </w:rPr>
        <w:t xml:space="preserve">ing </w:t>
      </w:r>
      <w:r w:rsidR="00895ABD">
        <w:rPr>
          <w:rFonts w:ascii="Book Antiqua" w:hAnsi="Book Antiqua" w:cs="Arial"/>
        </w:rPr>
        <w:t xml:space="preserve">told, did not believe the relationship was genuine, and that the appellant is somebody who will do and say anything to remain in the United Kingdom. </w:t>
      </w:r>
      <w:r w:rsidR="005915D6">
        <w:rPr>
          <w:rFonts w:ascii="Book Antiqua" w:hAnsi="Book Antiqua" w:cs="Arial"/>
        </w:rPr>
        <w:t xml:space="preserve">The </w:t>
      </w:r>
      <w:r w:rsidR="00895ABD">
        <w:rPr>
          <w:rFonts w:ascii="Book Antiqua" w:hAnsi="Book Antiqua" w:cs="Arial"/>
        </w:rPr>
        <w:t>Judge finds there are no serious obstacles to reintegration [51]</w:t>
      </w:r>
      <w:r w:rsidR="00520122">
        <w:rPr>
          <w:rFonts w:ascii="Book Antiqua" w:hAnsi="Book Antiqua" w:cs="Arial"/>
        </w:rPr>
        <w:t xml:space="preserve"> </w:t>
      </w:r>
      <w:r w:rsidR="005915D6">
        <w:rPr>
          <w:rFonts w:ascii="Book Antiqua" w:hAnsi="Book Antiqua" w:cs="Arial"/>
        </w:rPr>
        <w:t xml:space="preserve">and </w:t>
      </w:r>
      <w:r w:rsidR="00520122">
        <w:rPr>
          <w:rFonts w:ascii="Book Antiqua" w:hAnsi="Book Antiqua" w:cs="Arial"/>
        </w:rPr>
        <w:t>nothing exceptional about the case [53]</w:t>
      </w:r>
      <w:r w:rsidR="005915D6">
        <w:rPr>
          <w:rFonts w:ascii="Book Antiqua" w:hAnsi="Book Antiqua" w:cs="Arial"/>
        </w:rPr>
        <w:t>; making the decision proportionate</w:t>
      </w:r>
      <w:r w:rsidR="00520122">
        <w:rPr>
          <w:rFonts w:ascii="Book Antiqua" w:hAnsi="Book Antiqua" w:cs="Arial"/>
        </w:rPr>
        <w:t>.</w:t>
      </w:r>
    </w:p>
    <w:p w14:paraId="67CE4C1B" w14:textId="3EEF984F" w:rsidR="00520122" w:rsidRDefault="00520122" w:rsidP="00461A0D">
      <w:pPr>
        <w:numPr>
          <w:ilvl w:val="0"/>
          <w:numId w:val="3"/>
        </w:numPr>
        <w:jc w:val="both"/>
        <w:rPr>
          <w:rFonts w:ascii="Book Antiqua" w:hAnsi="Book Antiqua" w:cs="Arial"/>
        </w:rPr>
      </w:pPr>
      <w:r>
        <w:rPr>
          <w:rFonts w:ascii="Book Antiqua" w:hAnsi="Book Antiqua" w:cs="Arial"/>
        </w:rPr>
        <w:t>The</w:t>
      </w:r>
      <w:r w:rsidR="000C59CA">
        <w:rPr>
          <w:rFonts w:ascii="Book Antiqua" w:hAnsi="Book Antiqua" w:cs="Arial"/>
        </w:rPr>
        <w:t xml:space="preserve"> appellant asserts the finding at [45] is not supported by adequate reasoning</w:t>
      </w:r>
      <w:r w:rsidR="0007001A">
        <w:rPr>
          <w:rFonts w:ascii="Book Antiqua" w:hAnsi="Book Antiqua" w:cs="Arial"/>
        </w:rPr>
        <w:t>, at [47] the Judge did not explain how he thought the witnesses had been “led up the garden path” resulting in the appellant be</w:t>
      </w:r>
      <w:r w:rsidR="002F4481">
        <w:rPr>
          <w:rFonts w:ascii="Book Antiqua" w:hAnsi="Book Antiqua" w:cs="Arial"/>
        </w:rPr>
        <w:t xml:space="preserve">ing </w:t>
      </w:r>
      <w:r w:rsidR="0007001A">
        <w:rPr>
          <w:rFonts w:ascii="Book Antiqua" w:hAnsi="Book Antiqua" w:cs="Arial"/>
        </w:rPr>
        <w:t xml:space="preserve">denied the benefit of important witness evidence </w:t>
      </w:r>
      <w:r w:rsidR="002F4481">
        <w:rPr>
          <w:rFonts w:ascii="Book Antiqua" w:hAnsi="Book Antiqua" w:cs="Arial"/>
        </w:rPr>
        <w:t xml:space="preserve">on an </w:t>
      </w:r>
      <w:r w:rsidR="0007001A">
        <w:rPr>
          <w:rFonts w:ascii="Book Antiqua" w:hAnsi="Book Antiqua" w:cs="Arial"/>
        </w:rPr>
        <w:t>erroneous basis.</w:t>
      </w:r>
      <w:r w:rsidR="001C598C">
        <w:rPr>
          <w:rFonts w:ascii="Book Antiqua" w:hAnsi="Book Antiqua" w:cs="Arial"/>
        </w:rPr>
        <w:t xml:space="preserve"> </w:t>
      </w:r>
      <w:r w:rsidR="002F4481">
        <w:rPr>
          <w:rFonts w:ascii="Book Antiqua" w:hAnsi="Book Antiqua" w:cs="Arial"/>
        </w:rPr>
        <w:t xml:space="preserve"> The appellant asserts if </w:t>
      </w:r>
      <w:r w:rsidR="001C598C">
        <w:rPr>
          <w:rFonts w:ascii="Book Antiqua" w:hAnsi="Book Antiqua" w:cs="Arial"/>
        </w:rPr>
        <w:t>the Judge found the oral evidence to be implausible</w:t>
      </w:r>
      <w:r w:rsidR="002F4481">
        <w:rPr>
          <w:rFonts w:ascii="Book Antiqua" w:hAnsi="Book Antiqua" w:cs="Arial"/>
        </w:rPr>
        <w:t>,</w:t>
      </w:r>
      <w:r w:rsidR="001C598C">
        <w:rPr>
          <w:rFonts w:ascii="Book Antiqua" w:hAnsi="Book Antiqua" w:cs="Arial"/>
        </w:rPr>
        <w:t xml:space="preserve"> incredible</w:t>
      </w:r>
      <w:r w:rsidR="002F4481">
        <w:rPr>
          <w:rFonts w:ascii="Book Antiqua" w:hAnsi="Book Antiqua" w:cs="Arial"/>
        </w:rPr>
        <w:t>,</w:t>
      </w:r>
      <w:r w:rsidR="001C598C">
        <w:rPr>
          <w:rFonts w:ascii="Book Antiqua" w:hAnsi="Book Antiqua" w:cs="Arial"/>
        </w:rPr>
        <w:t xml:space="preserve"> or unreliable</w:t>
      </w:r>
      <w:r w:rsidR="002F4481">
        <w:rPr>
          <w:rFonts w:ascii="Book Antiqua" w:hAnsi="Book Antiqua" w:cs="Arial"/>
        </w:rPr>
        <w:t>,</w:t>
      </w:r>
      <w:r w:rsidR="001C598C">
        <w:rPr>
          <w:rFonts w:ascii="Book Antiqua" w:hAnsi="Book Antiqua" w:cs="Arial"/>
        </w:rPr>
        <w:t xml:space="preserve"> it was necessary to say so in the determination </w:t>
      </w:r>
      <w:r w:rsidR="005C6ECA">
        <w:rPr>
          <w:rFonts w:ascii="Book Antiqua" w:hAnsi="Book Antiqua" w:cs="Arial"/>
        </w:rPr>
        <w:t xml:space="preserve">and for the </w:t>
      </w:r>
      <w:r w:rsidR="001C598C">
        <w:rPr>
          <w:rFonts w:ascii="Book Antiqua" w:hAnsi="Book Antiqua" w:cs="Arial"/>
        </w:rPr>
        <w:t>findings to be supported by adequate reasons</w:t>
      </w:r>
      <w:r w:rsidR="005C6ECA">
        <w:rPr>
          <w:rFonts w:ascii="Book Antiqua" w:hAnsi="Book Antiqua" w:cs="Arial"/>
        </w:rPr>
        <w:t>,</w:t>
      </w:r>
      <w:r w:rsidR="001C598C">
        <w:rPr>
          <w:rFonts w:ascii="Book Antiqua" w:hAnsi="Book Antiqua" w:cs="Arial"/>
        </w:rPr>
        <w:t xml:space="preserve"> as a bar</w:t>
      </w:r>
      <w:r w:rsidR="005C6ECA">
        <w:rPr>
          <w:rFonts w:ascii="Book Antiqua" w:hAnsi="Book Antiqua" w:cs="Arial"/>
        </w:rPr>
        <w:t>e</w:t>
      </w:r>
      <w:r w:rsidR="001C598C">
        <w:rPr>
          <w:rFonts w:ascii="Book Antiqua" w:hAnsi="Book Antiqua" w:cs="Arial"/>
        </w:rPr>
        <w:t xml:space="preserve"> statement </w:t>
      </w:r>
      <w:r w:rsidR="005C6ECA">
        <w:rPr>
          <w:rFonts w:ascii="Book Antiqua" w:hAnsi="Book Antiqua" w:cs="Arial"/>
        </w:rPr>
        <w:t xml:space="preserve">a </w:t>
      </w:r>
      <w:r w:rsidR="001C598C">
        <w:rPr>
          <w:rFonts w:ascii="Book Antiqua" w:hAnsi="Book Antiqua" w:cs="Arial"/>
        </w:rPr>
        <w:t xml:space="preserve">witness was not believed or that the document was afforded no weight </w:t>
      </w:r>
      <w:r w:rsidR="005C6ECA">
        <w:rPr>
          <w:rFonts w:ascii="Book Antiqua" w:hAnsi="Book Antiqua" w:cs="Arial"/>
        </w:rPr>
        <w:t>i</w:t>
      </w:r>
      <w:r w:rsidR="001C598C">
        <w:rPr>
          <w:rFonts w:ascii="Book Antiqua" w:hAnsi="Book Antiqua" w:cs="Arial"/>
        </w:rPr>
        <w:t>s insufficient.</w:t>
      </w:r>
      <w:r w:rsidR="006439E9">
        <w:rPr>
          <w:rFonts w:ascii="Book Antiqua" w:hAnsi="Book Antiqua" w:cs="Arial"/>
        </w:rPr>
        <w:t xml:space="preserve"> The grounds are set out in further detail in the pleadings of 16 September 2019.</w:t>
      </w:r>
    </w:p>
    <w:p w14:paraId="06F9967E" w14:textId="36CDB12D" w:rsidR="00E92592" w:rsidRDefault="00E92592" w:rsidP="005C6ECA">
      <w:pPr>
        <w:ind w:left="1080"/>
        <w:jc w:val="both"/>
        <w:rPr>
          <w:rFonts w:ascii="Book Antiqua" w:hAnsi="Book Antiqua" w:cs="Arial"/>
        </w:rPr>
      </w:pPr>
    </w:p>
    <w:p w14:paraId="1095F11E" w14:textId="1846C737" w:rsidR="00D32B8A" w:rsidRPr="00D32B8A" w:rsidRDefault="005C6ECA" w:rsidP="00461A0D">
      <w:pPr>
        <w:pStyle w:val="Heading5"/>
        <w:jc w:val="both"/>
        <w:rPr>
          <w:rFonts w:ascii="Book Antiqua" w:hAnsi="Book Antiqua" w:cs="Arial"/>
          <w:sz w:val="24"/>
        </w:rPr>
      </w:pPr>
      <w:r>
        <w:rPr>
          <w:rFonts w:ascii="Book Antiqua" w:hAnsi="Book Antiqua" w:cs="Arial"/>
          <w:sz w:val="24"/>
        </w:rPr>
        <w:t>The f</w:t>
      </w:r>
      <w:r w:rsidR="006439E9">
        <w:rPr>
          <w:rFonts w:ascii="Book Antiqua" w:hAnsi="Book Antiqua" w:cs="Arial"/>
          <w:sz w:val="24"/>
        </w:rPr>
        <w:t xml:space="preserve">urther </w:t>
      </w:r>
      <w:r w:rsidR="00FD1BDB">
        <w:rPr>
          <w:rFonts w:ascii="Book Antiqua" w:hAnsi="Book Antiqua" w:cs="Arial"/>
          <w:sz w:val="24"/>
        </w:rPr>
        <w:t>submissions</w:t>
      </w:r>
    </w:p>
    <w:p w14:paraId="634FC1EB" w14:textId="77777777" w:rsidR="00D32B8A" w:rsidRPr="00D32B8A" w:rsidRDefault="00D32B8A" w:rsidP="00461A0D">
      <w:pPr>
        <w:ind w:firstLine="120"/>
        <w:jc w:val="both"/>
        <w:rPr>
          <w:rFonts w:ascii="Book Antiqua" w:hAnsi="Book Antiqua" w:cs="Arial"/>
        </w:rPr>
      </w:pPr>
    </w:p>
    <w:p w14:paraId="183BF454" w14:textId="7080F8FB" w:rsidR="00745005" w:rsidRDefault="003E1007" w:rsidP="00461A0D">
      <w:pPr>
        <w:numPr>
          <w:ilvl w:val="0"/>
          <w:numId w:val="3"/>
        </w:numPr>
        <w:jc w:val="both"/>
        <w:rPr>
          <w:rFonts w:ascii="Book Antiqua" w:hAnsi="Book Antiqua" w:cs="Arial"/>
        </w:rPr>
      </w:pPr>
      <w:r>
        <w:rPr>
          <w:rFonts w:ascii="Book Antiqua" w:hAnsi="Book Antiqua" w:cs="Arial"/>
        </w:rPr>
        <w:t xml:space="preserve">The appellant’s further submissions dated 23 May 2020 </w:t>
      </w:r>
      <w:r w:rsidR="000A70C7">
        <w:rPr>
          <w:rFonts w:ascii="Book Antiqua" w:hAnsi="Book Antiqua" w:cs="Arial"/>
        </w:rPr>
        <w:t xml:space="preserve">repeat </w:t>
      </w:r>
      <w:r>
        <w:rPr>
          <w:rFonts w:ascii="Book Antiqua" w:hAnsi="Book Antiqua" w:cs="Arial"/>
        </w:rPr>
        <w:t xml:space="preserve">the core </w:t>
      </w:r>
      <w:r w:rsidR="00FC0796">
        <w:rPr>
          <w:rFonts w:ascii="Book Antiqua" w:hAnsi="Book Antiqua" w:cs="Arial"/>
        </w:rPr>
        <w:t xml:space="preserve">of </w:t>
      </w:r>
      <w:r>
        <w:rPr>
          <w:rFonts w:ascii="Book Antiqua" w:hAnsi="Book Antiqua" w:cs="Arial"/>
        </w:rPr>
        <w:t>the challenge to the decision</w:t>
      </w:r>
      <w:r w:rsidR="00FC0796">
        <w:rPr>
          <w:rFonts w:ascii="Book Antiqua" w:hAnsi="Book Antiqua" w:cs="Arial"/>
        </w:rPr>
        <w:t>,</w:t>
      </w:r>
      <w:r w:rsidR="00745005">
        <w:rPr>
          <w:rFonts w:ascii="Book Antiqua" w:hAnsi="Book Antiqua" w:cs="Arial"/>
        </w:rPr>
        <w:t xml:space="preserve"> relevant paragraphs of which are in the following terms:</w:t>
      </w:r>
    </w:p>
    <w:p w14:paraId="05CF5327" w14:textId="55685793" w:rsidR="00D32B8A" w:rsidRDefault="00D32B8A" w:rsidP="00461A0D">
      <w:pPr>
        <w:ind w:left="1080"/>
        <w:jc w:val="both"/>
        <w:rPr>
          <w:rFonts w:ascii="Book Antiqua" w:hAnsi="Book Antiqua" w:cs="Arial"/>
        </w:rPr>
      </w:pPr>
    </w:p>
    <w:p w14:paraId="1EF48F47" w14:textId="6E508EA0" w:rsidR="00745005" w:rsidRDefault="00745005" w:rsidP="00FC0796">
      <w:pPr>
        <w:ind w:left="2265" w:hanging="564"/>
        <w:jc w:val="both"/>
        <w:rPr>
          <w:rFonts w:ascii="Book Antiqua" w:hAnsi="Book Antiqua" w:cs="Arial"/>
          <w:sz w:val="20"/>
          <w:szCs w:val="20"/>
        </w:rPr>
      </w:pPr>
      <w:r>
        <w:rPr>
          <w:rFonts w:ascii="Book Antiqua" w:hAnsi="Book Antiqua" w:cs="Arial"/>
          <w:sz w:val="20"/>
          <w:szCs w:val="20"/>
        </w:rPr>
        <w:t xml:space="preserve">3. </w:t>
      </w:r>
      <w:r w:rsidR="00FC0796">
        <w:rPr>
          <w:rFonts w:ascii="Book Antiqua" w:hAnsi="Book Antiqua" w:cs="Arial"/>
          <w:sz w:val="20"/>
          <w:szCs w:val="20"/>
        </w:rPr>
        <w:tab/>
      </w:r>
      <w:r w:rsidR="00C517BC">
        <w:rPr>
          <w:rFonts w:ascii="Book Antiqua" w:hAnsi="Book Antiqua" w:cs="Arial"/>
          <w:sz w:val="20"/>
          <w:szCs w:val="20"/>
        </w:rPr>
        <w:t>The core of this appeal is the fact that the Judge at first instance, Judge Jepson, failed to properly weigh and balance important witness evidence.</w:t>
      </w:r>
    </w:p>
    <w:p w14:paraId="7AF3E100" w14:textId="790BB362" w:rsidR="00C517BC" w:rsidRDefault="00C517BC" w:rsidP="00461A0D">
      <w:pPr>
        <w:ind w:left="1701"/>
        <w:jc w:val="both"/>
        <w:rPr>
          <w:rFonts w:ascii="Book Antiqua" w:hAnsi="Book Antiqua" w:cs="Arial"/>
          <w:sz w:val="20"/>
          <w:szCs w:val="20"/>
        </w:rPr>
      </w:pPr>
    </w:p>
    <w:p w14:paraId="50EDB681" w14:textId="43D740A3" w:rsidR="00C517BC" w:rsidRDefault="00C517BC" w:rsidP="00FC0796">
      <w:pPr>
        <w:ind w:left="2265" w:hanging="564"/>
        <w:jc w:val="both"/>
        <w:rPr>
          <w:rFonts w:ascii="Book Antiqua" w:hAnsi="Book Antiqua" w:cs="Arial"/>
          <w:sz w:val="20"/>
          <w:szCs w:val="20"/>
        </w:rPr>
      </w:pPr>
      <w:r>
        <w:rPr>
          <w:rFonts w:ascii="Book Antiqua" w:hAnsi="Book Antiqua" w:cs="Arial"/>
          <w:sz w:val="20"/>
          <w:szCs w:val="20"/>
        </w:rPr>
        <w:t xml:space="preserve">4. </w:t>
      </w:r>
      <w:r w:rsidR="00FC0796">
        <w:rPr>
          <w:rFonts w:ascii="Book Antiqua" w:hAnsi="Book Antiqua" w:cs="Arial"/>
          <w:sz w:val="20"/>
          <w:szCs w:val="20"/>
        </w:rPr>
        <w:tab/>
      </w:r>
      <w:r>
        <w:rPr>
          <w:rFonts w:ascii="Book Antiqua" w:hAnsi="Book Antiqua" w:cs="Arial"/>
          <w:sz w:val="20"/>
          <w:szCs w:val="20"/>
        </w:rPr>
        <w:t>The Tribunal is invited</w:t>
      </w:r>
      <w:r w:rsidR="00515476">
        <w:rPr>
          <w:rFonts w:ascii="Book Antiqua" w:hAnsi="Book Antiqua" w:cs="Arial"/>
          <w:sz w:val="20"/>
          <w:szCs w:val="20"/>
        </w:rPr>
        <w:t xml:space="preserve"> to consider the grounds of appeal and having done so will be aware from those grounds that at paragraph 45 of the First-Tier Tribunal </w:t>
      </w:r>
      <w:proofErr w:type="gramStart"/>
      <w:r w:rsidR="00515476">
        <w:rPr>
          <w:rFonts w:ascii="Book Antiqua" w:hAnsi="Book Antiqua" w:cs="Arial"/>
          <w:sz w:val="20"/>
          <w:szCs w:val="20"/>
        </w:rPr>
        <w:t>determination</w:t>
      </w:r>
      <w:proofErr w:type="gramEnd"/>
      <w:r w:rsidR="00515476">
        <w:rPr>
          <w:rFonts w:ascii="Book Antiqua" w:hAnsi="Book Antiqua" w:cs="Arial"/>
          <w:sz w:val="20"/>
          <w:szCs w:val="20"/>
        </w:rPr>
        <w:t xml:space="preserve"> Judge Jepson stated:</w:t>
      </w:r>
    </w:p>
    <w:p w14:paraId="101107FF" w14:textId="786C76E8" w:rsidR="00515476" w:rsidRDefault="00515476" w:rsidP="00461A0D">
      <w:pPr>
        <w:ind w:left="1701"/>
        <w:jc w:val="both"/>
        <w:rPr>
          <w:rFonts w:ascii="Book Antiqua" w:hAnsi="Book Antiqua" w:cs="Arial"/>
          <w:sz w:val="20"/>
          <w:szCs w:val="20"/>
        </w:rPr>
      </w:pPr>
    </w:p>
    <w:p w14:paraId="741AA81A" w14:textId="5833FF50" w:rsidR="00515476" w:rsidRDefault="00447DDC" w:rsidP="00411DDD">
      <w:pPr>
        <w:ind w:left="2265"/>
        <w:jc w:val="both"/>
        <w:rPr>
          <w:rFonts w:ascii="Book Antiqua" w:hAnsi="Book Antiqua" w:cs="Arial"/>
          <w:sz w:val="20"/>
          <w:szCs w:val="20"/>
        </w:rPr>
      </w:pPr>
      <w:r>
        <w:rPr>
          <w:rFonts w:ascii="Book Antiqua" w:hAnsi="Book Antiqua" w:cs="Arial"/>
          <w:sz w:val="20"/>
          <w:szCs w:val="20"/>
        </w:rPr>
        <w:t xml:space="preserve">“What then of the </w:t>
      </w:r>
      <w:r w:rsidR="00411DDD">
        <w:rPr>
          <w:rFonts w:ascii="Book Antiqua" w:hAnsi="Book Antiqua" w:cs="Arial"/>
          <w:sz w:val="20"/>
          <w:szCs w:val="20"/>
        </w:rPr>
        <w:t xml:space="preserve">two </w:t>
      </w:r>
      <w:r>
        <w:rPr>
          <w:rFonts w:ascii="Book Antiqua" w:hAnsi="Book Antiqua" w:cs="Arial"/>
          <w:sz w:val="20"/>
          <w:szCs w:val="20"/>
        </w:rPr>
        <w:t>witnesses who testified before me? At first blush, each seems entirely credible. However, it must be right that the evidence given is in part only as good as its primary source</w:t>
      </w:r>
      <w:r w:rsidR="00B6685B">
        <w:rPr>
          <w:rFonts w:ascii="Book Antiqua" w:hAnsi="Book Antiqua" w:cs="Arial"/>
          <w:sz w:val="20"/>
          <w:szCs w:val="20"/>
        </w:rPr>
        <w:t xml:space="preserve"> - the Appellant.” </w:t>
      </w:r>
    </w:p>
    <w:p w14:paraId="07E55126" w14:textId="0366D522" w:rsidR="00B6685B" w:rsidRDefault="00B6685B" w:rsidP="00461A0D">
      <w:pPr>
        <w:ind w:left="1701"/>
        <w:jc w:val="both"/>
        <w:rPr>
          <w:rFonts w:ascii="Book Antiqua" w:hAnsi="Book Antiqua" w:cs="Arial"/>
          <w:sz w:val="20"/>
          <w:szCs w:val="20"/>
        </w:rPr>
      </w:pPr>
    </w:p>
    <w:p w14:paraId="1B0B20EB" w14:textId="4FFA7E39" w:rsidR="00B6685B" w:rsidRDefault="00B6685B" w:rsidP="00411DDD">
      <w:pPr>
        <w:ind w:left="2265" w:hanging="564"/>
        <w:jc w:val="both"/>
        <w:rPr>
          <w:rFonts w:ascii="Book Antiqua" w:hAnsi="Book Antiqua" w:cs="Arial"/>
          <w:sz w:val="20"/>
          <w:szCs w:val="20"/>
        </w:rPr>
      </w:pPr>
      <w:r>
        <w:rPr>
          <w:rFonts w:ascii="Book Antiqua" w:hAnsi="Book Antiqua" w:cs="Arial"/>
          <w:sz w:val="20"/>
          <w:szCs w:val="20"/>
        </w:rPr>
        <w:t xml:space="preserve">5. </w:t>
      </w:r>
      <w:r w:rsidR="00411DDD">
        <w:rPr>
          <w:rFonts w:ascii="Book Antiqua" w:hAnsi="Book Antiqua" w:cs="Arial"/>
          <w:sz w:val="20"/>
          <w:szCs w:val="20"/>
        </w:rPr>
        <w:tab/>
      </w:r>
      <w:r>
        <w:rPr>
          <w:rFonts w:ascii="Book Antiqua" w:hAnsi="Book Antiqua" w:cs="Arial"/>
          <w:sz w:val="20"/>
          <w:szCs w:val="20"/>
        </w:rPr>
        <w:t>As stated in the grounds of appeal the Judge provides no explanation how or in what ways the appellant was the primary source</w:t>
      </w:r>
      <w:r w:rsidR="00AC3655">
        <w:rPr>
          <w:rFonts w:ascii="Book Antiqua" w:hAnsi="Book Antiqua" w:cs="Arial"/>
          <w:sz w:val="20"/>
          <w:szCs w:val="20"/>
        </w:rPr>
        <w:t xml:space="preserve"> of the witness evidence. Each witness set out how they knew the appellant and his wife and that they had known them for some time. That evidence was open to cross-examination.</w:t>
      </w:r>
    </w:p>
    <w:p w14:paraId="6A176579" w14:textId="1E9CC05B" w:rsidR="00AC3655" w:rsidRDefault="00AC3655" w:rsidP="00461A0D">
      <w:pPr>
        <w:ind w:left="1701"/>
        <w:jc w:val="both"/>
        <w:rPr>
          <w:rFonts w:ascii="Book Antiqua" w:hAnsi="Book Antiqua" w:cs="Arial"/>
          <w:sz w:val="20"/>
          <w:szCs w:val="20"/>
        </w:rPr>
      </w:pPr>
    </w:p>
    <w:p w14:paraId="7E8C1E06" w14:textId="2742A629" w:rsidR="00AC3655" w:rsidRDefault="00AC3655" w:rsidP="00411DDD">
      <w:pPr>
        <w:ind w:left="2265" w:hanging="564"/>
        <w:jc w:val="both"/>
        <w:rPr>
          <w:rFonts w:ascii="Book Antiqua" w:hAnsi="Book Antiqua" w:cs="Arial"/>
          <w:sz w:val="20"/>
          <w:szCs w:val="20"/>
        </w:rPr>
      </w:pPr>
      <w:r>
        <w:rPr>
          <w:rFonts w:ascii="Book Antiqua" w:hAnsi="Book Antiqua" w:cs="Arial"/>
          <w:sz w:val="20"/>
          <w:szCs w:val="20"/>
        </w:rPr>
        <w:t xml:space="preserve">6. </w:t>
      </w:r>
      <w:r w:rsidR="00411DDD">
        <w:rPr>
          <w:rFonts w:ascii="Book Antiqua" w:hAnsi="Book Antiqua" w:cs="Arial"/>
          <w:sz w:val="20"/>
          <w:szCs w:val="20"/>
        </w:rPr>
        <w:tab/>
      </w:r>
      <w:r w:rsidR="000C5B4B">
        <w:rPr>
          <w:rFonts w:ascii="Book Antiqua" w:hAnsi="Book Antiqua" w:cs="Arial"/>
          <w:sz w:val="20"/>
          <w:szCs w:val="20"/>
        </w:rPr>
        <w:t>As set out in the grounds of appeal it is the appellant’s contention that the Judge has failed to provide any or any adequate reasons for his findings and failed to properly consider and weigh important witness evidence before him when coming to the conclusions he has. This evidence included oral</w:t>
      </w:r>
      <w:r w:rsidR="00CD566B">
        <w:rPr>
          <w:rFonts w:ascii="Book Antiqua" w:hAnsi="Book Antiqua" w:cs="Arial"/>
          <w:sz w:val="20"/>
          <w:szCs w:val="20"/>
        </w:rPr>
        <w:t xml:space="preserve"> witness evidence which it is submitted the Judge has failed to properly address. </w:t>
      </w:r>
    </w:p>
    <w:p w14:paraId="0902B0E2" w14:textId="47488626" w:rsidR="00CD566B" w:rsidRDefault="00CD566B" w:rsidP="00461A0D">
      <w:pPr>
        <w:ind w:left="1701"/>
        <w:jc w:val="both"/>
        <w:rPr>
          <w:rFonts w:ascii="Book Antiqua" w:hAnsi="Book Antiqua" w:cs="Arial"/>
          <w:sz w:val="20"/>
          <w:szCs w:val="20"/>
        </w:rPr>
      </w:pPr>
    </w:p>
    <w:p w14:paraId="444F348C" w14:textId="2E64D56E" w:rsidR="00CD566B" w:rsidRDefault="00CD566B" w:rsidP="00AC291E">
      <w:pPr>
        <w:ind w:left="2265" w:hanging="564"/>
        <w:jc w:val="both"/>
        <w:rPr>
          <w:rFonts w:ascii="Book Antiqua" w:hAnsi="Book Antiqua" w:cs="Arial"/>
          <w:sz w:val="20"/>
          <w:szCs w:val="20"/>
        </w:rPr>
      </w:pPr>
      <w:r>
        <w:rPr>
          <w:rFonts w:ascii="Book Antiqua" w:hAnsi="Book Antiqua" w:cs="Arial"/>
          <w:sz w:val="20"/>
          <w:szCs w:val="20"/>
        </w:rPr>
        <w:lastRenderedPageBreak/>
        <w:t xml:space="preserve">7. </w:t>
      </w:r>
      <w:r w:rsidR="00AC291E">
        <w:rPr>
          <w:rFonts w:ascii="Book Antiqua" w:hAnsi="Book Antiqua" w:cs="Arial"/>
          <w:sz w:val="20"/>
          <w:szCs w:val="20"/>
        </w:rPr>
        <w:tab/>
      </w:r>
      <w:r>
        <w:rPr>
          <w:rFonts w:ascii="Book Antiqua" w:hAnsi="Book Antiqua" w:cs="Arial"/>
          <w:sz w:val="20"/>
          <w:szCs w:val="20"/>
        </w:rPr>
        <w:t xml:space="preserve">It is of </w:t>
      </w:r>
      <w:proofErr w:type="gramStart"/>
      <w:r>
        <w:rPr>
          <w:rFonts w:ascii="Book Antiqua" w:hAnsi="Book Antiqua" w:cs="Arial"/>
          <w:sz w:val="20"/>
          <w:szCs w:val="20"/>
        </w:rPr>
        <w:t>particular concern</w:t>
      </w:r>
      <w:proofErr w:type="gramEnd"/>
      <w:r>
        <w:rPr>
          <w:rFonts w:ascii="Book Antiqua" w:hAnsi="Book Antiqua" w:cs="Arial"/>
          <w:sz w:val="20"/>
          <w:szCs w:val="20"/>
        </w:rPr>
        <w:t xml:space="preserve"> that the Judge has said “at first blush” he found the evidence credible. The Judge provides no explanation about how</w:t>
      </w:r>
      <w:r w:rsidR="0070615D">
        <w:rPr>
          <w:rFonts w:ascii="Book Antiqua" w:hAnsi="Book Antiqua" w:cs="Arial"/>
          <w:sz w:val="20"/>
          <w:szCs w:val="20"/>
        </w:rPr>
        <w:t xml:space="preserve"> or in what way the appellant was the primary source of that evidence. The evidence was </w:t>
      </w:r>
      <w:r w:rsidR="00A35232">
        <w:rPr>
          <w:rFonts w:ascii="Book Antiqua" w:hAnsi="Book Antiqua" w:cs="Arial"/>
          <w:sz w:val="20"/>
          <w:szCs w:val="20"/>
        </w:rPr>
        <w:t>first hand</w:t>
      </w:r>
      <w:r w:rsidR="0070615D">
        <w:rPr>
          <w:rFonts w:ascii="Book Antiqua" w:hAnsi="Book Antiqua" w:cs="Arial"/>
          <w:sz w:val="20"/>
          <w:szCs w:val="20"/>
        </w:rPr>
        <w:t xml:space="preserve"> evidence of what the witnesses could see and know of the appellant over a </w:t>
      </w:r>
      <w:proofErr w:type="gramStart"/>
      <w:r w:rsidR="0070615D">
        <w:rPr>
          <w:rFonts w:ascii="Book Antiqua" w:hAnsi="Book Antiqua" w:cs="Arial"/>
          <w:sz w:val="20"/>
          <w:szCs w:val="20"/>
        </w:rPr>
        <w:t>period of time</w:t>
      </w:r>
      <w:proofErr w:type="gramEnd"/>
      <w:r w:rsidR="0070615D">
        <w:rPr>
          <w:rFonts w:ascii="Book Antiqua" w:hAnsi="Book Antiqua" w:cs="Arial"/>
          <w:sz w:val="20"/>
          <w:szCs w:val="20"/>
        </w:rPr>
        <w:t xml:space="preserve"> having known the appellant and his wife</w:t>
      </w:r>
      <w:r w:rsidR="001B5B33">
        <w:rPr>
          <w:rFonts w:ascii="Book Antiqua" w:hAnsi="Book Antiqua" w:cs="Arial"/>
          <w:sz w:val="20"/>
          <w:szCs w:val="20"/>
        </w:rPr>
        <w:t xml:space="preserve"> and having had regular contact with them over a period of time. Having found that evidence credible, at first blush, it is submitted it was incumbent on the Judge to explain how the appellant was the source of that evidence.</w:t>
      </w:r>
    </w:p>
    <w:p w14:paraId="72424A39" w14:textId="742673CD" w:rsidR="001B5B33" w:rsidRDefault="001B5B33" w:rsidP="00461A0D">
      <w:pPr>
        <w:ind w:left="1701"/>
        <w:jc w:val="both"/>
        <w:rPr>
          <w:rFonts w:ascii="Book Antiqua" w:hAnsi="Book Antiqua" w:cs="Arial"/>
          <w:sz w:val="20"/>
          <w:szCs w:val="20"/>
        </w:rPr>
      </w:pPr>
    </w:p>
    <w:p w14:paraId="02356C7F" w14:textId="30AA709D" w:rsidR="001B5B33" w:rsidRDefault="001B5B33" w:rsidP="00EB42B4">
      <w:pPr>
        <w:ind w:left="2265" w:hanging="564"/>
        <w:jc w:val="both"/>
        <w:rPr>
          <w:rFonts w:ascii="Book Antiqua" w:hAnsi="Book Antiqua" w:cs="Arial"/>
          <w:sz w:val="20"/>
          <w:szCs w:val="20"/>
        </w:rPr>
      </w:pPr>
      <w:r>
        <w:rPr>
          <w:rFonts w:ascii="Book Antiqua" w:hAnsi="Book Antiqua" w:cs="Arial"/>
          <w:sz w:val="20"/>
          <w:szCs w:val="20"/>
        </w:rPr>
        <w:t xml:space="preserve">8. </w:t>
      </w:r>
      <w:r w:rsidR="00EB42B4">
        <w:rPr>
          <w:rFonts w:ascii="Book Antiqua" w:hAnsi="Book Antiqua" w:cs="Arial"/>
          <w:sz w:val="20"/>
          <w:szCs w:val="20"/>
        </w:rPr>
        <w:tab/>
      </w:r>
      <w:r>
        <w:rPr>
          <w:rFonts w:ascii="Book Antiqua" w:hAnsi="Book Antiqua" w:cs="Arial"/>
          <w:sz w:val="20"/>
          <w:szCs w:val="20"/>
        </w:rPr>
        <w:t>The findings become even more troublesome when at paragraph 47</w:t>
      </w:r>
      <w:r w:rsidR="001B3E40">
        <w:rPr>
          <w:rFonts w:ascii="Book Antiqua" w:hAnsi="Book Antiqua" w:cs="Arial"/>
          <w:sz w:val="20"/>
          <w:szCs w:val="20"/>
        </w:rPr>
        <w:t xml:space="preserve"> of the determination the Judge finds witnesses of being “led up the garden path” but does not say how or in what way that is so.</w:t>
      </w:r>
    </w:p>
    <w:p w14:paraId="4D83BA04" w14:textId="518415ED" w:rsidR="001B3E40" w:rsidRDefault="001B3E40" w:rsidP="00461A0D">
      <w:pPr>
        <w:ind w:left="1701"/>
        <w:jc w:val="both"/>
        <w:rPr>
          <w:rFonts w:ascii="Book Antiqua" w:hAnsi="Book Antiqua" w:cs="Arial"/>
          <w:sz w:val="20"/>
          <w:szCs w:val="20"/>
        </w:rPr>
      </w:pPr>
    </w:p>
    <w:p w14:paraId="534A0EAC" w14:textId="394F3565" w:rsidR="001B3E40" w:rsidRDefault="001B3E40" w:rsidP="00EB42B4">
      <w:pPr>
        <w:ind w:left="2265" w:hanging="564"/>
        <w:jc w:val="both"/>
        <w:rPr>
          <w:rFonts w:ascii="Book Antiqua" w:hAnsi="Book Antiqua" w:cs="Arial"/>
          <w:sz w:val="20"/>
          <w:szCs w:val="20"/>
        </w:rPr>
      </w:pPr>
      <w:r>
        <w:rPr>
          <w:rFonts w:ascii="Book Antiqua" w:hAnsi="Book Antiqua" w:cs="Arial"/>
          <w:sz w:val="20"/>
          <w:szCs w:val="20"/>
        </w:rPr>
        <w:t xml:space="preserve">9. </w:t>
      </w:r>
      <w:r w:rsidR="00EB42B4">
        <w:rPr>
          <w:rFonts w:ascii="Book Antiqua" w:hAnsi="Book Antiqua" w:cs="Arial"/>
          <w:sz w:val="20"/>
          <w:szCs w:val="20"/>
        </w:rPr>
        <w:tab/>
      </w:r>
      <w:r>
        <w:rPr>
          <w:rFonts w:ascii="Book Antiqua" w:hAnsi="Book Antiqua" w:cs="Arial"/>
          <w:sz w:val="20"/>
          <w:szCs w:val="20"/>
        </w:rPr>
        <w:t>It is submitted the appellant has been denied the benefit of important witness evidence on an erroneous basis.</w:t>
      </w:r>
    </w:p>
    <w:p w14:paraId="6460A849" w14:textId="6B24EAC8" w:rsidR="00487BD7" w:rsidRDefault="00487BD7" w:rsidP="00461A0D">
      <w:pPr>
        <w:ind w:left="1701"/>
        <w:jc w:val="both"/>
        <w:rPr>
          <w:rFonts w:ascii="Book Antiqua" w:hAnsi="Book Antiqua" w:cs="Arial"/>
          <w:sz w:val="20"/>
          <w:szCs w:val="20"/>
        </w:rPr>
      </w:pPr>
    </w:p>
    <w:p w14:paraId="024FFAF0" w14:textId="3CEC884E" w:rsidR="00487BD7" w:rsidRPr="00745005" w:rsidRDefault="00487BD7" w:rsidP="00EB42B4">
      <w:pPr>
        <w:ind w:left="2265" w:hanging="564"/>
        <w:jc w:val="both"/>
        <w:rPr>
          <w:rFonts w:ascii="Book Antiqua" w:hAnsi="Book Antiqua" w:cs="Arial"/>
          <w:sz w:val="20"/>
          <w:szCs w:val="20"/>
        </w:rPr>
      </w:pPr>
      <w:r>
        <w:rPr>
          <w:rFonts w:ascii="Book Antiqua" w:hAnsi="Book Antiqua" w:cs="Arial"/>
          <w:sz w:val="20"/>
          <w:szCs w:val="20"/>
        </w:rPr>
        <w:t xml:space="preserve">10. </w:t>
      </w:r>
      <w:r w:rsidR="00EB42B4">
        <w:rPr>
          <w:rFonts w:ascii="Book Antiqua" w:hAnsi="Book Antiqua" w:cs="Arial"/>
          <w:sz w:val="20"/>
          <w:szCs w:val="20"/>
        </w:rPr>
        <w:tab/>
      </w:r>
      <w:r>
        <w:rPr>
          <w:rFonts w:ascii="Book Antiqua" w:hAnsi="Book Antiqua" w:cs="Arial"/>
          <w:sz w:val="20"/>
          <w:szCs w:val="20"/>
        </w:rPr>
        <w:t xml:space="preserve">As set out in the grounds of appeal it cannot be said that somehow the Judge’s other findings mitigate his failure to properly </w:t>
      </w:r>
      <w:proofErr w:type="gramStart"/>
      <w:r>
        <w:rPr>
          <w:rFonts w:ascii="Book Antiqua" w:hAnsi="Book Antiqua" w:cs="Arial"/>
          <w:sz w:val="20"/>
          <w:szCs w:val="20"/>
        </w:rPr>
        <w:t>take into account</w:t>
      </w:r>
      <w:proofErr w:type="gramEnd"/>
      <w:r>
        <w:rPr>
          <w:rFonts w:ascii="Book Antiqua" w:hAnsi="Book Antiqua" w:cs="Arial"/>
          <w:sz w:val="20"/>
          <w:szCs w:val="20"/>
        </w:rPr>
        <w:t xml:space="preserve"> the above-mentioned witness evidence</w:t>
      </w:r>
      <w:r w:rsidR="00FE3C91">
        <w:rPr>
          <w:rFonts w:ascii="Book Antiqua" w:hAnsi="Book Antiqua" w:cs="Arial"/>
          <w:sz w:val="20"/>
          <w:szCs w:val="20"/>
        </w:rPr>
        <w:t xml:space="preserve"> as if he had taken that evidence into account, particularly as first blush he found the witness evidence credible, it may well have less than the negative effect of his other findings.</w:t>
      </w:r>
    </w:p>
    <w:p w14:paraId="6F680A70" w14:textId="446E3BAA" w:rsidR="00745005" w:rsidRDefault="00745005" w:rsidP="00EB42B4">
      <w:pPr>
        <w:ind w:left="1080"/>
        <w:jc w:val="both"/>
        <w:rPr>
          <w:rFonts w:ascii="Book Antiqua" w:hAnsi="Book Antiqua" w:cs="Arial"/>
        </w:rPr>
      </w:pPr>
    </w:p>
    <w:p w14:paraId="79175520" w14:textId="77777777" w:rsidR="007F507E" w:rsidRDefault="00B81301" w:rsidP="00461A0D">
      <w:pPr>
        <w:numPr>
          <w:ilvl w:val="0"/>
          <w:numId w:val="3"/>
        </w:numPr>
        <w:jc w:val="both"/>
        <w:rPr>
          <w:rFonts w:ascii="Book Antiqua" w:hAnsi="Book Antiqua" w:cs="Arial"/>
        </w:rPr>
      </w:pPr>
      <w:r>
        <w:rPr>
          <w:rFonts w:ascii="Book Antiqua" w:hAnsi="Book Antiqua" w:cs="Arial"/>
        </w:rPr>
        <w:t>The Secretary of State has filed a Rule 24 response dated 4 June 2020</w:t>
      </w:r>
      <w:r w:rsidR="007F507E">
        <w:rPr>
          <w:rFonts w:ascii="Book Antiqua" w:hAnsi="Book Antiqua" w:cs="Arial"/>
        </w:rPr>
        <w:t xml:space="preserve"> in which it is asserted:</w:t>
      </w:r>
    </w:p>
    <w:p w14:paraId="5879397E" w14:textId="5EB0DC19" w:rsidR="00745005" w:rsidRDefault="00745005" w:rsidP="00461A0D">
      <w:pPr>
        <w:ind w:left="1080"/>
        <w:jc w:val="both"/>
        <w:rPr>
          <w:rFonts w:ascii="Book Antiqua" w:hAnsi="Book Antiqua" w:cs="Arial"/>
        </w:rPr>
      </w:pPr>
    </w:p>
    <w:p w14:paraId="41F88838" w14:textId="65291F5E" w:rsidR="007F507E" w:rsidRDefault="007F507E" w:rsidP="00EB42B4">
      <w:pPr>
        <w:ind w:left="2265" w:hanging="564"/>
        <w:jc w:val="both"/>
        <w:rPr>
          <w:rFonts w:ascii="Book Antiqua" w:hAnsi="Book Antiqua" w:cs="Arial"/>
          <w:sz w:val="20"/>
          <w:szCs w:val="20"/>
        </w:rPr>
      </w:pPr>
      <w:r>
        <w:rPr>
          <w:rFonts w:ascii="Book Antiqua" w:hAnsi="Book Antiqua" w:cs="Arial"/>
          <w:sz w:val="20"/>
          <w:szCs w:val="20"/>
        </w:rPr>
        <w:t xml:space="preserve">2. </w:t>
      </w:r>
      <w:r w:rsidR="00EB42B4">
        <w:rPr>
          <w:rFonts w:ascii="Book Antiqua" w:hAnsi="Book Antiqua" w:cs="Arial"/>
          <w:sz w:val="20"/>
          <w:szCs w:val="20"/>
        </w:rPr>
        <w:tab/>
      </w:r>
      <w:r>
        <w:rPr>
          <w:rFonts w:ascii="Book Antiqua" w:hAnsi="Book Antiqua" w:cs="Arial"/>
          <w:sz w:val="20"/>
          <w:szCs w:val="20"/>
        </w:rPr>
        <w:t>In response to the directions sent 12 May 2020,</w:t>
      </w:r>
      <w:r w:rsidR="00215578">
        <w:rPr>
          <w:rFonts w:ascii="Book Antiqua" w:hAnsi="Book Antiqua" w:cs="Arial"/>
          <w:sz w:val="20"/>
          <w:szCs w:val="20"/>
        </w:rPr>
        <w:t xml:space="preserve"> the SSHD opposes the appeal of the appellant and submits that the First-Tier Tribunal Judge (FTTJ) directed himself appropriately. In drafting this </w:t>
      </w:r>
      <w:proofErr w:type="gramStart"/>
      <w:r w:rsidR="00215578">
        <w:rPr>
          <w:rFonts w:ascii="Book Antiqua" w:hAnsi="Book Antiqua" w:cs="Arial"/>
          <w:sz w:val="20"/>
          <w:szCs w:val="20"/>
        </w:rPr>
        <w:t>response</w:t>
      </w:r>
      <w:proofErr w:type="gramEnd"/>
      <w:r w:rsidR="00215578">
        <w:rPr>
          <w:rFonts w:ascii="Book Antiqua" w:hAnsi="Book Antiqua" w:cs="Arial"/>
          <w:sz w:val="20"/>
          <w:szCs w:val="20"/>
        </w:rPr>
        <w:t xml:space="preserve"> the SSHD</w:t>
      </w:r>
      <w:r w:rsidR="00AE7348">
        <w:rPr>
          <w:rFonts w:ascii="Book Antiqua" w:hAnsi="Book Antiqua" w:cs="Arial"/>
          <w:sz w:val="20"/>
          <w:szCs w:val="20"/>
        </w:rPr>
        <w:t xml:space="preserve"> has not received any further representations from the representatives.</w:t>
      </w:r>
    </w:p>
    <w:p w14:paraId="46917CE3" w14:textId="5670D925" w:rsidR="00AE7348" w:rsidRDefault="00AE7348" w:rsidP="00461A0D">
      <w:pPr>
        <w:ind w:left="1701"/>
        <w:jc w:val="both"/>
        <w:rPr>
          <w:rFonts w:ascii="Book Antiqua" w:hAnsi="Book Antiqua" w:cs="Arial"/>
          <w:sz w:val="20"/>
          <w:szCs w:val="20"/>
        </w:rPr>
      </w:pPr>
    </w:p>
    <w:p w14:paraId="424741A0" w14:textId="533AD5A7" w:rsidR="00AE7348" w:rsidRDefault="00AE7348" w:rsidP="00EB42B4">
      <w:pPr>
        <w:ind w:left="2265" w:hanging="564"/>
        <w:jc w:val="both"/>
        <w:rPr>
          <w:rFonts w:ascii="Book Antiqua" w:hAnsi="Book Antiqua" w:cs="Arial"/>
          <w:sz w:val="20"/>
          <w:szCs w:val="20"/>
        </w:rPr>
      </w:pPr>
      <w:r>
        <w:rPr>
          <w:rFonts w:ascii="Book Antiqua" w:hAnsi="Book Antiqua" w:cs="Arial"/>
          <w:sz w:val="20"/>
          <w:szCs w:val="20"/>
        </w:rPr>
        <w:t xml:space="preserve">3. </w:t>
      </w:r>
      <w:r w:rsidR="00EB42B4">
        <w:rPr>
          <w:rFonts w:ascii="Book Antiqua" w:hAnsi="Book Antiqua" w:cs="Arial"/>
          <w:sz w:val="20"/>
          <w:szCs w:val="20"/>
        </w:rPr>
        <w:tab/>
      </w:r>
      <w:r>
        <w:rPr>
          <w:rFonts w:ascii="Book Antiqua" w:hAnsi="Book Antiqua" w:cs="Arial"/>
          <w:sz w:val="20"/>
          <w:szCs w:val="20"/>
        </w:rPr>
        <w:t xml:space="preserve">It is noted that in granting permission the grounds are limited to that relating to the witness evidence [47] and </w:t>
      </w:r>
      <w:proofErr w:type="gramStart"/>
      <w:r>
        <w:rPr>
          <w:rFonts w:ascii="Book Antiqua" w:hAnsi="Book Antiqua" w:cs="Arial"/>
          <w:sz w:val="20"/>
          <w:szCs w:val="20"/>
        </w:rPr>
        <w:t>as a consequence</w:t>
      </w:r>
      <w:proofErr w:type="gramEnd"/>
      <w:r>
        <w:rPr>
          <w:rFonts w:ascii="Book Antiqua" w:hAnsi="Book Antiqua" w:cs="Arial"/>
          <w:sz w:val="20"/>
          <w:szCs w:val="20"/>
        </w:rPr>
        <w:t xml:space="preserve"> the overall proportionality assessment due to the inadequacy of reasons.</w:t>
      </w:r>
    </w:p>
    <w:p w14:paraId="37902545" w14:textId="2FF28CED" w:rsidR="00AE7348" w:rsidRDefault="00AE7348" w:rsidP="00461A0D">
      <w:pPr>
        <w:ind w:left="1701"/>
        <w:jc w:val="both"/>
        <w:rPr>
          <w:rFonts w:ascii="Book Antiqua" w:hAnsi="Book Antiqua" w:cs="Arial"/>
          <w:sz w:val="20"/>
          <w:szCs w:val="20"/>
        </w:rPr>
      </w:pPr>
    </w:p>
    <w:p w14:paraId="0715372B" w14:textId="29505CAA" w:rsidR="00AE7348" w:rsidRDefault="00AE7348" w:rsidP="00430CF3">
      <w:pPr>
        <w:ind w:left="2265" w:hanging="564"/>
        <w:jc w:val="both"/>
        <w:rPr>
          <w:rFonts w:ascii="Book Antiqua" w:hAnsi="Book Antiqua" w:cs="Arial"/>
          <w:sz w:val="20"/>
          <w:szCs w:val="20"/>
        </w:rPr>
      </w:pPr>
      <w:r>
        <w:rPr>
          <w:rFonts w:ascii="Book Antiqua" w:hAnsi="Book Antiqua" w:cs="Arial"/>
          <w:sz w:val="20"/>
          <w:szCs w:val="20"/>
        </w:rPr>
        <w:t xml:space="preserve">4. </w:t>
      </w:r>
      <w:r w:rsidR="00EB42B4">
        <w:rPr>
          <w:rFonts w:ascii="Book Antiqua" w:hAnsi="Book Antiqua" w:cs="Arial"/>
          <w:sz w:val="20"/>
          <w:szCs w:val="20"/>
        </w:rPr>
        <w:tab/>
      </w:r>
      <w:r w:rsidR="00AF79F3">
        <w:rPr>
          <w:rFonts w:ascii="Book Antiqua" w:hAnsi="Book Antiqua" w:cs="Arial"/>
          <w:sz w:val="20"/>
          <w:szCs w:val="20"/>
        </w:rPr>
        <w:t xml:space="preserve">The FTTJ identifies a series of </w:t>
      </w:r>
      <w:r w:rsidR="00430CF3">
        <w:rPr>
          <w:rFonts w:ascii="Book Antiqua" w:hAnsi="Book Antiqua" w:cs="Arial"/>
          <w:sz w:val="20"/>
          <w:szCs w:val="20"/>
        </w:rPr>
        <w:t>o</w:t>
      </w:r>
      <w:r w:rsidR="00AF79F3">
        <w:rPr>
          <w:rFonts w:ascii="Book Antiqua" w:hAnsi="Book Antiqua" w:cs="Arial"/>
          <w:sz w:val="20"/>
          <w:szCs w:val="20"/>
        </w:rPr>
        <w:t>missions where evidence could have been provided at [34] and a series of inconsistencies in the evidence of the appellant and his wife</w:t>
      </w:r>
      <w:r w:rsidR="00146A8D">
        <w:rPr>
          <w:rFonts w:ascii="Book Antiqua" w:hAnsi="Book Antiqua" w:cs="Arial"/>
          <w:sz w:val="20"/>
          <w:szCs w:val="20"/>
        </w:rPr>
        <w:t xml:space="preserve"> at [35]. These are in effect unchallenged findings. </w:t>
      </w:r>
      <w:proofErr w:type="gramStart"/>
      <w:r w:rsidR="00146A8D">
        <w:rPr>
          <w:rFonts w:ascii="Book Antiqua" w:hAnsi="Book Antiqua" w:cs="Arial"/>
          <w:sz w:val="20"/>
          <w:szCs w:val="20"/>
        </w:rPr>
        <w:t>Likewise</w:t>
      </w:r>
      <w:proofErr w:type="gramEnd"/>
      <w:r w:rsidR="00146A8D">
        <w:rPr>
          <w:rFonts w:ascii="Book Antiqua" w:hAnsi="Book Antiqua" w:cs="Arial"/>
          <w:sz w:val="20"/>
          <w:szCs w:val="20"/>
        </w:rPr>
        <w:t xml:space="preserve"> it was open to the FTTJ to reject the attempted explanations for these inconsistencies</w:t>
      </w:r>
      <w:r w:rsidR="00AF79F3">
        <w:rPr>
          <w:rFonts w:ascii="Book Antiqua" w:hAnsi="Book Antiqua" w:cs="Arial"/>
          <w:sz w:val="20"/>
          <w:szCs w:val="20"/>
        </w:rPr>
        <w:t xml:space="preserve"> </w:t>
      </w:r>
      <w:r w:rsidR="00345BF1">
        <w:rPr>
          <w:rFonts w:ascii="Book Antiqua" w:hAnsi="Book Antiqua" w:cs="Arial"/>
          <w:sz w:val="20"/>
          <w:szCs w:val="20"/>
        </w:rPr>
        <w:t>at [37 – 42] again these findings are unchallenged. Nor is there challenge to the observations at [44] in relation to documentary evidence relied upon.</w:t>
      </w:r>
      <w:r w:rsidR="00C02975">
        <w:rPr>
          <w:rFonts w:ascii="Book Antiqua" w:hAnsi="Book Antiqua" w:cs="Arial"/>
          <w:sz w:val="20"/>
          <w:szCs w:val="20"/>
        </w:rPr>
        <w:t xml:space="preserve"> This forms the background and core of the assessment as to whether the relationship is genuine or not, which is accepted as the key issue in the appeal [29–30] </w:t>
      </w:r>
      <w:r w:rsidR="00B4417A">
        <w:rPr>
          <w:rFonts w:ascii="Book Antiqua" w:hAnsi="Book Antiqua" w:cs="Arial"/>
          <w:sz w:val="20"/>
          <w:szCs w:val="20"/>
        </w:rPr>
        <w:t>and para 2 of the grounds.</w:t>
      </w:r>
    </w:p>
    <w:p w14:paraId="09B2BE25" w14:textId="29353CFA" w:rsidR="00B4417A" w:rsidRDefault="00B4417A" w:rsidP="00461A0D">
      <w:pPr>
        <w:ind w:left="1701"/>
        <w:jc w:val="both"/>
        <w:rPr>
          <w:rFonts w:ascii="Book Antiqua" w:hAnsi="Book Antiqua" w:cs="Arial"/>
          <w:sz w:val="20"/>
          <w:szCs w:val="20"/>
        </w:rPr>
      </w:pPr>
    </w:p>
    <w:p w14:paraId="7A710AC0" w14:textId="570E110A" w:rsidR="00B4417A" w:rsidRDefault="00B4417A" w:rsidP="00430CF3">
      <w:pPr>
        <w:ind w:left="2265" w:hanging="564"/>
        <w:jc w:val="both"/>
        <w:rPr>
          <w:rFonts w:ascii="Book Antiqua" w:hAnsi="Book Antiqua" w:cs="Arial"/>
          <w:sz w:val="20"/>
          <w:szCs w:val="20"/>
        </w:rPr>
      </w:pPr>
      <w:r>
        <w:rPr>
          <w:rFonts w:ascii="Book Antiqua" w:hAnsi="Book Antiqua" w:cs="Arial"/>
          <w:sz w:val="20"/>
          <w:szCs w:val="20"/>
        </w:rPr>
        <w:t xml:space="preserve">5. </w:t>
      </w:r>
      <w:r w:rsidR="00430CF3">
        <w:rPr>
          <w:rFonts w:ascii="Book Antiqua" w:hAnsi="Book Antiqua" w:cs="Arial"/>
          <w:sz w:val="20"/>
          <w:szCs w:val="20"/>
        </w:rPr>
        <w:tab/>
      </w:r>
      <w:r>
        <w:rPr>
          <w:rFonts w:ascii="Book Antiqua" w:hAnsi="Book Antiqua" w:cs="Arial"/>
          <w:sz w:val="20"/>
          <w:szCs w:val="20"/>
        </w:rPr>
        <w:t xml:space="preserve">In addressing the witness evidence at [45 – 47] the FTTJ </w:t>
      </w:r>
      <w:r w:rsidR="00E473EC">
        <w:rPr>
          <w:rFonts w:ascii="Book Antiqua" w:hAnsi="Book Antiqua" w:cs="Arial"/>
          <w:sz w:val="20"/>
          <w:szCs w:val="20"/>
        </w:rPr>
        <w:t>was entitled to note that it was limited</w:t>
      </w:r>
      <w:r w:rsidR="00251FE0">
        <w:rPr>
          <w:rFonts w:ascii="Book Antiqua" w:hAnsi="Book Antiqua" w:cs="Arial"/>
          <w:sz w:val="20"/>
          <w:szCs w:val="20"/>
        </w:rPr>
        <w:t xml:space="preserve"> </w:t>
      </w:r>
      <w:proofErr w:type="gramStart"/>
      <w:r>
        <w:rPr>
          <w:rFonts w:ascii="Book Antiqua" w:hAnsi="Book Antiqua" w:cs="Arial"/>
          <w:sz w:val="20"/>
          <w:szCs w:val="20"/>
        </w:rPr>
        <w:t>by virtue of the fact that</w:t>
      </w:r>
      <w:proofErr w:type="gramEnd"/>
      <w:r>
        <w:rPr>
          <w:rFonts w:ascii="Book Antiqua" w:hAnsi="Book Antiqua" w:cs="Arial"/>
          <w:sz w:val="20"/>
          <w:szCs w:val="20"/>
        </w:rPr>
        <w:t xml:space="preserve"> the witnesses did not see the appellant and his wife on a daily basis.</w:t>
      </w:r>
      <w:r w:rsidR="00CC5AFF">
        <w:rPr>
          <w:rFonts w:ascii="Book Antiqua" w:hAnsi="Book Antiqua" w:cs="Arial"/>
          <w:sz w:val="20"/>
          <w:szCs w:val="20"/>
        </w:rPr>
        <w:t xml:space="preserve"> It was also open to the FTTJ t</w:t>
      </w:r>
      <w:r w:rsidR="00251FE0">
        <w:rPr>
          <w:rFonts w:ascii="Book Antiqua" w:hAnsi="Book Antiqua" w:cs="Arial"/>
          <w:sz w:val="20"/>
          <w:szCs w:val="20"/>
        </w:rPr>
        <w:t xml:space="preserve">o </w:t>
      </w:r>
      <w:r w:rsidR="00CC5AFF">
        <w:rPr>
          <w:rFonts w:ascii="Book Antiqua" w:hAnsi="Book Antiqua" w:cs="Arial"/>
          <w:sz w:val="20"/>
          <w:szCs w:val="20"/>
        </w:rPr>
        <w:t>note that there was an absence of supportive evidence from the church to support the claim that is how they know the appellant and wife. It stands to reason that if the assessment conducted in the round</w:t>
      </w:r>
      <w:r w:rsidR="00813FEE">
        <w:rPr>
          <w:rFonts w:ascii="Book Antiqua" w:hAnsi="Book Antiqua" w:cs="Arial"/>
          <w:sz w:val="20"/>
          <w:szCs w:val="20"/>
        </w:rPr>
        <w:t xml:space="preserve"> as per </w:t>
      </w:r>
      <w:r w:rsidR="00C522B1">
        <w:rPr>
          <w:rFonts w:ascii="Book Antiqua" w:hAnsi="Book Antiqua" w:cs="Arial"/>
          <w:sz w:val="20"/>
          <w:szCs w:val="20"/>
        </w:rPr>
        <w:t>[</w:t>
      </w:r>
      <w:r w:rsidR="00813FEE">
        <w:rPr>
          <w:rFonts w:ascii="Book Antiqua" w:hAnsi="Book Antiqua" w:cs="Arial"/>
          <w:sz w:val="20"/>
          <w:szCs w:val="20"/>
        </w:rPr>
        <w:t>50</w:t>
      </w:r>
      <w:r w:rsidR="00C522B1">
        <w:rPr>
          <w:rFonts w:ascii="Book Antiqua" w:hAnsi="Book Antiqua" w:cs="Arial"/>
          <w:sz w:val="20"/>
          <w:szCs w:val="20"/>
        </w:rPr>
        <w:t xml:space="preserve">] results in a conclusion that the relationship between the appellant and wife is not genuine, then either the witnesses were not truthful </w:t>
      </w:r>
      <w:r w:rsidR="00813FEE">
        <w:rPr>
          <w:rFonts w:ascii="Book Antiqua" w:hAnsi="Book Antiqua" w:cs="Arial"/>
          <w:sz w:val="20"/>
          <w:szCs w:val="20"/>
        </w:rPr>
        <w:t xml:space="preserve">or </w:t>
      </w:r>
      <w:r w:rsidR="00C522B1">
        <w:rPr>
          <w:rFonts w:ascii="Book Antiqua" w:hAnsi="Book Antiqua" w:cs="Arial"/>
          <w:sz w:val="20"/>
          <w:szCs w:val="20"/>
        </w:rPr>
        <w:t>were being misled. That much is set out at the end of [45] where the FTTJ</w:t>
      </w:r>
      <w:r w:rsidR="00421180">
        <w:rPr>
          <w:rFonts w:ascii="Book Antiqua" w:hAnsi="Book Antiqua" w:cs="Arial"/>
          <w:sz w:val="20"/>
          <w:szCs w:val="20"/>
        </w:rPr>
        <w:t xml:space="preserve"> notes that a person in a persistent attempt to remain in the UK could put up a ‘good front’ to convince others of his circumstances. In describing the appellant as the ‘primary source’ </w:t>
      </w:r>
      <w:r w:rsidR="0077399B">
        <w:rPr>
          <w:rFonts w:ascii="Book Antiqua" w:hAnsi="Book Antiqua" w:cs="Arial"/>
          <w:sz w:val="20"/>
          <w:szCs w:val="20"/>
        </w:rPr>
        <w:t>of information to the witnesses, it is plain and obvious that any observations of the appellant’s relationship were of what could be described as a ‘front’.</w:t>
      </w:r>
    </w:p>
    <w:p w14:paraId="141D883A" w14:textId="4BFFCD4C" w:rsidR="0077399B" w:rsidRDefault="0077399B" w:rsidP="00461A0D">
      <w:pPr>
        <w:ind w:left="1701"/>
        <w:jc w:val="both"/>
        <w:rPr>
          <w:rFonts w:ascii="Book Antiqua" w:hAnsi="Book Antiqua" w:cs="Arial"/>
          <w:sz w:val="20"/>
          <w:szCs w:val="20"/>
        </w:rPr>
      </w:pPr>
    </w:p>
    <w:p w14:paraId="2F73A73D" w14:textId="67D4D755" w:rsidR="0077399B" w:rsidRPr="007F507E" w:rsidRDefault="0077399B" w:rsidP="00AC05DC">
      <w:pPr>
        <w:ind w:left="2265" w:hanging="564"/>
        <w:jc w:val="both"/>
        <w:rPr>
          <w:rFonts w:ascii="Book Antiqua" w:hAnsi="Book Antiqua" w:cs="Arial"/>
          <w:sz w:val="20"/>
          <w:szCs w:val="20"/>
        </w:rPr>
      </w:pPr>
      <w:r>
        <w:rPr>
          <w:rFonts w:ascii="Book Antiqua" w:hAnsi="Book Antiqua" w:cs="Arial"/>
          <w:sz w:val="20"/>
          <w:szCs w:val="20"/>
        </w:rPr>
        <w:lastRenderedPageBreak/>
        <w:t xml:space="preserve">6. </w:t>
      </w:r>
      <w:r w:rsidR="008723AA">
        <w:rPr>
          <w:rFonts w:ascii="Book Antiqua" w:hAnsi="Book Antiqua" w:cs="Arial"/>
          <w:sz w:val="20"/>
          <w:szCs w:val="20"/>
        </w:rPr>
        <w:tab/>
      </w:r>
      <w:r w:rsidR="00C811B2">
        <w:rPr>
          <w:rFonts w:ascii="Book Antiqua" w:hAnsi="Book Antiqua" w:cs="Arial"/>
          <w:sz w:val="20"/>
          <w:szCs w:val="20"/>
        </w:rPr>
        <w:t>It is submitted that the background and core unchallenged findings made in terms of the evidence of the appellant and wife provide clear reasons for rejecting the relationship. This in conjunction with the limitations identified by the FTTJ set out why the FTTJ</w:t>
      </w:r>
      <w:r w:rsidR="0046118E">
        <w:rPr>
          <w:rFonts w:ascii="Book Antiqua" w:hAnsi="Book Antiqua" w:cs="Arial"/>
          <w:sz w:val="20"/>
          <w:szCs w:val="20"/>
        </w:rPr>
        <w:t xml:space="preserve"> found the witness evidence to be of limited assistance. Rather the determination should be read </w:t>
      </w:r>
      <w:proofErr w:type="gramStart"/>
      <w:r w:rsidR="0046118E">
        <w:rPr>
          <w:rFonts w:ascii="Book Antiqua" w:hAnsi="Book Antiqua" w:cs="Arial"/>
          <w:sz w:val="20"/>
          <w:szCs w:val="20"/>
        </w:rPr>
        <w:t>as a whole given</w:t>
      </w:r>
      <w:proofErr w:type="gramEnd"/>
      <w:r w:rsidR="0046118E">
        <w:rPr>
          <w:rFonts w:ascii="Book Antiqua" w:hAnsi="Book Antiqua" w:cs="Arial"/>
          <w:sz w:val="20"/>
          <w:szCs w:val="20"/>
        </w:rPr>
        <w:t xml:space="preserve"> it provides a number of clear and cogent reasons for rejecting the relationship. Given the relationship is rejected, a proportionality assessment of family life is not material or relevant.</w:t>
      </w:r>
      <w:r w:rsidR="008816AF">
        <w:rPr>
          <w:rFonts w:ascii="Book Antiqua" w:hAnsi="Book Antiqua" w:cs="Arial"/>
          <w:sz w:val="20"/>
          <w:szCs w:val="20"/>
        </w:rPr>
        <w:t xml:space="preserve"> It is submitted that the grounds do not disclose material error of law and amount to no more than disagreement.</w:t>
      </w:r>
    </w:p>
    <w:p w14:paraId="7DB5BF87" w14:textId="00F26DCF" w:rsidR="00FD1BDB" w:rsidRDefault="00FD1BDB" w:rsidP="00AC05DC">
      <w:pPr>
        <w:ind w:left="1080"/>
        <w:jc w:val="both"/>
        <w:rPr>
          <w:rFonts w:ascii="Book Antiqua" w:hAnsi="Book Antiqua" w:cs="Arial"/>
        </w:rPr>
      </w:pPr>
    </w:p>
    <w:p w14:paraId="47CBC6C5" w14:textId="2B4CFD82" w:rsidR="00D32B8A" w:rsidRPr="00D32B8A" w:rsidRDefault="008816AF" w:rsidP="00461A0D">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14:paraId="6F954370" w14:textId="77777777" w:rsidR="00D32B8A" w:rsidRPr="00D32B8A" w:rsidRDefault="00D32B8A" w:rsidP="00461A0D">
      <w:pPr>
        <w:jc w:val="both"/>
        <w:rPr>
          <w:rFonts w:ascii="Book Antiqua" w:hAnsi="Book Antiqua" w:cs="Arial"/>
          <w:b/>
          <w:bCs/>
          <w:u w:val="single"/>
        </w:rPr>
      </w:pPr>
    </w:p>
    <w:p w14:paraId="4C4911A7" w14:textId="6E17691A" w:rsidR="00D32B8A" w:rsidRDefault="00213399" w:rsidP="00461A0D">
      <w:pPr>
        <w:numPr>
          <w:ilvl w:val="0"/>
          <w:numId w:val="3"/>
        </w:numPr>
        <w:jc w:val="both"/>
        <w:rPr>
          <w:rFonts w:ascii="Book Antiqua" w:hAnsi="Book Antiqua" w:cs="Arial"/>
        </w:rPr>
      </w:pPr>
      <w:r>
        <w:rPr>
          <w:rFonts w:ascii="Book Antiqua" w:hAnsi="Book Antiqua" w:cs="Arial"/>
        </w:rPr>
        <w:t xml:space="preserve">It is not disputed by any party that there is a legal obligation upon a decision-maker to consider the evidence made available with the required degree of anxious scrutiny and that </w:t>
      </w:r>
      <w:r w:rsidR="00D87261">
        <w:rPr>
          <w:rFonts w:ascii="Book Antiqua" w:hAnsi="Book Antiqua" w:cs="Arial"/>
        </w:rPr>
        <w:t xml:space="preserve">a </w:t>
      </w:r>
      <w:r>
        <w:rPr>
          <w:rFonts w:ascii="Book Antiqua" w:hAnsi="Book Antiqua" w:cs="Arial"/>
        </w:rPr>
        <w:t>Judge, in addition to making findings of fact</w:t>
      </w:r>
      <w:r w:rsidR="00D87261">
        <w:rPr>
          <w:rFonts w:ascii="Book Antiqua" w:hAnsi="Book Antiqua" w:cs="Arial"/>
        </w:rPr>
        <w:t>,</w:t>
      </w:r>
      <w:r>
        <w:rPr>
          <w:rFonts w:ascii="Book Antiqua" w:hAnsi="Book Antiqua" w:cs="Arial"/>
        </w:rPr>
        <w:t xml:space="preserve"> provides adequate reasons for why such findings have been made to enable a reader of the decision to understand the basis on which they either won or lost</w:t>
      </w:r>
      <w:r w:rsidR="001C459A">
        <w:rPr>
          <w:rFonts w:ascii="Book Antiqua" w:hAnsi="Book Antiqua" w:cs="Arial"/>
        </w:rPr>
        <w:t xml:space="preserve"> the appeal.</w:t>
      </w:r>
    </w:p>
    <w:p w14:paraId="3D5A9654" w14:textId="09578932" w:rsidR="006975FA" w:rsidRDefault="005D44F8" w:rsidP="00461A0D">
      <w:pPr>
        <w:numPr>
          <w:ilvl w:val="0"/>
          <w:numId w:val="3"/>
        </w:numPr>
        <w:jc w:val="both"/>
        <w:rPr>
          <w:rFonts w:ascii="Book Antiqua" w:hAnsi="Book Antiqua" w:cs="Arial"/>
        </w:rPr>
      </w:pPr>
      <w:r>
        <w:rPr>
          <w:rFonts w:ascii="Book Antiqua" w:hAnsi="Book Antiqua" w:cs="Arial"/>
        </w:rPr>
        <w:t>The Judge was aware the appellant had a previous appeal and there is within the First-tier Tribunal file a</w:t>
      </w:r>
      <w:r w:rsidR="00020328">
        <w:rPr>
          <w:rFonts w:ascii="Book Antiqua" w:hAnsi="Book Antiqua" w:cs="Arial"/>
        </w:rPr>
        <w:t xml:space="preserve">n earlier </w:t>
      </w:r>
      <w:r>
        <w:rPr>
          <w:rFonts w:ascii="Book Antiqua" w:hAnsi="Book Antiqua" w:cs="Arial"/>
        </w:rPr>
        <w:t>decision of First-</w:t>
      </w:r>
      <w:r w:rsidR="00020328">
        <w:rPr>
          <w:rFonts w:ascii="Book Antiqua" w:hAnsi="Book Antiqua" w:cs="Arial"/>
        </w:rPr>
        <w:t>t</w:t>
      </w:r>
      <w:r>
        <w:rPr>
          <w:rFonts w:ascii="Book Antiqua" w:hAnsi="Book Antiqua" w:cs="Arial"/>
        </w:rPr>
        <w:t>ier Tribunal Judge Shergill promulgated on 14 March 2018</w:t>
      </w:r>
      <w:r w:rsidR="0036640D">
        <w:rPr>
          <w:rFonts w:ascii="Book Antiqua" w:hAnsi="Book Antiqua" w:cs="Arial"/>
        </w:rPr>
        <w:t xml:space="preserve"> which dismissed the appellant’s asylum and human rights claim. Within that determination Judge </w:t>
      </w:r>
      <w:r w:rsidR="00020328">
        <w:rPr>
          <w:rFonts w:ascii="Book Antiqua" w:hAnsi="Book Antiqua" w:cs="Arial"/>
        </w:rPr>
        <w:t xml:space="preserve">Shergill found </w:t>
      </w:r>
      <w:r w:rsidR="0036640D">
        <w:rPr>
          <w:rFonts w:ascii="Book Antiqua" w:hAnsi="Book Antiqua" w:cs="Arial"/>
        </w:rPr>
        <w:t>the appellant’s entire account was highly implausible</w:t>
      </w:r>
      <w:r w:rsidR="00611798">
        <w:rPr>
          <w:rFonts w:ascii="Book Antiqua" w:hAnsi="Book Antiqua" w:cs="Arial"/>
        </w:rPr>
        <w:t>. At [70] of th</w:t>
      </w:r>
      <w:r w:rsidR="00020328">
        <w:rPr>
          <w:rFonts w:ascii="Book Antiqua" w:hAnsi="Book Antiqua" w:cs="Arial"/>
        </w:rPr>
        <w:t>e</w:t>
      </w:r>
      <w:r w:rsidR="00611798">
        <w:rPr>
          <w:rFonts w:ascii="Book Antiqua" w:hAnsi="Book Antiqua" w:cs="Arial"/>
        </w:rPr>
        <w:t xml:space="preserve"> decision</w:t>
      </w:r>
      <w:r w:rsidR="006975FA">
        <w:rPr>
          <w:rFonts w:ascii="Book Antiqua" w:hAnsi="Book Antiqua" w:cs="Arial"/>
        </w:rPr>
        <w:t xml:space="preserve"> Judge Shergill wrote:</w:t>
      </w:r>
    </w:p>
    <w:p w14:paraId="05713C53" w14:textId="3DCBCE40" w:rsidR="001C459A" w:rsidRDefault="001C459A" w:rsidP="00461A0D">
      <w:pPr>
        <w:ind w:left="1080"/>
        <w:jc w:val="both"/>
        <w:rPr>
          <w:rFonts w:ascii="Book Antiqua" w:hAnsi="Book Antiqua" w:cs="Arial"/>
        </w:rPr>
      </w:pPr>
    </w:p>
    <w:p w14:paraId="5DAA2392" w14:textId="434896EA" w:rsidR="003E5DC0" w:rsidRDefault="006975FA" w:rsidP="002940F0">
      <w:pPr>
        <w:ind w:left="2265" w:hanging="564"/>
        <w:jc w:val="both"/>
        <w:rPr>
          <w:rFonts w:ascii="Book Antiqua" w:hAnsi="Book Antiqua" w:cs="Arial"/>
          <w:sz w:val="20"/>
          <w:szCs w:val="20"/>
        </w:rPr>
      </w:pPr>
      <w:r>
        <w:rPr>
          <w:rFonts w:ascii="Book Antiqua" w:hAnsi="Book Antiqua" w:cs="Arial"/>
          <w:sz w:val="20"/>
          <w:szCs w:val="20"/>
        </w:rPr>
        <w:t xml:space="preserve">70. </w:t>
      </w:r>
      <w:r w:rsidR="00020328">
        <w:rPr>
          <w:rFonts w:ascii="Book Antiqua" w:hAnsi="Book Antiqua" w:cs="Arial"/>
          <w:sz w:val="20"/>
          <w:szCs w:val="20"/>
        </w:rPr>
        <w:tab/>
      </w:r>
      <w:r>
        <w:rPr>
          <w:rFonts w:ascii="Book Antiqua" w:hAnsi="Book Antiqua" w:cs="Arial"/>
          <w:sz w:val="20"/>
          <w:szCs w:val="20"/>
        </w:rPr>
        <w:t>I have considered the benefit of the doubt and principles rising from case law.</w:t>
      </w:r>
      <w:r w:rsidR="00804D21">
        <w:rPr>
          <w:rFonts w:ascii="Book Antiqua" w:hAnsi="Book Antiqua" w:cs="Arial"/>
          <w:sz w:val="20"/>
          <w:szCs w:val="20"/>
        </w:rPr>
        <w:t xml:space="preserve"> Given the various discrepancies and inherent implausibility in the appellant’s claim when assessed at the lower standard the benefit of the doubt does not assist the appellant. He gave some detail in some areas but I formed the impression some key aspects were rehearsed.</w:t>
      </w:r>
      <w:r w:rsidR="00A637B7" w:rsidRPr="00A637B7">
        <w:t xml:space="preserve"> </w:t>
      </w:r>
      <w:r w:rsidR="00386CEC" w:rsidRPr="00386CEC">
        <w:rPr>
          <w:rFonts w:ascii="Book Antiqua" w:hAnsi="Book Antiqua"/>
          <w:sz w:val="20"/>
          <w:szCs w:val="20"/>
        </w:rPr>
        <w:t>In other areas</w:t>
      </w:r>
      <w:r w:rsidR="00386CEC">
        <w:rPr>
          <w:rFonts w:ascii="Book Antiqua" w:hAnsi="Book Antiqua"/>
          <w:sz w:val="20"/>
          <w:szCs w:val="20"/>
        </w:rPr>
        <w:t xml:space="preserve"> he was vague and </w:t>
      </w:r>
      <w:r w:rsidR="00A637B7" w:rsidRPr="00A637B7">
        <w:rPr>
          <w:rFonts w:ascii="Book Antiqua" w:hAnsi="Book Antiqua" w:cs="Arial"/>
          <w:sz w:val="20"/>
          <w:szCs w:val="20"/>
        </w:rPr>
        <w:t xml:space="preserve">inexplicably so </w:t>
      </w:r>
      <w:r w:rsidR="00386CEC">
        <w:rPr>
          <w:rFonts w:ascii="Book Antiqua" w:hAnsi="Book Antiqua" w:cs="Arial"/>
          <w:sz w:val="20"/>
          <w:szCs w:val="20"/>
        </w:rPr>
        <w:t xml:space="preserve">or brushed </w:t>
      </w:r>
      <w:r w:rsidR="00A637B7" w:rsidRPr="00A637B7">
        <w:rPr>
          <w:rFonts w:ascii="Book Antiqua" w:hAnsi="Book Antiqua" w:cs="Arial"/>
          <w:sz w:val="20"/>
          <w:szCs w:val="20"/>
        </w:rPr>
        <w:t xml:space="preserve">over. His account has remained broadly consistent in terms of the bare bones of the story but it is a relatively simple story that </w:t>
      </w:r>
      <w:r w:rsidR="009D7ADC">
        <w:rPr>
          <w:rFonts w:ascii="Book Antiqua" w:hAnsi="Book Antiqua" w:cs="Arial"/>
          <w:sz w:val="20"/>
          <w:szCs w:val="20"/>
        </w:rPr>
        <w:t xml:space="preserve">its </w:t>
      </w:r>
      <w:r w:rsidR="00A637B7" w:rsidRPr="00A637B7">
        <w:rPr>
          <w:rFonts w:ascii="Book Antiqua" w:hAnsi="Book Antiqua" w:cs="Arial"/>
          <w:sz w:val="20"/>
          <w:szCs w:val="20"/>
        </w:rPr>
        <w:t>heart.</w:t>
      </w:r>
      <w:r w:rsidR="009D7ADC">
        <w:rPr>
          <w:rFonts w:ascii="Book Antiqua" w:hAnsi="Book Antiqua" w:cs="Arial"/>
          <w:sz w:val="20"/>
          <w:szCs w:val="20"/>
        </w:rPr>
        <w:t xml:space="preserve">  There are other aspects which have mor</w:t>
      </w:r>
      <w:r w:rsidR="003E5DC0">
        <w:rPr>
          <w:rFonts w:ascii="Book Antiqua" w:hAnsi="Book Antiqua" w:cs="Arial"/>
          <w:sz w:val="20"/>
          <w:szCs w:val="20"/>
        </w:rPr>
        <w:t xml:space="preserve">phed or </w:t>
      </w:r>
      <w:r w:rsidR="009D7ADC">
        <w:rPr>
          <w:rFonts w:ascii="Book Antiqua" w:hAnsi="Book Antiqua" w:cs="Arial"/>
          <w:sz w:val="20"/>
          <w:szCs w:val="20"/>
        </w:rPr>
        <w:t>expanded.</w:t>
      </w:r>
      <w:r w:rsidR="003E5DC0">
        <w:rPr>
          <w:rFonts w:ascii="Book Antiqua" w:hAnsi="Book Antiqua" w:cs="Arial"/>
          <w:sz w:val="20"/>
          <w:szCs w:val="20"/>
        </w:rPr>
        <w:t xml:space="preserve"> When assessing </w:t>
      </w:r>
      <w:proofErr w:type="gramStart"/>
      <w:r w:rsidR="003E5DC0">
        <w:rPr>
          <w:rFonts w:ascii="Book Antiqua" w:hAnsi="Book Antiqua" w:cs="Arial"/>
          <w:sz w:val="20"/>
          <w:szCs w:val="20"/>
        </w:rPr>
        <w:t>all of</w:t>
      </w:r>
      <w:proofErr w:type="gramEnd"/>
      <w:r w:rsidR="003E5DC0">
        <w:rPr>
          <w:rFonts w:ascii="Book Antiqua" w:hAnsi="Book Antiqua" w:cs="Arial"/>
          <w:sz w:val="20"/>
          <w:szCs w:val="20"/>
        </w:rPr>
        <w:t xml:space="preserve"> the evidence in the round to the lower standard, I was not persuaded he was being truthful in his evidence.</w:t>
      </w:r>
    </w:p>
    <w:p w14:paraId="103D3632" w14:textId="0E48299E" w:rsidR="002454F1" w:rsidRDefault="002454F1" w:rsidP="002940F0">
      <w:pPr>
        <w:ind w:left="1701" w:firstLine="564"/>
        <w:jc w:val="both"/>
        <w:rPr>
          <w:rFonts w:ascii="Book Antiqua" w:hAnsi="Book Antiqua" w:cs="Arial"/>
          <w:sz w:val="20"/>
          <w:szCs w:val="20"/>
        </w:rPr>
      </w:pPr>
      <w:r>
        <w:rPr>
          <w:rFonts w:ascii="Book Antiqua" w:hAnsi="Book Antiqua" w:cs="Arial"/>
          <w:sz w:val="20"/>
          <w:szCs w:val="20"/>
        </w:rPr>
        <w:t>…..</w:t>
      </w:r>
    </w:p>
    <w:p w14:paraId="01713CBD" w14:textId="77777777" w:rsidR="002454F1" w:rsidRDefault="002454F1" w:rsidP="00461A0D">
      <w:pPr>
        <w:ind w:left="1701"/>
        <w:jc w:val="both"/>
        <w:rPr>
          <w:rFonts w:ascii="Book Antiqua" w:hAnsi="Book Antiqua" w:cs="Arial"/>
          <w:sz w:val="20"/>
          <w:szCs w:val="20"/>
        </w:rPr>
      </w:pPr>
    </w:p>
    <w:p w14:paraId="01E01A10" w14:textId="1FF2055F" w:rsidR="003518E9" w:rsidRDefault="002454F1" w:rsidP="002940F0">
      <w:pPr>
        <w:ind w:left="2265" w:hanging="564"/>
        <w:jc w:val="both"/>
        <w:rPr>
          <w:rFonts w:ascii="Book Antiqua" w:hAnsi="Book Antiqua" w:cs="Arial"/>
          <w:sz w:val="20"/>
          <w:szCs w:val="20"/>
        </w:rPr>
      </w:pPr>
      <w:r>
        <w:rPr>
          <w:rFonts w:ascii="Book Antiqua" w:hAnsi="Book Antiqua" w:cs="Arial"/>
          <w:sz w:val="20"/>
          <w:szCs w:val="20"/>
        </w:rPr>
        <w:t xml:space="preserve">72. </w:t>
      </w:r>
      <w:r w:rsidR="002940F0">
        <w:rPr>
          <w:rFonts w:ascii="Book Antiqua" w:hAnsi="Book Antiqua" w:cs="Arial"/>
          <w:sz w:val="20"/>
          <w:szCs w:val="20"/>
        </w:rPr>
        <w:tab/>
      </w:r>
      <w:r>
        <w:rPr>
          <w:rFonts w:ascii="Book Antiqua" w:hAnsi="Book Antiqua" w:cs="Arial"/>
          <w:sz w:val="20"/>
          <w:szCs w:val="20"/>
        </w:rPr>
        <w:t>For all these reasons, I have decided that the appellant has fabricated</w:t>
      </w:r>
      <w:r w:rsidR="005C5BF1">
        <w:rPr>
          <w:rFonts w:ascii="Book Antiqua" w:hAnsi="Book Antiqua" w:cs="Arial"/>
          <w:sz w:val="20"/>
          <w:szCs w:val="20"/>
        </w:rPr>
        <w:t xml:space="preserve"> the accounts </w:t>
      </w:r>
      <w:proofErr w:type="gramStart"/>
      <w:r w:rsidR="005C5BF1">
        <w:rPr>
          <w:rFonts w:ascii="Book Antiqua" w:hAnsi="Book Antiqua" w:cs="Arial"/>
          <w:sz w:val="20"/>
          <w:szCs w:val="20"/>
        </w:rPr>
        <w:t>in order to</w:t>
      </w:r>
      <w:proofErr w:type="gramEnd"/>
      <w:r w:rsidR="005C5BF1">
        <w:rPr>
          <w:rFonts w:ascii="Book Antiqua" w:hAnsi="Book Antiqua" w:cs="Arial"/>
          <w:sz w:val="20"/>
          <w:szCs w:val="20"/>
        </w:rPr>
        <w:t xml:space="preserve"> come to and to remain in the United Kingdom and that he is not at risk as claimed. In those circumstances the issues of sufficiency of protection and further fear do not arise because I do not accept that there is a genuine fear</w:t>
      </w:r>
      <w:r w:rsidR="003518E9">
        <w:rPr>
          <w:rFonts w:ascii="Book Antiqua" w:hAnsi="Book Antiqua" w:cs="Arial"/>
          <w:sz w:val="20"/>
          <w:szCs w:val="20"/>
        </w:rPr>
        <w:t xml:space="preserve"> because the authorities are not interested in him, nor have they been when assessing </w:t>
      </w:r>
      <w:proofErr w:type="gramStart"/>
      <w:r w:rsidR="003518E9">
        <w:rPr>
          <w:rFonts w:ascii="Book Antiqua" w:hAnsi="Book Antiqua" w:cs="Arial"/>
          <w:sz w:val="20"/>
          <w:szCs w:val="20"/>
        </w:rPr>
        <w:t>all of</w:t>
      </w:r>
      <w:proofErr w:type="gramEnd"/>
      <w:r w:rsidR="003518E9">
        <w:rPr>
          <w:rFonts w:ascii="Book Antiqua" w:hAnsi="Book Antiqua" w:cs="Arial"/>
          <w:sz w:val="20"/>
          <w:szCs w:val="20"/>
        </w:rPr>
        <w:t xml:space="preserve"> the evidence in the round to the lower standard. Having concluded that the basic premise of his accounts is untrue there is therefore no Convention reason which is made out.</w:t>
      </w:r>
    </w:p>
    <w:p w14:paraId="4EB4382D" w14:textId="4F1C0B08" w:rsidR="006975FA" w:rsidRPr="006975FA" w:rsidRDefault="005C5BF1" w:rsidP="00461A0D">
      <w:pPr>
        <w:ind w:left="1701"/>
        <w:jc w:val="both"/>
        <w:rPr>
          <w:rFonts w:ascii="Book Antiqua" w:hAnsi="Book Antiqua" w:cs="Arial"/>
          <w:sz w:val="20"/>
          <w:szCs w:val="20"/>
        </w:rPr>
      </w:pPr>
      <w:r>
        <w:rPr>
          <w:rFonts w:ascii="Book Antiqua" w:hAnsi="Book Antiqua" w:cs="Arial"/>
          <w:sz w:val="20"/>
          <w:szCs w:val="20"/>
        </w:rPr>
        <w:t xml:space="preserve"> </w:t>
      </w:r>
    </w:p>
    <w:p w14:paraId="0CB300D2" w14:textId="11657095" w:rsidR="006975FA" w:rsidRDefault="00A76531" w:rsidP="00461A0D">
      <w:pPr>
        <w:numPr>
          <w:ilvl w:val="0"/>
          <w:numId w:val="3"/>
        </w:numPr>
        <w:jc w:val="both"/>
        <w:rPr>
          <w:rFonts w:ascii="Book Antiqua" w:hAnsi="Book Antiqua" w:cs="Arial"/>
        </w:rPr>
      </w:pPr>
      <w:r>
        <w:rPr>
          <w:rFonts w:ascii="Book Antiqua" w:hAnsi="Book Antiqua" w:cs="Arial"/>
        </w:rPr>
        <w:t>Judge Shergill considered</w:t>
      </w:r>
      <w:r w:rsidR="00F475D0">
        <w:rPr>
          <w:rFonts w:ascii="Book Antiqua" w:hAnsi="Book Antiqua" w:cs="Arial"/>
        </w:rPr>
        <w:t>,</w:t>
      </w:r>
      <w:r>
        <w:rPr>
          <w:rFonts w:ascii="Book Antiqua" w:hAnsi="Book Antiqua" w:cs="Arial"/>
        </w:rPr>
        <w:t xml:space="preserve"> in addition</w:t>
      </w:r>
      <w:r w:rsidR="00F475D0">
        <w:rPr>
          <w:rFonts w:ascii="Book Antiqua" w:hAnsi="Book Antiqua" w:cs="Arial"/>
        </w:rPr>
        <w:t>,</w:t>
      </w:r>
      <w:r>
        <w:rPr>
          <w:rFonts w:ascii="Book Antiqua" w:hAnsi="Book Antiqua" w:cs="Arial"/>
        </w:rPr>
        <w:t xml:space="preserve"> the appellant’s human rights claim recording at [79 – 80]:</w:t>
      </w:r>
    </w:p>
    <w:p w14:paraId="18FA0B12" w14:textId="4B87622B" w:rsidR="00A76531" w:rsidRDefault="00A76531" w:rsidP="00461A0D">
      <w:pPr>
        <w:ind w:left="1080"/>
        <w:jc w:val="both"/>
        <w:rPr>
          <w:rFonts w:ascii="Book Antiqua" w:hAnsi="Book Antiqua" w:cs="Arial"/>
        </w:rPr>
      </w:pPr>
    </w:p>
    <w:p w14:paraId="23CDE10B" w14:textId="7C28334F" w:rsidR="00A76531" w:rsidRDefault="00A76531" w:rsidP="004D59FC">
      <w:pPr>
        <w:ind w:left="2265" w:hanging="564"/>
        <w:jc w:val="both"/>
        <w:rPr>
          <w:rFonts w:ascii="Book Antiqua" w:hAnsi="Book Antiqua" w:cs="Arial"/>
          <w:sz w:val="20"/>
          <w:szCs w:val="20"/>
        </w:rPr>
      </w:pPr>
      <w:r>
        <w:rPr>
          <w:rFonts w:ascii="Book Antiqua" w:hAnsi="Book Antiqua" w:cs="Arial"/>
          <w:sz w:val="20"/>
          <w:szCs w:val="20"/>
        </w:rPr>
        <w:t xml:space="preserve">79. </w:t>
      </w:r>
      <w:r w:rsidR="00F475D0">
        <w:rPr>
          <w:rFonts w:ascii="Book Antiqua" w:hAnsi="Book Antiqua" w:cs="Arial"/>
          <w:sz w:val="20"/>
          <w:szCs w:val="20"/>
        </w:rPr>
        <w:tab/>
      </w:r>
      <w:r w:rsidR="00E7768C">
        <w:rPr>
          <w:rFonts w:ascii="Book Antiqua" w:hAnsi="Book Antiqua" w:cs="Arial"/>
          <w:sz w:val="20"/>
          <w:szCs w:val="20"/>
        </w:rPr>
        <w:t>The appellant references</w:t>
      </w:r>
      <w:r w:rsidR="00327C1B">
        <w:rPr>
          <w:rFonts w:ascii="Book Antiqua" w:hAnsi="Book Antiqua" w:cs="Arial"/>
          <w:sz w:val="20"/>
          <w:szCs w:val="20"/>
        </w:rPr>
        <w:t xml:space="preserve"> Article 8 issues but there has been minimal evidence advanced by him; the issue was in effect abandoned at the hearing. I would observe for the sake of completeness that the claimed relationship was poorly evidenced.</w:t>
      </w:r>
      <w:r w:rsidR="00270335">
        <w:rPr>
          <w:rFonts w:ascii="Book Antiqua" w:hAnsi="Book Antiqua" w:cs="Arial"/>
          <w:sz w:val="20"/>
          <w:szCs w:val="20"/>
        </w:rPr>
        <w:t xml:space="preserve"> I had an untruthful appellant before me who miraculously started a relationship the same month he was interviewed. He also managed to make a friend within weeks of arrival because by his own account he knew people here. I drew the firm </w:t>
      </w:r>
      <w:r w:rsidR="00270335">
        <w:rPr>
          <w:rFonts w:ascii="Book Antiqua" w:hAnsi="Book Antiqua" w:cs="Arial"/>
          <w:sz w:val="20"/>
          <w:szCs w:val="20"/>
        </w:rPr>
        <w:lastRenderedPageBreak/>
        <w:t>conclusion the appellant has been highly motivated</w:t>
      </w:r>
      <w:r w:rsidR="005D28B3">
        <w:rPr>
          <w:rFonts w:ascii="Book Antiqua" w:hAnsi="Book Antiqua" w:cs="Arial"/>
          <w:sz w:val="20"/>
          <w:szCs w:val="20"/>
        </w:rPr>
        <w:t xml:space="preserve"> to come here and remain here. Whatever the position, I was far from persuaded that there was family life engage in Article 8, and if it did, </w:t>
      </w:r>
      <w:r w:rsidR="009F6142">
        <w:rPr>
          <w:rFonts w:ascii="Book Antiqua" w:hAnsi="Book Antiqua" w:cs="Arial"/>
          <w:sz w:val="20"/>
          <w:szCs w:val="20"/>
        </w:rPr>
        <w:t>h</w:t>
      </w:r>
      <w:r w:rsidR="005D28B3">
        <w:rPr>
          <w:rFonts w:ascii="Book Antiqua" w:hAnsi="Book Antiqua" w:cs="Arial"/>
          <w:sz w:val="20"/>
          <w:szCs w:val="20"/>
        </w:rPr>
        <w:t>is adverse history far outweighed his family life claim. He has only been here a short time</w:t>
      </w:r>
      <w:r w:rsidR="00AB42B3">
        <w:rPr>
          <w:rFonts w:ascii="Book Antiqua" w:hAnsi="Book Antiqua" w:cs="Arial"/>
          <w:sz w:val="20"/>
          <w:szCs w:val="20"/>
        </w:rPr>
        <w:t xml:space="preserve"> and see no basis upon which he can claim very significant obstacles.</w:t>
      </w:r>
    </w:p>
    <w:p w14:paraId="46ED760E" w14:textId="1ED6DDF7" w:rsidR="00AB42B3" w:rsidRDefault="00AB42B3" w:rsidP="00461A0D">
      <w:pPr>
        <w:ind w:left="1701"/>
        <w:jc w:val="both"/>
        <w:rPr>
          <w:rFonts w:ascii="Book Antiqua" w:hAnsi="Book Antiqua" w:cs="Arial"/>
          <w:sz w:val="20"/>
          <w:szCs w:val="20"/>
        </w:rPr>
      </w:pPr>
    </w:p>
    <w:p w14:paraId="340E0F45" w14:textId="0BD44AFD" w:rsidR="00AB42B3" w:rsidRDefault="00AB42B3" w:rsidP="00A87639">
      <w:pPr>
        <w:ind w:left="2265" w:hanging="564"/>
        <w:jc w:val="both"/>
        <w:rPr>
          <w:rFonts w:ascii="Book Antiqua" w:hAnsi="Book Antiqua" w:cs="Arial"/>
          <w:sz w:val="20"/>
          <w:szCs w:val="20"/>
        </w:rPr>
      </w:pPr>
      <w:r>
        <w:rPr>
          <w:rFonts w:ascii="Book Antiqua" w:hAnsi="Book Antiqua" w:cs="Arial"/>
          <w:sz w:val="20"/>
          <w:szCs w:val="20"/>
        </w:rPr>
        <w:t xml:space="preserve">80. </w:t>
      </w:r>
      <w:r w:rsidR="00A87639">
        <w:rPr>
          <w:rFonts w:ascii="Book Antiqua" w:hAnsi="Book Antiqua" w:cs="Arial"/>
          <w:sz w:val="20"/>
          <w:szCs w:val="20"/>
        </w:rPr>
        <w:tab/>
      </w:r>
      <w:proofErr w:type="gramStart"/>
      <w:r>
        <w:rPr>
          <w:rFonts w:ascii="Book Antiqua" w:hAnsi="Book Antiqua" w:cs="Arial"/>
          <w:sz w:val="20"/>
          <w:szCs w:val="20"/>
        </w:rPr>
        <w:t>In light of</w:t>
      </w:r>
      <w:proofErr w:type="gramEnd"/>
      <w:r>
        <w:rPr>
          <w:rFonts w:ascii="Book Antiqua" w:hAnsi="Book Antiqua" w:cs="Arial"/>
          <w:sz w:val="20"/>
          <w:szCs w:val="20"/>
        </w:rPr>
        <w:t xml:space="preserve"> my conclusions about the motives for the application there is a strong public interest in favour of maintaining the economic interests of the United Kingdom by enforcing proper immigration control in this case.</w:t>
      </w:r>
      <w:r w:rsidR="005A5D18">
        <w:rPr>
          <w:rFonts w:ascii="Book Antiqua" w:hAnsi="Book Antiqua" w:cs="Arial"/>
          <w:sz w:val="20"/>
          <w:szCs w:val="20"/>
        </w:rPr>
        <w:t xml:space="preserve"> That far outweighs any Article 8 claim of interference with private or family life in any event and that is my assessment under and outside </w:t>
      </w:r>
      <w:r w:rsidR="002B6300">
        <w:rPr>
          <w:rFonts w:ascii="Book Antiqua" w:hAnsi="Book Antiqua" w:cs="Arial"/>
          <w:sz w:val="20"/>
          <w:szCs w:val="20"/>
        </w:rPr>
        <w:t xml:space="preserve">there are a lack of quite startling omissions in this case </w:t>
      </w:r>
      <w:r w:rsidR="005A5D18">
        <w:rPr>
          <w:rFonts w:ascii="Book Antiqua" w:hAnsi="Book Antiqua" w:cs="Arial"/>
          <w:sz w:val="20"/>
          <w:szCs w:val="20"/>
        </w:rPr>
        <w:t>the rules.</w:t>
      </w:r>
    </w:p>
    <w:p w14:paraId="3BED3FB2" w14:textId="77777777" w:rsidR="005A5D18" w:rsidRPr="00A76531" w:rsidRDefault="005A5D18" w:rsidP="00461A0D">
      <w:pPr>
        <w:ind w:left="1701"/>
        <w:jc w:val="both"/>
        <w:rPr>
          <w:rFonts w:ascii="Book Antiqua" w:hAnsi="Book Antiqua" w:cs="Arial"/>
          <w:sz w:val="20"/>
          <w:szCs w:val="20"/>
        </w:rPr>
      </w:pPr>
    </w:p>
    <w:p w14:paraId="50CBCE99" w14:textId="2DE8EC00" w:rsidR="002722CB" w:rsidRDefault="00EC21B4" w:rsidP="00461A0D">
      <w:pPr>
        <w:numPr>
          <w:ilvl w:val="0"/>
          <w:numId w:val="3"/>
        </w:numPr>
        <w:jc w:val="both"/>
        <w:rPr>
          <w:rFonts w:ascii="Book Antiqua" w:hAnsi="Book Antiqua" w:cs="Arial"/>
        </w:rPr>
      </w:pPr>
      <w:r w:rsidRPr="00376403">
        <w:rPr>
          <w:rFonts w:ascii="Book Antiqua" w:hAnsi="Book Antiqua" w:cs="Arial"/>
        </w:rPr>
        <w:t>A</w:t>
      </w:r>
      <w:r w:rsidR="00376403" w:rsidRPr="00376403">
        <w:rPr>
          <w:rFonts w:ascii="Book Antiqua" w:hAnsi="Book Antiqua" w:cs="Arial"/>
        </w:rPr>
        <w:t xml:space="preserve">s </w:t>
      </w:r>
      <w:r w:rsidRPr="00376403">
        <w:rPr>
          <w:rFonts w:ascii="Book Antiqua" w:hAnsi="Book Antiqua" w:cs="Arial"/>
        </w:rPr>
        <w:t>noted above the Judge records concerns at [34 – 35]</w:t>
      </w:r>
      <w:r w:rsidR="00376403" w:rsidRPr="00376403">
        <w:rPr>
          <w:rFonts w:ascii="Book Antiqua" w:hAnsi="Book Antiqua" w:cs="Arial"/>
        </w:rPr>
        <w:t xml:space="preserve"> which are</w:t>
      </w:r>
      <w:r w:rsidR="002722CB">
        <w:rPr>
          <w:rFonts w:ascii="Book Antiqua" w:hAnsi="Book Antiqua" w:cs="Arial"/>
        </w:rPr>
        <w:t xml:space="preserve"> </w:t>
      </w:r>
      <w:r w:rsidR="00376403" w:rsidRPr="00376403">
        <w:rPr>
          <w:rFonts w:ascii="Book Antiqua" w:hAnsi="Book Antiqua" w:cs="Arial"/>
        </w:rPr>
        <w:t>in the following terms:</w:t>
      </w:r>
      <w:r w:rsidR="00C32E4B">
        <w:rPr>
          <w:rFonts w:ascii="Book Antiqua" w:hAnsi="Book Antiqua" w:cs="Arial"/>
        </w:rPr>
        <w:tab/>
      </w:r>
    </w:p>
    <w:p w14:paraId="5BB27E9C" w14:textId="3F3ECBC6" w:rsidR="00C32E4B" w:rsidRDefault="00C32E4B" w:rsidP="00461A0D">
      <w:pPr>
        <w:ind w:left="1701"/>
        <w:jc w:val="both"/>
        <w:rPr>
          <w:rFonts w:ascii="Book Antiqua" w:hAnsi="Book Antiqua" w:cs="Arial"/>
        </w:rPr>
      </w:pPr>
    </w:p>
    <w:p w14:paraId="0C02ADE8" w14:textId="583B3E58" w:rsidR="0055507D" w:rsidRDefault="00C32E4B" w:rsidP="005328BB">
      <w:pPr>
        <w:ind w:left="2109" w:hanging="408"/>
        <w:jc w:val="both"/>
        <w:rPr>
          <w:rFonts w:ascii="Book Antiqua" w:hAnsi="Book Antiqua" w:cs="Arial"/>
          <w:sz w:val="20"/>
          <w:szCs w:val="20"/>
        </w:rPr>
      </w:pPr>
      <w:r>
        <w:rPr>
          <w:rFonts w:ascii="Book Antiqua" w:hAnsi="Book Antiqua" w:cs="Arial"/>
          <w:sz w:val="20"/>
          <w:szCs w:val="20"/>
        </w:rPr>
        <w:t xml:space="preserve">34. </w:t>
      </w:r>
      <w:r w:rsidR="005328BB">
        <w:rPr>
          <w:rFonts w:ascii="Book Antiqua" w:hAnsi="Book Antiqua" w:cs="Arial"/>
          <w:sz w:val="20"/>
          <w:szCs w:val="20"/>
        </w:rPr>
        <w:tab/>
      </w:r>
      <w:r w:rsidR="002B6300">
        <w:rPr>
          <w:rFonts w:ascii="Book Antiqua" w:hAnsi="Book Antiqua" w:cs="Arial"/>
          <w:sz w:val="20"/>
          <w:szCs w:val="20"/>
        </w:rPr>
        <w:t>There are a lot of quite startling omissions in this case. These can be summarised</w:t>
      </w:r>
      <w:r w:rsidR="0055507D">
        <w:rPr>
          <w:rFonts w:ascii="Book Antiqua" w:hAnsi="Book Antiqua" w:cs="Arial"/>
          <w:sz w:val="20"/>
          <w:szCs w:val="20"/>
        </w:rPr>
        <w:t xml:space="preserve">, but are not limited to the following - </w:t>
      </w:r>
    </w:p>
    <w:p w14:paraId="390EB043" w14:textId="77777777" w:rsidR="0055507D" w:rsidRDefault="0055507D" w:rsidP="00461A0D">
      <w:pPr>
        <w:ind w:left="1701"/>
        <w:jc w:val="both"/>
        <w:rPr>
          <w:rFonts w:ascii="Book Antiqua" w:hAnsi="Book Antiqua" w:cs="Arial"/>
          <w:sz w:val="20"/>
          <w:szCs w:val="20"/>
        </w:rPr>
      </w:pPr>
    </w:p>
    <w:p w14:paraId="144D2268" w14:textId="46FFFA55" w:rsidR="00241A2C" w:rsidRDefault="0055507D" w:rsidP="00461A0D">
      <w:pPr>
        <w:numPr>
          <w:ilvl w:val="0"/>
          <w:numId w:val="5"/>
        </w:numPr>
        <w:jc w:val="both"/>
        <w:rPr>
          <w:rFonts w:ascii="Book Antiqua" w:hAnsi="Book Antiqua" w:cs="Arial"/>
          <w:sz w:val="20"/>
          <w:szCs w:val="20"/>
        </w:rPr>
      </w:pPr>
      <w:r>
        <w:rPr>
          <w:rFonts w:ascii="Book Antiqua" w:hAnsi="Book Antiqua" w:cs="Arial"/>
          <w:sz w:val="20"/>
          <w:szCs w:val="20"/>
        </w:rPr>
        <w:t xml:space="preserve">If, as is claimed by Mrs </w:t>
      </w:r>
      <w:proofErr w:type="spellStart"/>
      <w:r>
        <w:rPr>
          <w:rFonts w:ascii="Book Antiqua" w:hAnsi="Book Antiqua" w:cs="Arial"/>
          <w:sz w:val="20"/>
          <w:szCs w:val="20"/>
        </w:rPr>
        <w:t>Muhunhakumaran</w:t>
      </w:r>
      <w:proofErr w:type="spellEnd"/>
      <w:r>
        <w:rPr>
          <w:rFonts w:ascii="Book Antiqua" w:hAnsi="Book Antiqua" w:cs="Arial"/>
          <w:sz w:val="20"/>
          <w:szCs w:val="20"/>
        </w:rPr>
        <w:t xml:space="preserve">, </w:t>
      </w:r>
      <w:r w:rsidR="00560ACB">
        <w:rPr>
          <w:rFonts w:ascii="Book Antiqua" w:hAnsi="Book Antiqua" w:cs="Arial"/>
          <w:sz w:val="20"/>
          <w:szCs w:val="20"/>
        </w:rPr>
        <w:t>the Appellant</w:t>
      </w:r>
      <w:r w:rsidR="00241A2C">
        <w:rPr>
          <w:rFonts w:ascii="Book Antiqua" w:hAnsi="Book Antiqua" w:cs="Arial"/>
          <w:sz w:val="20"/>
          <w:szCs w:val="20"/>
        </w:rPr>
        <w:t>, his wife, and all witnesses all go to the same church, why is there no independent evidence of this? It would not have been difficult to ask the pastor (or equivalent) to provide at least a letter.</w:t>
      </w:r>
    </w:p>
    <w:p w14:paraId="65335B14" w14:textId="77777777" w:rsidR="00674BBF" w:rsidRDefault="00674BBF" w:rsidP="00461A0D">
      <w:pPr>
        <w:ind w:left="2109"/>
        <w:jc w:val="both"/>
        <w:rPr>
          <w:rFonts w:ascii="Book Antiqua" w:hAnsi="Book Antiqua" w:cs="Arial"/>
          <w:sz w:val="20"/>
          <w:szCs w:val="20"/>
        </w:rPr>
      </w:pPr>
    </w:p>
    <w:p w14:paraId="671C3A94" w14:textId="5E3D6261" w:rsidR="00C32E4B" w:rsidRDefault="00CA36B4" w:rsidP="00461A0D">
      <w:pPr>
        <w:numPr>
          <w:ilvl w:val="0"/>
          <w:numId w:val="5"/>
        </w:numPr>
        <w:jc w:val="both"/>
        <w:rPr>
          <w:rFonts w:ascii="Book Antiqua" w:hAnsi="Book Antiqua" w:cs="Arial"/>
          <w:sz w:val="20"/>
          <w:szCs w:val="20"/>
        </w:rPr>
      </w:pPr>
      <w:r>
        <w:rPr>
          <w:rFonts w:ascii="Book Antiqua" w:hAnsi="Book Antiqua" w:cs="Arial"/>
          <w:sz w:val="20"/>
          <w:szCs w:val="20"/>
        </w:rPr>
        <w:t>Why did the Appellant’s Guardian not appear before me? He would seem an obvious witness to call. Mr Timpson argues that his solicitors had to be selective in the evidence they bring to court.</w:t>
      </w:r>
      <w:r w:rsidR="002B6300">
        <w:rPr>
          <w:rFonts w:ascii="Book Antiqua" w:hAnsi="Book Antiqua" w:cs="Arial"/>
          <w:sz w:val="20"/>
          <w:szCs w:val="20"/>
        </w:rPr>
        <w:t xml:space="preserve"> </w:t>
      </w:r>
      <w:r w:rsidR="00A03D01">
        <w:rPr>
          <w:rFonts w:ascii="Book Antiqua" w:hAnsi="Book Antiqua" w:cs="Arial"/>
          <w:sz w:val="20"/>
          <w:szCs w:val="20"/>
        </w:rPr>
        <w:t>Whilst I agree there is always a risk of overkill, surely this person would have been of greater value than his wife?</w:t>
      </w:r>
    </w:p>
    <w:p w14:paraId="49E62EEE" w14:textId="77777777" w:rsidR="00674BBF" w:rsidRDefault="00674BBF" w:rsidP="00461A0D">
      <w:pPr>
        <w:pStyle w:val="ListParagraph"/>
        <w:jc w:val="both"/>
        <w:rPr>
          <w:rFonts w:ascii="Book Antiqua" w:hAnsi="Book Antiqua" w:cs="Arial"/>
          <w:sz w:val="20"/>
          <w:szCs w:val="20"/>
        </w:rPr>
      </w:pPr>
    </w:p>
    <w:p w14:paraId="35319321" w14:textId="78810E00" w:rsidR="00674BBF" w:rsidRDefault="00A03D01" w:rsidP="00461A0D">
      <w:pPr>
        <w:numPr>
          <w:ilvl w:val="0"/>
          <w:numId w:val="5"/>
        </w:numPr>
        <w:jc w:val="both"/>
        <w:rPr>
          <w:rFonts w:ascii="Book Antiqua" w:hAnsi="Book Antiqua" w:cs="Arial"/>
          <w:sz w:val="20"/>
          <w:szCs w:val="20"/>
        </w:rPr>
      </w:pPr>
      <w:r>
        <w:rPr>
          <w:rFonts w:ascii="Book Antiqua" w:hAnsi="Book Antiqua" w:cs="Arial"/>
          <w:sz w:val="20"/>
          <w:szCs w:val="20"/>
        </w:rPr>
        <w:t xml:space="preserve">Why, equally, was there no statement from Mrs </w:t>
      </w:r>
      <w:proofErr w:type="spellStart"/>
      <w:r>
        <w:rPr>
          <w:rFonts w:ascii="Book Antiqua" w:hAnsi="Book Antiqua" w:cs="Arial"/>
          <w:sz w:val="20"/>
          <w:szCs w:val="20"/>
        </w:rPr>
        <w:t>Nad</w:t>
      </w:r>
      <w:r w:rsidR="00187011">
        <w:rPr>
          <w:rFonts w:ascii="Book Antiqua" w:hAnsi="Book Antiqua" w:cs="Arial"/>
          <w:sz w:val="20"/>
          <w:szCs w:val="20"/>
        </w:rPr>
        <w:t>arasalingam’s</w:t>
      </w:r>
      <w:proofErr w:type="spellEnd"/>
      <w:r w:rsidR="00187011">
        <w:rPr>
          <w:rFonts w:ascii="Book Antiqua" w:hAnsi="Book Antiqua" w:cs="Arial"/>
          <w:sz w:val="20"/>
          <w:szCs w:val="20"/>
        </w:rPr>
        <w:t xml:space="preserve"> parents?</w:t>
      </w:r>
    </w:p>
    <w:p w14:paraId="42B46569" w14:textId="77777777" w:rsidR="00187011" w:rsidRDefault="00187011" w:rsidP="00461A0D">
      <w:pPr>
        <w:pStyle w:val="ListParagraph"/>
        <w:jc w:val="both"/>
        <w:rPr>
          <w:rFonts w:ascii="Book Antiqua" w:hAnsi="Book Antiqua" w:cs="Arial"/>
          <w:sz w:val="20"/>
          <w:szCs w:val="20"/>
        </w:rPr>
      </w:pPr>
    </w:p>
    <w:p w14:paraId="57285E3E" w14:textId="0E3EF1EA" w:rsidR="00187011" w:rsidRDefault="000D2459" w:rsidP="00461A0D">
      <w:pPr>
        <w:numPr>
          <w:ilvl w:val="0"/>
          <w:numId w:val="5"/>
        </w:numPr>
        <w:jc w:val="both"/>
        <w:rPr>
          <w:rFonts w:ascii="Book Antiqua" w:hAnsi="Book Antiqua" w:cs="Arial"/>
          <w:sz w:val="20"/>
          <w:szCs w:val="20"/>
        </w:rPr>
      </w:pPr>
      <w:r>
        <w:rPr>
          <w:rFonts w:ascii="Book Antiqua" w:hAnsi="Book Antiqua" w:cs="Arial"/>
          <w:sz w:val="20"/>
          <w:szCs w:val="20"/>
        </w:rPr>
        <w:t xml:space="preserve">The evidence from the landlord is suspicious at best. An undated letter, lacking a letterhead does not strike me as being at all genuine. I am also concerned about the assertion from Mrs </w:t>
      </w:r>
      <w:proofErr w:type="spellStart"/>
      <w:r>
        <w:rPr>
          <w:rFonts w:ascii="Book Antiqua" w:hAnsi="Book Antiqua" w:cs="Arial"/>
          <w:sz w:val="20"/>
          <w:szCs w:val="20"/>
        </w:rPr>
        <w:t>Nadarasalingam</w:t>
      </w:r>
      <w:proofErr w:type="spellEnd"/>
      <w:r w:rsidR="00FB1662">
        <w:rPr>
          <w:rFonts w:ascii="Book Antiqua" w:hAnsi="Book Antiqua" w:cs="Arial"/>
          <w:sz w:val="20"/>
          <w:szCs w:val="20"/>
        </w:rPr>
        <w:t>, who of course is the tenant of the property, that she had no idea of the name of her landlord. Why would this be the case? Even if, as claimed,</w:t>
      </w:r>
      <w:r w:rsidR="0008129F">
        <w:rPr>
          <w:rFonts w:ascii="Book Antiqua" w:hAnsi="Book Antiqua" w:cs="Arial"/>
          <w:sz w:val="20"/>
          <w:szCs w:val="20"/>
        </w:rPr>
        <w:t xml:space="preserve"> the Appellant dealt with that, one would have thought given it is Mrs </w:t>
      </w:r>
      <w:proofErr w:type="spellStart"/>
      <w:r w:rsidR="0008129F">
        <w:rPr>
          <w:rFonts w:ascii="Book Antiqua" w:hAnsi="Book Antiqua" w:cs="Arial"/>
          <w:sz w:val="20"/>
          <w:szCs w:val="20"/>
        </w:rPr>
        <w:t>Nadarasalingam</w:t>
      </w:r>
      <w:proofErr w:type="spellEnd"/>
      <w:r w:rsidR="0008129F">
        <w:rPr>
          <w:rFonts w:ascii="Book Antiqua" w:hAnsi="Book Antiqua" w:cs="Arial"/>
          <w:sz w:val="20"/>
          <w:szCs w:val="20"/>
        </w:rPr>
        <w:t xml:space="preserve"> pays the rent she would have an idea to whom the bill is paid.</w:t>
      </w:r>
      <w:r w:rsidR="00CA2545">
        <w:rPr>
          <w:rFonts w:ascii="Book Antiqua" w:hAnsi="Book Antiqua" w:cs="Arial"/>
          <w:sz w:val="20"/>
          <w:szCs w:val="20"/>
        </w:rPr>
        <w:t xml:space="preserve"> I was concerned about the odd assertion from the Appellant in his verbal evidence that the author of the letter had never in fact met him or been in the house. The letter had simply been emailed.</w:t>
      </w:r>
      <w:r w:rsidR="003C1CFE">
        <w:rPr>
          <w:rFonts w:ascii="Book Antiqua" w:hAnsi="Book Antiqua" w:cs="Arial"/>
          <w:sz w:val="20"/>
          <w:szCs w:val="20"/>
        </w:rPr>
        <w:t xml:space="preserve"> This was doubly unusual, given it is Mrs </w:t>
      </w:r>
      <w:proofErr w:type="spellStart"/>
      <w:r w:rsidR="003C1CFE">
        <w:rPr>
          <w:rFonts w:ascii="Book Antiqua" w:hAnsi="Book Antiqua" w:cs="Arial"/>
          <w:sz w:val="20"/>
          <w:szCs w:val="20"/>
        </w:rPr>
        <w:t>Nadarasalingam</w:t>
      </w:r>
      <w:proofErr w:type="spellEnd"/>
      <w:r w:rsidR="003C1CFE">
        <w:rPr>
          <w:rFonts w:ascii="Book Antiqua" w:hAnsi="Book Antiqua" w:cs="Arial"/>
          <w:sz w:val="20"/>
          <w:szCs w:val="20"/>
        </w:rPr>
        <w:t xml:space="preserve"> who pays the rent.</w:t>
      </w:r>
    </w:p>
    <w:p w14:paraId="0BBE3322" w14:textId="77777777" w:rsidR="003C1CFE" w:rsidRDefault="003C1CFE" w:rsidP="00461A0D">
      <w:pPr>
        <w:pStyle w:val="ListParagraph"/>
        <w:jc w:val="both"/>
        <w:rPr>
          <w:rFonts w:ascii="Book Antiqua" w:hAnsi="Book Antiqua" w:cs="Arial"/>
          <w:sz w:val="20"/>
          <w:szCs w:val="20"/>
        </w:rPr>
      </w:pPr>
    </w:p>
    <w:p w14:paraId="1FD3645E" w14:textId="6503E4DB" w:rsidR="003C1CFE" w:rsidRDefault="003C1CFE" w:rsidP="00461A0D">
      <w:pPr>
        <w:numPr>
          <w:ilvl w:val="0"/>
          <w:numId w:val="5"/>
        </w:numPr>
        <w:jc w:val="both"/>
        <w:rPr>
          <w:rFonts w:ascii="Book Antiqua" w:hAnsi="Book Antiqua" w:cs="Arial"/>
          <w:sz w:val="20"/>
          <w:szCs w:val="20"/>
        </w:rPr>
      </w:pPr>
      <w:r>
        <w:rPr>
          <w:rFonts w:ascii="Book Antiqua" w:hAnsi="Book Antiqua" w:cs="Arial"/>
          <w:sz w:val="20"/>
          <w:szCs w:val="20"/>
        </w:rPr>
        <w:t>On a related note, it seems odd to me (per the Appellant’s evidence</w:t>
      </w:r>
      <w:r w:rsidR="007F7C58">
        <w:rPr>
          <w:rFonts w:ascii="Book Antiqua" w:hAnsi="Book Antiqua" w:cs="Arial"/>
          <w:sz w:val="20"/>
          <w:szCs w:val="20"/>
        </w:rPr>
        <w:t xml:space="preserve"> evidence) that the letters contained in the bundle had been sent to Mr Fernando, rather than to his solicitors; a strange way in which to prepare a case.</w:t>
      </w:r>
    </w:p>
    <w:p w14:paraId="0F4BC8A6" w14:textId="77777777" w:rsidR="00A36503" w:rsidRDefault="00A36503" w:rsidP="00461A0D">
      <w:pPr>
        <w:pStyle w:val="ListParagraph"/>
        <w:jc w:val="both"/>
        <w:rPr>
          <w:rFonts w:ascii="Book Antiqua" w:hAnsi="Book Antiqua" w:cs="Arial"/>
          <w:sz w:val="20"/>
          <w:szCs w:val="20"/>
        </w:rPr>
      </w:pPr>
    </w:p>
    <w:p w14:paraId="616F8B9C" w14:textId="7083F4F3" w:rsidR="00A36503" w:rsidRDefault="00A36503" w:rsidP="002A57B5">
      <w:pPr>
        <w:ind w:left="2265" w:hanging="564"/>
        <w:jc w:val="both"/>
        <w:rPr>
          <w:rFonts w:ascii="Book Antiqua" w:hAnsi="Book Antiqua" w:cs="Arial"/>
          <w:sz w:val="20"/>
          <w:szCs w:val="20"/>
        </w:rPr>
      </w:pPr>
      <w:r>
        <w:rPr>
          <w:rFonts w:ascii="Book Antiqua" w:hAnsi="Book Antiqua" w:cs="Arial"/>
          <w:sz w:val="20"/>
          <w:szCs w:val="20"/>
        </w:rPr>
        <w:t xml:space="preserve">35. </w:t>
      </w:r>
      <w:r w:rsidR="002A57B5">
        <w:rPr>
          <w:rFonts w:ascii="Book Antiqua" w:hAnsi="Book Antiqua" w:cs="Arial"/>
          <w:sz w:val="20"/>
          <w:szCs w:val="20"/>
        </w:rPr>
        <w:tab/>
      </w:r>
      <w:r>
        <w:rPr>
          <w:rFonts w:ascii="Book Antiqua" w:hAnsi="Book Antiqua" w:cs="Arial"/>
          <w:sz w:val="20"/>
          <w:szCs w:val="20"/>
        </w:rPr>
        <w:t>Other issue relates to the significant number of discrepancies</w:t>
      </w:r>
      <w:r w:rsidR="00F15604">
        <w:rPr>
          <w:rFonts w:ascii="Book Antiqua" w:hAnsi="Book Antiqua" w:cs="Arial"/>
          <w:sz w:val="20"/>
          <w:szCs w:val="20"/>
        </w:rPr>
        <w:t xml:space="preserve"> which litter this case. Many of these arise from the marriage interview. As with the omissions above, this includes but are not limited to – </w:t>
      </w:r>
    </w:p>
    <w:p w14:paraId="539A165A" w14:textId="4A11A8AA" w:rsidR="00F15604" w:rsidRDefault="00F15604" w:rsidP="00461A0D">
      <w:pPr>
        <w:ind w:left="1701"/>
        <w:jc w:val="both"/>
        <w:rPr>
          <w:rFonts w:ascii="Book Antiqua" w:hAnsi="Book Antiqua" w:cs="Arial"/>
          <w:sz w:val="20"/>
          <w:szCs w:val="20"/>
        </w:rPr>
      </w:pPr>
    </w:p>
    <w:p w14:paraId="228070CE" w14:textId="7BEB764E" w:rsidR="00F15604" w:rsidRDefault="00E64197" w:rsidP="00461A0D">
      <w:pPr>
        <w:numPr>
          <w:ilvl w:val="0"/>
          <w:numId w:val="5"/>
        </w:numPr>
        <w:jc w:val="both"/>
        <w:rPr>
          <w:rFonts w:ascii="Book Antiqua" w:hAnsi="Book Antiqua" w:cs="Arial"/>
          <w:sz w:val="20"/>
          <w:szCs w:val="20"/>
        </w:rPr>
      </w:pPr>
      <w:r>
        <w:rPr>
          <w:rFonts w:ascii="Book Antiqua" w:hAnsi="Book Antiqua" w:cs="Arial"/>
          <w:sz w:val="20"/>
          <w:szCs w:val="20"/>
        </w:rPr>
        <w:t>The completely different account given as to what the couple had done the previous weekend.</w:t>
      </w:r>
    </w:p>
    <w:p w14:paraId="13269104" w14:textId="2CC669FA" w:rsidR="00E64197" w:rsidRDefault="00E64197" w:rsidP="00461A0D">
      <w:pPr>
        <w:ind w:left="2109"/>
        <w:jc w:val="both"/>
        <w:rPr>
          <w:rFonts w:ascii="Book Antiqua" w:hAnsi="Book Antiqua" w:cs="Arial"/>
          <w:sz w:val="20"/>
          <w:szCs w:val="20"/>
        </w:rPr>
      </w:pPr>
    </w:p>
    <w:p w14:paraId="35DE2AFD" w14:textId="04A6021F" w:rsidR="00E64197" w:rsidRDefault="00E64197" w:rsidP="00461A0D">
      <w:pPr>
        <w:numPr>
          <w:ilvl w:val="0"/>
          <w:numId w:val="5"/>
        </w:numPr>
        <w:jc w:val="both"/>
        <w:rPr>
          <w:rFonts w:ascii="Book Antiqua" w:hAnsi="Book Antiqua" w:cs="Arial"/>
          <w:sz w:val="20"/>
          <w:szCs w:val="20"/>
        </w:rPr>
      </w:pPr>
      <w:r>
        <w:rPr>
          <w:rFonts w:ascii="Book Antiqua" w:hAnsi="Book Antiqua" w:cs="Arial"/>
          <w:sz w:val="20"/>
          <w:szCs w:val="20"/>
        </w:rPr>
        <w:t>The discrepancy over when marriage was proposed - the Appellant said 29</w:t>
      </w:r>
      <w:r w:rsidRPr="00E64197">
        <w:rPr>
          <w:rFonts w:ascii="Book Antiqua" w:hAnsi="Book Antiqua" w:cs="Arial"/>
          <w:sz w:val="20"/>
          <w:szCs w:val="20"/>
          <w:vertAlign w:val="superscript"/>
        </w:rPr>
        <w:t>th</w:t>
      </w:r>
      <w:r>
        <w:rPr>
          <w:rFonts w:ascii="Book Antiqua" w:hAnsi="Book Antiqua" w:cs="Arial"/>
          <w:sz w:val="20"/>
          <w:szCs w:val="20"/>
        </w:rPr>
        <w:t xml:space="preserve"> of December 2017</w:t>
      </w:r>
      <w:r w:rsidR="00E2629D">
        <w:rPr>
          <w:rFonts w:ascii="Book Antiqua" w:hAnsi="Book Antiqua" w:cs="Arial"/>
          <w:sz w:val="20"/>
          <w:szCs w:val="20"/>
        </w:rPr>
        <w:t xml:space="preserve">, whereas Mrs </w:t>
      </w:r>
      <w:proofErr w:type="spellStart"/>
      <w:r w:rsidR="00E2629D">
        <w:rPr>
          <w:rFonts w:ascii="Book Antiqua" w:hAnsi="Book Antiqua" w:cs="Arial"/>
          <w:sz w:val="20"/>
          <w:szCs w:val="20"/>
        </w:rPr>
        <w:t>Nadarasalingam</w:t>
      </w:r>
      <w:proofErr w:type="spellEnd"/>
      <w:r w:rsidR="00E2629D">
        <w:rPr>
          <w:rFonts w:ascii="Book Antiqua" w:hAnsi="Book Antiqua" w:cs="Arial"/>
          <w:sz w:val="20"/>
          <w:szCs w:val="20"/>
        </w:rPr>
        <w:t xml:space="preserve"> stated ‘… There was no set date if proposal’.</w:t>
      </w:r>
    </w:p>
    <w:p w14:paraId="6FAC1D4D" w14:textId="57B3547D" w:rsidR="00E2629D" w:rsidRDefault="00E2629D" w:rsidP="00461A0D">
      <w:pPr>
        <w:ind w:left="2109"/>
        <w:jc w:val="both"/>
        <w:rPr>
          <w:rFonts w:ascii="Book Antiqua" w:hAnsi="Book Antiqua" w:cs="Arial"/>
          <w:sz w:val="20"/>
          <w:szCs w:val="20"/>
        </w:rPr>
      </w:pPr>
    </w:p>
    <w:p w14:paraId="3A8703BB" w14:textId="213195C7" w:rsidR="00E2629D" w:rsidRDefault="00C95484" w:rsidP="00461A0D">
      <w:pPr>
        <w:numPr>
          <w:ilvl w:val="0"/>
          <w:numId w:val="5"/>
        </w:numPr>
        <w:jc w:val="both"/>
        <w:rPr>
          <w:rFonts w:ascii="Book Antiqua" w:hAnsi="Book Antiqua" w:cs="Arial"/>
          <w:sz w:val="20"/>
          <w:szCs w:val="20"/>
        </w:rPr>
      </w:pPr>
      <w:r>
        <w:rPr>
          <w:rFonts w:ascii="Book Antiqua" w:hAnsi="Book Antiqua" w:cs="Arial"/>
          <w:sz w:val="20"/>
          <w:szCs w:val="20"/>
        </w:rPr>
        <w:t>Each claimed to have been the one who proposed marriage to the other, under different circumstances.</w:t>
      </w:r>
    </w:p>
    <w:p w14:paraId="21F8A655" w14:textId="77777777" w:rsidR="00C95484" w:rsidRDefault="00C95484" w:rsidP="00461A0D">
      <w:pPr>
        <w:pStyle w:val="ListParagraph"/>
        <w:jc w:val="both"/>
        <w:rPr>
          <w:rFonts w:ascii="Book Antiqua" w:hAnsi="Book Antiqua" w:cs="Arial"/>
          <w:sz w:val="20"/>
          <w:szCs w:val="20"/>
        </w:rPr>
      </w:pPr>
    </w:p>
    <w:p w14:paraId="064BB8AE" w14:textId="1E80852E" w:rsidR="00C95484" w:rsidRDefault="00C95484" w:rsidP="00461A0D">
      <w:pPr>
        <w:numPr>
          <w:ilvl w:val="0"/>
          <w:numId w:val="5"/>
        </w:numPr>
        <w:jc w:val="both"/>
        <w:rPr>
          <w:rFonts w:ascii="Book Antiqua" w:hAnsi="Book Antiqua" w:cs="Arial"/>
          <w:sz w:val="20"/>
          <w:szCs w:val="20"/>
        </w:rPr>
      </w:pPr>
      <w:r>
        <w:rPr>
          <w:rFonts w:ascii="Book Antiqua" w:hAnsi="Book Antiqua" w:cs="Arial"/>
          <w:sz w:val="20"/>
          <w:szCs w:val="20"/>
        </w:rPr>
        <w:t xml:space="preserve">As per evidence given in Court - </w:t>
      </w:r>
      <w:r w:rsidR="008E5A41">
        <w:rPr>
          <w:rFonts w:ascii="Book Antiqua" w:hAnsi="Book Antiqua" w:cs="Arial"/>
          <w:sz w:val="20"/>
          <w:szCs w:val="20"/>
        </w:rPr>
        <w:t>the Appellant described how their address had been inspected by a woman. His Wife thought it was a man. Oddly, the gender of the owner of the property (on the Appellant’s verbal evidence) varied as he testified.</w:t>
      </w:r>
    </w:p>
    <w:p w14:paraId="69462ED5" w14:textId="77777777" w:rsidR="008E5A41" w:rsidRDefault="008E5A41" w:rsidP="00461A0D">
      <w:pPr>
        <w:pStyle w:val="ListParagraph"/>
        <w:jc w:val="both"/>
        <w:rPr>
          <w:rFonts w:ascii="Book Antiqua" w:hAnsi="Book Antiqua" w:cs="Arial"/>
          <w:sz w:val="20"/>
          <w:szCs w:val="20"/>
        </w:rPr>
      </w:pPr>
    </w:p>
    <w:p w14:paraId="3FB8516E" w14:textId="77777777" w:rsidR="00B773A5" w:rsidRDefault="002935A3" w:rsidP="00461A0D">
      <w:pPr>
        <w:numPr>
          <w:ilvl w:val="0"/>
          <w:numId w:val="5"/>
        </w:numPr>
        <w:jc w:val="both"/>
        <w:rPr>
          <w:rFonts w:ascii="Book Antiqua" w:hAnsi="Book Antiqua" w:cs="Arial"/>
          <w:sz w:val="20"/>
          <w:szCs w:val="20"/>
        </w:rPr>
      </w:pPr>
      <w:r>
        <w:rPr>
          <w:rFonts w:ascii="Book Antiqua" w:hAnsi="Book Antiqua" w:cs="Arial"/>
          <w:sz w:val="20"/>
          <w:szCs w:val="20"/>
        </w:rPr>
        <w:t xml:space="preserve">The bizarre assertion, albeit corrected in Court, from Mrs </w:t>
      </w:r>
      <w:proofErr w:type="spellStart"/>
      <w:r>
        <w:rPr>
          <w:rFonts w:ascii="Book Antiqua" w:hAnsi="Book Antiqua" w:cs="Arial"/>
          <w:sz w:val="20"/>
          <w:szCs w:val="20"/>
        </w:rPr>
        <w:t>Nadarasalingam</w:t>
      </w:r>
      <w:proofErr w:type="spellEnd"/>
      <w:r>
        <w:rPr>
          <w:rFonts w:ascii="Book Antiqua" w:hAnsi="Book Antiqua" w:cs="Arial"/>
          <w:sz w:val="20"/>
          <w:szCs w:val="20"/>
        </w:rPr>
        <w:t xml:space="preserve"> that she does not have a </w:t>
      </w:r>
      <w:r w:rsidR="00E86EC2">
        <w:rPr>
          <w:rFonts w:ascii="Book Antiqua" w:hAnsi="Book Antiqua" w:cs="Arial"/>
          <w:sz w:val="20"/>
          <w:szCs w:val="20"/>
        </w:rPr>
        <w:t>tattoo</w:t>
      </w:r>
      <w:r>
        <w:rPr>
          <w:rFonts w:ascii="Book Antiqua" w:hAnsi="Book Antiqua" w:cs="Arial"/>
          <w:sz w:val="20"/>
          <w:szCs w:val="20"/>
        </w:rPr>
        <w:t>. Despite that, the Appellant described such t</w:t>
      </w:r>
      <w:r w:rsidR="00E86EC2">
        <w:rPr>
          <w:rFonts w:ascii="Book Antiqua" w:hAnsi="Book Antiqua" w:cs="Arial"/>
          <w:sz w:val="20"/>
          <w:szCs w:val="20"/>
        </w:rPr>
        <w:t xml:space="preserve">attoo </w:t>
      </w:r>
      <w:r>
        <w:rPr>
          <w:rFonts w:ascii="Book Antiqua" w:hAnsi="Book Antiqua" w:cs="Arial"/>
          <w:sz w:val="20"/>
          <w:szCs w:val="20"/>
        </w:rPr>
        <w:t>in detail.</w:t>
      </w:r>
      <w:r w:rsidR="00E86EC2">
        <w:rPr>
          <w:rFonts w:ascii="Book Antiqua" w:hAnsi="Book Antiqua" w:cs="Arial"/>
          <w:sz w:val="20"/>
          <w:szCs w:val="20"/>
        </w:rPr>
        <w:t xml:space="preserve"> One might have thought a suitably discreet photograph could have been produced in Court.</w:t>
      </w:r>
      <w:r w:rsidR="00B773A5">
        <w:rPr>
          <w:rFonts w:ascii="Book Antiqua" w:hAnsi="Book Antiqua" w:cs="Arial"/>
          <w:sz w:val="20"/>
          <w:szCs w:val="20"/>
        </w:rPr>
        <w:t xml:space="preserve"> Otherwise, I am left with the lingering doubt that the parties have simply got their heads together after realising the obvious difference in answer.</w:t>
      </w:r>
    </w:p>
    <w:p w14:paraId="1D18C5A6" w14:textId="77777777" w:rsidR="00B773A5" w:rsidRDefault="00B773A5" w:rsidP="00461A0D">
      <w:pPr>
        <w:pStyle w:val="ListParagraph"/>
        <w:jc w:val="both"/>
        <w:rPr>
          <w:rFonts w:ascii="Book Antiqua" w:hAnsi="Book Antiqua" w:cs="Arial"/>
          <w:sz w:val="20"/>
          <w:szCs w:val="20"/>
        </w:rPr>
      </w:pPr>
    </w:p>
    <w:p w14:paraId="69FC7014" w14:textId="77777777" w:rsidR="003D5FF0" w:rsidRDefault="00B773A5" w:rsidP="00461A0D">
      <w:pPr>
        <w:numPr>
          <w:ilvl w:val="0"/>
          <w:numId w:val="5"/>
        </w:numPr>
        <w:jc w:val="both"/>
        <w:rPr>
          <w:rFonts w:ascii="Book Antiqua" w:hAnsi="Book Antiqua" w:cs="Arial"/>
          <w:sz w:val="20"/>
          <w:szCs w:val="20"/>
        </w:rPr>
      </w:pPr>
      <w:r>
        <w:rPr>
          <w:rFonts w:ascii="Book Antiqua" w:hAnsi="Book Antiqua" w:cs="Arial"/>
          <w:sz w:val="20"/>
          <w:szCs w:val="20"/>
        </w:rPr>
        <w:t>The different address exhibited to the Appellant’s Guardian by each party.</w:t>
      </w:r>
      <w:r w:rsidR="003D5FF0">
        <w:rPr>
          <w:rFonts w:ascii="Book Antiqua" w:hAnsi="Book Antiqua" w:cs="Arial"/>
          <w:sz w:val="20"/>
          <w:szCs w:val="20"/>
        </w:rPr>
        <w:t xml:space="preserve"> It is telling that the Appellant is the one who gets this ‘wrong’.</w:t>
      </w:r>
    </w:p>
    <w:p w14:paraId="1464B1B8" w14:textId="77777777" w:rsidR="003D5FF0" w:rsidRDefault="003D5FF0" w:rsidP="00461A0D">
      <w:pPr>
        <w:pStyle w:val="ListParagraph"/>
        <w:jc w:val="both"/>
        <w:rPr>
          <w:rFonts w:ascii="Book Antiqua" w:hAnsi="Book Antiqua" w:cs="Arial"/>
          <w:sz w:val="20"/>
          <w:szCs w:val="20"/>
        </w:rPr>
      </w:pPr>
    </w:p>
    <w:p w14:paraId="1FD2535C" w14:textId="77777777" w:rsidR="004C7A10" w:rsidRDefault="003D5FF0" w:rsidP="00461A0D">
      <w:pPr>
        <w:numPr>
          <w:ilvl w:val="0"/>
          <w:numId w:val="5"/>
        </w:numPr>
        <w:jc w:val="both"/>
        <w:rPr>
          <w:rFonts w:ascii="Book Antiqua" w:hAnsi="Book Antiqua" w:cs="Arial"/>
          <w:sz w:val="20"/>
          <w:szCs w:val="20"/>
        </w:rPr>
      </w:pPr>
      <w:r>
        <w:rPr>
          <w:rFonts w:ascii="Book Antiqua" w:hAnsi="Book Antiqua" w:cs="Arial"/>
          <w:sz w:val="20"/>
          <w:szCs w:val="20"/>
        </w:rPr>
        <w:t>A completely different series of events given by each when asked what they had done the previous weekend. The Appellant thought they had gone shopping for his birthday</w:t>
      </w:r>
      <w:r w:rsidR="00735CE5">
        <w:rPr>
          <w:rFonts w:ascii="Book Antiqua" w:hAnsi="Book Antiqua" w:cs="Arial"/>
          <w:sz w:val="20"/>
          <w:szCs w:val="20"/>
        </w:rPr>
        <w:t xml:space="preserve"> (which he would remember) whereas Mrs </w:t>
      </w:r>
      <w:proofErr w:type="spellStart"/>
      <w:r w:rsidR="00735CE5">
        <w:rPr>
          <w:rFonts w:ascii="Book Antiqua" w:hAnsi="Book Antiqua" w:cs="Arial"/>
          <w:sz w:val="20"/>
          <w:szCs w:val="20"/>
        </w:rPr>
        <w:t>Nadarasalingam</w:t>
      </w:r>
      <w:proofErr w:type="spellEnd"/>
      <w:r w:rsidR="00735CE5">
        <w:rPr>
          <w:rFonts w:ascii="Book Antiqua" w:hAnsi="Book Antiqua" w:cs="Arial"/>
          <w:sz w:val="20"/>
          <w:szCs w:val="20"/>
        </w:rPr>
        <w:t xml:space="preserve"> believed she had worked then come home to watch a film together. When challenged about that in Court, Mr Fernando</w:t>
      </w:r>
      <w:r w:rsidR="004C7A10">
        <w:rPr>
          <w:rFonts w:ascii="Book Antiqua" w:hAnsi="Book Antiqua" w:cs="Arial"/>
          <w:sz w:val="20"/>
          <w:szCs w:val="20"/>
        </w:rPr>
        <w:t xml:space="preserve"> said he couldn’t remember what they had done. If that were right, why say otherwise in the interview?</w:t>
      </w:r>
    </w:p>
    <w:p w14:paraId="62D4A339" w14:textId="77777777" w:rsidR="004C7A10" w:rsidRDefault="004C7A10" w:rsidP="00461A0D">
      <w:pPr>
        <w:pStyle w:val="ListParagraph"/>
        <w:jc w:val="both"/>
        <w:rPr>
          <w:rFonts w:ascii="Book Antiqua" w:hAnsi="Book Antiqua" w:cs="Arial"/>
          <w:sz w:val="20"/>
          <w:szCs w:val="20"/>
        </w:rPr>
      </w:pPr>
    </w:p>
    <w:p w14:paraId="1F3A4CAB" w14:textId="77777777" w:rsidR="00D83795" w:rsidRDefault="004C7A10" w:rsidP="00461A0D">
      <w:pPr>
        <w:numPr>
          <w:ilvl w:val="0"/>
          <w:numId w:val="5"/>
        </w:numPr>
        <w:jc w:val="both"/>
        <w:rPr>
          <w:rFonts w:ascii="Book Antiqua" w:hAnsi="Book Antiqua" w:cs="Arial"/>
          <w:sz w:val="20"/>
          <w:szCs w:val="20"/>
        </w:rPr>
      </w:pPr>
      <w:r>
        <w:rPr>
          <w:rFonts w:ascii="Book Antiqua" w:hAnsi="Book Antiqua" w:cs="Arial"/>
          <w:sz w:val="20"/>
          <w:szCs w:val="20"/>
        </w:rPr>
        <w:t xml:space="preserve">The utterly different account as to what the Appellant had given Mrs </w:t>
      </w:r>
      <w:proofErr w:type="spellStart"/>
      <w:r>
        <w:rPr>
          <w:rFonts w:ascii="Book Antiqua" w:hAnsi="Book Antiqua" w:cs="Arial"/>
          <w:sz w:val="20"/>
          <w:szCs w:val="20"/>
        </w:rPr>
        <w:t>Nadarasalingam</w:t>
      </w:r>
      <w:proofErr w:type="spellEnd"/>
      <w:r>
        <w:rPr>
          <w:rFonts w:ascii="Book Antiqua" w:hAnsi="Book Antiqua" w:cs="Arial"/>
          <w:sz w:val="20"/>
          <w:szCs w:val="20"/>
        </w:rPr>
        <w:t xml:space="preserve"> for her birthday.</w:t>
      </w:r>
      <w:r w:rsidR="00794920">
        <w:rPr>
          <w:rFonts w:ascii="Book Antiqua" w:hAnsi="Book Antiqua" w:cs="Arial"/>
          <w:sz w:val="20"/>
          <w:szCs w:val="20"/>
        </w:rPr>
        <w:t xml:space="preserve"> He thought nothing, whereas Mrs </w:t>
      </w:r>
      <w:proofErr w:type="spellStart"/>
      <w:r w:rsidR="00794920">
        <w:rPr>
          <w:rFonts w:ascii="Book Antiqua" w:hAnsi="Book Antiqua" w:cs="Arial"/>
          <w:sz w:val="20"/>
          <w:szCs w:val="20"/>
        </w:rPr>
        <w:t>Nadarasalingam</w:t>
      </w:r>
      <w:proofErr w:type="spellEnd"/>
      <w:r w:rsidR="00794920">
        <w:rPr>
          <w:rFonts w:ascii="Book Antiqua" w:hAnsi="Book Antiqua" w:cs="Arial"/>
          <w:sz w:val="20"/>
          <w:szCs w:val="20"/>
        </w:rPr>
        <w:t xml:space="preserve"> described receiving money. An attempt to explain this away in Court as confusion (the money purportedly came in an entirely blank card which was s</w:t>
      </w:r>
      <w:r w:rsidR="00D83795">
        <w:rPr>
          <w:rFonts w:ascii="Book Antiqua" w:hAnsi="Book Antiqua" w:cs="Arial"/>
          <w:sz w:val="20"/>
          <w:szCs w:val="20"/>
        </w:rPr>
        <w:t>ummed</w:t>
      </w:r>
      <w:r w:rsidR="00794920">
        <w:rPr>
          <w:rFonts w:ascii="Book Antiqua" w:hAnsi="Book Antiqua" w:cs="Arial"/>
          <w:sz w:val="20"/>
          <w:szCs w:val="20"/>
        </w:rPr>
        <w:t xml:space="preserve"> as being from the Appellant)</w:t>
      </w:r>
      <w:r w:rsidR="00D83795">
        <w:rPr>
          <w:rFonts w:ascii="Book Antiqua" w:hAnsi="Book Antiqua" w:cs="Arial"/>
          <w:sz w:val="20"/>
          <w:szCs w:val="20"/>
        </w:rPr>
        <w:t xml:space="preserve"> was frankly unbelievable.</w:t>
      </w:r>
    </w:p>
    <w:p w14:paraId="1A9C070D" w14:textId="77777777" w:rsidR="00D83795" w:rsidRDefault="00D83795" w:rsidP="00461A0D">
      <w:pPr>
        <w:pStyle w:val="ListParagraph"/>
        <w:jc w:val="both"/>
        <w:rPr>
          <w:rFonts w:ascii="Book Antiqua" w:hAnsi="Book Antiqua" w:cs="Arial"/>
          <w:sz w:val="20"/>
          <w:szCs w:val="20"/>
        </w:rPr>
      </w:pPr>
    </w:p>
    <w:p w14:paraId="1612230B" w14:textId="77777777" w:rsidR="00EF26C4" w:rsidRDefault="00D83795" w:rsidP="00461A0D">
      <w:pPr>
        <w:numPr>
          <w:ilvl w:val="0"/>
          <w:numId w:val="5"/>
        </w:numPr>
        <w:jc w:val="both"/>
        <w:rPr>
          <w:rFonts w:ascii="Book Antiqua" w:hAnsi="Book Antiqua" w:cs="Arial"/>
          <w:sz w:val="20"/>
          <w:szCs w:val="20"/>
        </w:rPr>
      </w:pPr>
      <w:r>
        <w:rPr>
          <w:rFonts w:ascii="Book Antiqua" w:hAnsi="Book Antiqua" w:cs="Arial"/>
          <w:sz w:val="20"/>
          <w:szCs w:val="20"/>
        </w:rPr>
        <w:t>The Appellant had thought to the floor as their bedroom was carpeted. His Wife described it as wooden.</w:t>
      </w:r>
    </w:p>
    <w:p w14:paraId="50D710B2" w14:textId="77777777" w:rsidR="00EF26C4" w:rsidRDefault="00EF26C4" w:rsidP="00461A0D">
      <w:pPr>
        <w:pStyle w:val="ListParagraph"/>
        <w:jc w:val="both"/>
        <w:rPr>
          <w:rFonts w:ascii="Book Antiqua" w:hAnsi="Book Antiqua" w:cs="Arial"/>
          <w:sz w:val="20"/>
          <w:szCs w:val="20"/>
        </w:rPr>
      </w:pPr>
    </w:p>
    <w:p w14:paraId="72EE74E1" w14:textId="77777777" w:rsidR="00F73A22" w:rsidRDefault="00EF26C4" w:rsidP="00461A0D">
      <w:pPr>
        <w:numPr>
          <w:ilvl w:val="0"/>
          <w:numId w:val="5"/>
        </w:numPr>
        <w:jc w:val="both"/>
        <w:rPr>
          <w:rFonts w:ascii="Book Antiqua" w:hAnsi="Book Antiqua" w:cs="Arial"/>
          <w:sz w:val="20"/>
          <w:szCs w:val="20"/>
        </w:rPr>
      </w:pPr>
      <w:r>
        <w:rPr>
          <w:rFonts w:ascii="Book Antiqua" w:hAnsi="Book Antiqua" w:cs="Arial"/>
          <w:sz w:val="20"/>
          <w:szCs w:val="20"/>
        </w:rPr>
        <w:t xml:space="preserve">Per his verbal evidence, Appellant claimed in Court the letter from his wife’s parents had been sent to him directly via social media. By contrast, Mrs </w:t>
      </w:r>
      <w:proofErr w:type="spellStart"/>
      <w:r>
        <w:rPr>
          <w:rFonts w:ascii="Book Antiqua" w:hAnsi="Book Antiqua" w:cs="Arial"/>
          <w:sz w:val="20"/>
          <w:szCs w:val="20"/>
        </w:rPr>
        <w:t>Nadarasalingam</w:t>
      </w:r>
      <w:proofErr w:type="spellEnd"/>
      <w:r w:rsidR="00F73A22">
        <w:rPr>
          <w:rFonts w:ascii="Book Antiqua" w:hAnsi="Book Antiqua" w:cs="Arial"/>
          <w:sz w:val="20"/>
          <w:szCs w:val="20"/>
        </w:rPr>
        <w:t xml:space="preserve"> said the latter had been sent to herself. Both cannot be right.</w:t>
      </w:r>
    </w:p>
    <w:p w14:paraId="4106CF81" w14:textId="77777777" w:rsidR="00F73A22" w:rsidRDefault="00F73A22" w:rsidP="00461A0D">
      <w:pPr>
        <w:pStyle w:val="ListParagraph"/>
        <w:jc w:val="both"/>
        <w:rPr>
          <w:rFonts w:ascii="Book Antiqua" w:hAnsi="Book Antiqua" w:cs="Arial"/>
          <w:sz w:val="20"/>
          <w:szCs w:val="20"/>
        </w:rPr>
      </w:pPr>
    </w:p>
    <w:p w14:paraId="4381E54A" w14:textId="2D78E3F0" w:rsidR="008E5A41" w:rsidRDefault="00F73A22" w:rsidP="00461A0D">
      <w:pPr>
        <w:numPr>
          <w:ilvl w:val="0"/>
          <w:numId w:val="5"/>
        </w:numPr>
        <w:jc w:val="both"/>
        <w:rPr>
          <w:rFonts w:ascii="Book Antiqua" w:hAnsi="Book Antiqua" w:cs="Arial"/>
          <w:sz w:val="20"/>
          <w:szCs w:val="20"/>
        </w:rPr>
      </w:pPr>
      <w:r>
        <w:rPr>
          <w:rFonts w:ascii="Book Antiqua" w:hAnsi="Book Antiqua" w:cs="Arial"/>
          <w:sz w:val="20"/>
          <w:szCs w:val="20"/>
        </w:rPr>
        <w:t xml:space="preserve">On a similar topic, Mrs </w:t>
      </w:r>
      <w:proofErr w:type="spellStart"/>
      <w:r>
        <w:rPr>
          <w:rFonts w:ascii="Book Antiqua" w:hAnsi="Book Antiqua" w:cs="Arial"/>
          <w:sz w:val="20"/>
          <w:szCs w:val="20"/>
        </w:rPr>
        <w:t>Nadarasalingam</w:t>
      </w:r>
      <w:proofErr w:type="spellEnd"/>
      <w:r>
        <w:rPr>
          <w:rFonts w:ascii="Book Antiqua" w:hAnsi="Book Antiqua" w:cs="Arial"/>
          <w:sz w:val="20"/>
          <w:szCs w:val="20"/>
        </w:rPr>
        <w:t xml:space="preserve"> explained in Court that her parents knew about the Appellant’s status</w:t>
      </w:r>
      <w:r w:rsidR="00E86EC2">
        <w:rPr>
          <w:rFonts w:ascii="Book Antiqua" w:hAnsi="Book Antiqua" w:cs="Arial"/>
          <w:sz w:val="20"/>
          <w:szCs w:val="20"/>
        </w:rPr>
        <w:t xml:space="preserve"> </w:t>
      </w:r>
      <w:r w:rsidR="00E32F4F">
        <w:rPr>
          <w:rFonts w:ascii="Book Antiqua" w:hAnsi="Book Antiqua" w:cs="Arial"/>
          <w:sz w:val="20"/>
          <w:szCs w:val="20"/>
        </w:rPr>
        <w:t xml:space="preserve">as a failed </w:t>
      </w:r>
      <w:r w:rsidR="00B40AFA">
        <w:rPr>
          <w:rFonts w:ascii="Book Antiqua" w:hAnsi="Book Antiqua" w:cs="Arial"/>
          <w:sz w:val="20"/>
          <w:szCs w:val="20"/>
        </w:rPr>
        <w:t>asylum seeker.</w:t>
      </w:r>
      <w:r w:rsidR="00E32F4F">
        <w:rPr>
          <w:rFonts w:ascii="Book Antiqua" w:hAnsi="Book Antiqua" w:cs="Arial"/>
          <w:sz w:val="20"/>
          <w:szCs w:val="20"/>
        </w:rPr>
        <w:t xml:space="preserve"> Mr Fernando claimed to know nothing of that. It would, I find, have been something that the couple would have discussed,</w:t>
      </w:r>
      <w:r w:rsidR="00FA4E01">
        <w:rPr>
          <w:rFonts w:ascii="Book Antiqua" w:hAnsi="Book Antiqua" w:cs="Arial"/>
          <w:sz w:val="20"/>
          <w:szCs w:val="20"/>
        </w:rPr>
        <w:t xml:space="preserve"> especially given the parents were to be approached to provide a letter of support.</w:t>
      </w:r>
    </w:p>
    <w:p w14:paraId="0734F58D" w14:textId="77777777" w:rsidR="00FA4E01" w:rsidRDefault="00FA4E01" w:rsidP="00461A0D">
      <w:pPr>
        <w:pStyle w:val="ListParagraph"/>
        <w:jc w:val="both"/>
        <w:rPr>
          <w:rFonts w:ascii="Book Antiqua" w:hAnsi="Book Antiqua" w:cs="Arial"/>
          <w:sz w:val="20"/>
          <w:szCs w:val="20"/>
        </w:rPr>
      </w:pPr>
    </w:p>
    <w:p w14:paraId="2EA39C49" w14:textId="3E9D9A71" w:rsidR="00342818" w:rsidRDefault="00A6537F" w:rsidP="00461A0D">
      <w:pPr>
        <w:numPr>
          <w:ilvl w:val="0"/>
          <w:numId w:val="3"/>
        </w:numPr>
        <w:jc w:val="both"/>
        <w:rPr>
          <w:rFonts w:ascii="Book Antiqua" w:hAnsi="Book Antiqua" w:cs="Arial"/>
        </w:rPr>
      </w:pPr>
      <w:r>
        <w:rPr>
          <w:rFonts w:ascii="Book Antiqua" w:hAnsi="Book Antiqua" w:cs="Arial"/>
        </w:rPr>
        <w:t xml:space="preserve">The appellant specifically challenges the Judge’s treatment of the witness evidence </w:t>
      </w:r>
      <w:r w:rsidR="00F309D5">
        <w:rPr>
          <w:rFonts w:ascii="Book Antiqua" w:hAnsi="Book Antiqua" w:cs="Arial"/>
        </w:rPr>
        <w:t>claiming the Judge does not adequately explain the findings. The grounds refer specifically to [45] and</w:t>
      </w:r>
      <w:r w:rsidR="00342818">
        <w:rPr>
          <w:rFonts w:ascii="Book Antiqua" w:hAnsi="Book Antiqua" w:cs="Arial"/>
        </w:rPr>
        <w:t xml:space="preserve"> [47] but it is important when considering this ground to pay due regard to [45 – 50] which </w:t>
      </w:r>
      <w:r w:rsidR="002A57B5">
        <w:rPr>
          <w:rFonts w:ascii="Book Antiqua" w:hAnsi="Book Antiqua" w:cs="Arial"/>
        </w:rPr>
        <w:t xml:space="preserve">are </w:t>
      </w:r>
      <w:r w:rsidR="00342818">
        <w:rPr>
          <w:rFonts w:ascii="Book Antiqua" w:hAnsi="Book Antiqua" w:cs="Arial"/>
        </w:rPr>
        <w:t>in the following terms:</w:t>
      </w:r>
    </w:p>
    <w:p w14:paraId="58F11B28" w14:textId="74814EF9" w:rsidR="006975FA" w:rsidRDefault="006975FA" w:rsidP="00461A0D">
      <w:pPr>
        <w:jc w:val="both"/>
        <w:rPr>
          <w:rFonts w:ascii="Book Antiqua" w:hAnsi="Book Antiqua" w:cs="Arial"/>
        </w:rPr>
      </w:pPr>
    </w:p>
    <w:p w14:paraId="1FBF9C3F" w14:textId="6C84D06B" w:rsidR="00BA5B6B" w:rsidRDefault="00BA5B6B" w:rsidP="002A57B5">
      <w:pPr>
        <w:ind w:left="2265" w:hanging="564"/>
        <w:jc w:val="both"/>
        <w:rPr>
          <w:rFonts w:ascii="Book Antiqua" w:hAnsi="Book Antiqua" w:cs="Arial"/>
          <w:sz w:val="20"/>
          <w:szCs w:val="20"/>
        </w:rPr>
      </w:pPr>
      <w:r>
        <w:rPr>
          <w:rFonts w:ascii="Book Antiqua" w:hAnsi="Book Antiqua" w:cs="Arial"/>
          <w:sz w:val="20"/>
          <w:szCs w:val="20"/>
        </w:rPr>
        <w:t xml:space="preserve">45. </w:t>
      </w:r>
      <w:r w:rsidR="002A57B5">
        <w:rPr>
          <w:rFonts w:ascii="Book Antiqua" w:hAnsi="Book Antiqua" w:cs="Arial"/>
          <w:sz w:val="20"/>
          <w:szCs w:val="20"/>
        </w:rPr>
        <w:tab/>
      </w:r>
      <w:r>
        <w:rPr>
          <w:rFonts w:ascii="Book Antiqua" w:hAnsi="Book Antiqua" w:cs="Arial"/>
          <w:sz w:val="20"/>
          <w:szCs w:val="20"/>
        </w:rPr>
        <w:t xml:space="preserve">What then the </w:t>
      </w:r>
      <w:r w:rsidR="002A57B5">
        <w:rPr>
          <w:rFonts w:ascii="Book Antiqua" w:hAnsi="Book Antiqua" w:cs="Arial"/>
          <w:sz w:val="20"/>
          <w:szCs w:val="20"/>
        </w:rPr>
        <w:t xml:space="preserve">two </w:t>
      </w:r>
      <w:r>
        <w:rPr>
          <w:rFonts w:ascii="Book Antiqua" w:hAnsi="Book Antiqua" w:cs="Arial"/>
          <w:sz w:val="20"/>
          <w:szCs w:val="20"/>
        </w:rPr>
        <w:t xml:space="preserve">witnesses who testified before me? </w:t>
      </w:r>
      <w:r w:rsidR="00101EFB">
        <w:rPr>
          <w:rFonts w:ascii="Book Antiqua" w:hAnsi="Book Antiqua" w:cs="Arial"/>
          <w:sz w:val="20"/>
          <w:szCs w:val="20"/>
        </w:rPr>
        <w:t>At first blush, each seems entirely credible. However, it must be right that the evidence given is in part only as good as its primary source - the Appellant. These are not people who see the couple each day, so cannot intrude comment comprehensively</w:t>
      </w:r>
      <w:r w:rsidR="00BE112D">
        <w:rPr>
          <w:rFonts w:ascii="Book Antiqua" w:hAnsi="Book Antiqua" w:cs="Arial"/>
          <w:sz w:val="20"/>
          <w:szCs w:val="20"/>
        </w:rPr>
        <w:t xml:space="preserve"> on whether the relationship is genuine or not. If this case involves a determined attempt to remain in the UK, it </w:t>
      </w:r>
      <w:r w:rsidR="00BE112D">
        <w:rPr>
          <w:rFonts w:ascii="Book Antiqua" w:hAnsi="Book Antiqua" w:cs="Arial"/>
          <w:sz w:val="20"/>
          <w:szCs w:val="20"/>
        </w:rPr>
        <w:lastRenderedPageBreak/>
        <w:t>is far from impossible to imagine someone putting up ‘a good front’ so as to convince others of his circumstances.</w:t>
      </w:r>
    </w:p>
    <w:p w14:paraId="1B114847" w14:textId="010E7ED3" w:rsidR="00BE112D" w:rsidRDefault="00BE112D" w:rsidP="00461A0D">
      <w:pPr>
        <w:ind w:left="1701"/>
        <w:jc w:val="both"/>
        <w:rPr>
          <w:rFonts w:ascii="Book Antiqua" w:hAnsi="Book Antiqua" w:cs="Arial"/>
          <w:sz w:val="20"/>
          <w:szCs w:val="20"/>
        </w:rPr>
      </w:pPr>
    </w:p>
    <w:p w14:paraId="24240C84" w14:textId="1CFA30DE" w:rsidR="00BE112D" w:rsidRDefault="00BE112D" w:rsidP="00A87D56">
      <w:pPr>
        <w:ind w:left="2265" w:hanging="564"/>
        <w:jc w:val="both"/>
        <w:rPr>
          <w:rFonts w:ascii="Book Antiqua" w:hAnsi="Book Antiqua" w:cs="Arial"/>
          <w:sz w:val="20"/>
          <w:szCs w:val="20"/>
        </w:rPr>
      </w:pPr>
      <w:r>
        <w:rPr>
          <w:rFonts w:ascii="Book Antiqua" w:hAnsi="Book Antiqua" w:cs="Arial"/>
          <w:sz w:val="20"/>
          <w:szCs w:val="20"/>
        </w:rPr>
        <w:t xml:space="preserve">46. </w:t>
      </w:r>
      <w:r w:rsidR="00A87D56">
        <w:rPr>
          <w:rFonts w:ascii="Book Antiqua" w:hAnsi="Book Antiqua" w:cs="Arial"/>
          <w:sz w:val="20"/>
          <w:szCs w:val="20"/>
        </w:rPr>
        <w:tab/>
      </w:r>
      <w:r>
        <w:rPr>
          <w:rFonts w:ascii="Book Antiqua" w:hAnsi="Book Antiqua" w:cs="Arial"/>
          <w:sz w:val="20"/>
          <w:szCs w:val="20"/>
        </w:rPr>
        <w:t>I also note</w:t>
      </w:r>
      <w:r w:rsidR="00743F15">
        <w:rPr>
          <w:rFonts w:ascii="Book Antiqua" w:hAnsi="Book Antiqua" w:cs="Arial"/>
          <w:sz w:val="20"/>
          <w:szCs w:val="20"/>
        </w:rPr>
        <w:t xml:space="preserve"> the lack of anything objective to support what the witnesses </w:t>
      </w:r>
      <w:proofErr w:type="gramStart"/>
      <w:r w:rsidR="00743F15">
        <w:rPr>
          <w:rFonts w:ascii="Book Antiqua" w:hAnsi="Book Antiqua" w:cs="Arial"/>
          <w:sz w:val="20"/>
          <w:szCs w:val="20"/>
        </w:rPr>
        <w:t>have to</w:t>
      </w:r>
      <w:proofErr w:type="gramEnd"/>
      <w:r w:rsidR="00743F15">
        <w:rPr>
          <w:rFonts w:ascii="Book Antiqua" w:hAnsi="Book Antiqua" w:cs="Arial"/>
          <w:sz w:val="20"/>
          <w:szCs w:val="20"/>
        </w:rPr>
        <w:t xml:space="preserve"> say, such as evidence of church attendance. I haven’t even been told the name of the church in question.</w:t>
      </w:r>
    </w:p>
    <w:p w14:paraId="5DC288FA" w14:textId="161E26BC" w:rsidR="00743F15" w:rsidRDefault="00743F15" w:rsidP="00461A0D">
      <w:pPr>
        <w:ind w:left="1701"/>
        <w:jc w:val="both"/>
        <w:rPr>
          <w:rFonts w:ascii="Book Antiqua" w:hAnsi="Book Antiqua" w:cs="Arial"/>
          <w:sz w:val="20"/>
          <w:szCs w:val="20"/>
        </w:rPr>
      </w:pPr>
    </w:p>
    <w:p w14:paraId="1DC0AD53" w14:textId="215C3FBB" w:rsidR="00743F15" w:rsidRDefault="00743F15" w:rsidP="00A87D56">
      <w:pPr>
        <w:ind w:left="2265" w:hanging="564"/>
        <w:jc w:val="both"/>
        <w:rPr>
          <w:rFonts w:ascii="Book Antiqua" w:hAnsi="Book Antiqua" w:cs="Arial"/>
          <w:sz w:val="20"/>
          <w:szCs w:val="20"/>
        </w:rPr>
      </w:pPr>
      <w:r>
        <w:rPr>
          <w:rFonts w:ascii="Book Antiqua" w:hAnsi="Book Antiqua" w:cs="Arial"/>
          <w:sz w:val="20"/>
          <w:szCs w:val="20"/>
        </w:rPr>
        <w:t xml:space="preserve">47. </w:t>
      </w:r>
      <w:r w:rsidR="00A87D56">
        <w:rPr>
          <w:rFonts w:ascii="Book Antiqua" w:hAnsi="Book Antiqua" w:cs="Arial"/>
          <w:sz w:val="20"/>
          <w:szCs w:val="20"/>
        </w:rPr>
        <w:tab/>
      </w:r>
      <w:r>
        <w:rPr>
          <w:rFonts w:ascii="Book Antiqua" w:hAnsi="Book Antiqua" w:cs="Arial"/>
          <w:sz w:val="20"/>
          <w:szCs w:val="20"/>
        </w:rPr>
        <w:t xml:space="preserve">Do I find that the last </w:t>
      </w:r>
      <w:r w:rsidR="00A87D56">
        <w:rPr>
          <w:rFonts w:ascii="Book Antiqua" w:hAnsi="Book Antiqua" w:cs="Arial"/>
          <w:sz w:val="20"/>
          <w:szCs w:val="20"/>
        </w:rPr>
        <w:t xml:space="preserve">two </w:t>
      </w:r>
      <w:r>
        <w:rPr>
          <w:rFonts w:ascii="Book Antiqua" w:hAnsi="Book Antiqua" w:cs="Arial"/>
          <w:sz w:val="20"/>
          <w:szCs w:val="20"/>
        </w:rPr>
        <w:t>witnesses are lying to me? Not necessarily. At the very least, however, I find they had been led up the garden path.</w:t>
      </w:r>
    </w:p>
    <w:p w14:paraId="55172066" w14:textId="7342BDB9" w:rsidR="00743F15" w:rsidRDefault="00743F15" w:rsidP="00461A0D">
      <w:pPr>
        <w:ind w:left="1701"/>
        <w:jc w:val="both"/>
        <w:rPr>
          <w:rFonts w:ascii="Book Antiqua" w:hAnsi="Book Antiqua" w:cs="Arial"/>
          <w:sz w:val="20"/>
          <w:szCs w:val="20"/>
        </w:rPr>
      </w:pPr>
    </w:p>
    <w:p w14:paraId="627545C9" w14:textId="6B05A1E0" w:rsidR="00743F15" w:rsidRDefault="00743F15" w:rsidP="00A87D56">
      <w:pPr>
        <w:ind w:left="2265" w:hanging="564"/>
        <w:jc w:val="both"/>
        <w:rPr>
          <w:rFonts w:ascii="Book Antiqua" w:hAnsi="Book Antiqua" w:cs="Arial"/>
          <w:sz w:val="20"/>
          <w:szCs w:val="20"/>
        </w:rPr>
      </w:pPr>
      <w:r>
        <w:rPr>
          <w:rFonts w:ascii="Book Antiqua" w:hAnsi="Book Antiqua" w:cs="Arial"/>
          <w:sz w:val="20"/>
          <w:szCs w:val="20"/>
        </w:rPr>
        <w:t xml:space="preserve">48. </w:t>
      </w:r>
      <w:r w:rsidR="00A87D56">
        <w:rPr>
          <w:rFonts w:ascii="Book Antiqua" w:hAnsi="Book Antiqua" w:cs="Arial"/>
          <w:sz w:val="20"/>
          <w:szCs w:val="20"/>
        </w:rPr>
        <w:tab/>
      </w:r>
      <w:r>
        <w:rPr>
          <w:rFonts w:ascii="Book Antiqua" w:hAnsi="Book Antiqua" w:cs="Arial"/>
          <w:sz w:val="20"/>
          <w:szCs w:val="20"/>
        </w:rPr>
        <w:t>Although I acknowledge there are some photographs included in the bundle,</w:t>
      </w:r>
      <w:r w:rsidR="003C3B21">
        <w:rPr>
          <w:rFonts w:ascii="Book Antiqua" w:hAnsi="Book Antiqua" w:cs="Arial"/>
          <w:sz w:val="20"/>
          <w:szCs w:val="20"/>
        </w:rPr>
        <w:t xml:space="preserve"> those I find of limited value given the overall concerns I have about the other evidence given.</w:t>
      </w:r>
    </w:p>
    <w:p w14:paraId="614A7750" w14:textId="00D01DD2" w:rsidR="003C3B21" w:rsidRDefault="003C3B21" w:rsidP="00461A0D">
      <w:pPr>
        <w:ind w:left="1701"/>
        <w:jc w:val="both"/>
        <w:rPr>
          <w:rFonts w:ascii="Book Antiqua" w:hAnsi="Book Antiqua" w:cs="Arial"/>
          <w:sz w:val="20"/>
          <w:szCs w:val="20"/>
        </w:rPr>
      </w:pPr>
    </w:p>
    <w:p w14:paraId="4B14A807" w14:textId="753E1EE9" w:rsidR="003C3B21" w:rsidRDefault="003C3B21" w:rsidP="00A87D56">
      <w:pPr>
        <w:ind w:left="2265" w:hanging="564"/>
        <w:jc w:val="both"/>
        <w:rPr>
          <w:rFonts w:ascii="Book Antiqua" w:hAnsi="Book Antiqua" w:cs="Arial"/>
          <w:sz w:val="20"/>
          <w:szCs w:val="20"/>
        </w:rPr>
      </w:pPr>
      <w:r>
        <w:rPr>
          <w:rFonts w:ascii="Book Antiqua" w:hAnsi="Book Antiqua" w:cs="Arial"/>
          <w:sz w:val="20"/>
          <w:szCs w:val="20"/>
        </w:rPr>
        <w:t xml:space="preserve">49. </w:t>
      </w:r>
      <w:r w:rsidR="00A87D56">
        <w:rPr>
          <w:rFonts w:ascii="Book Antiqua" w:hAnsi="Book Antiqua" w:cs="Arial"/>
          <w:sz w:val="20"/>
          <w:szCs w:val="20"/>
        </w:rPr>
        <w:tab/>
      </w:r>
      <w:r>
        <w:rPr>
          <w:rFonts w:ascii="Book Antiqua" w:hAnsi="Book Antiqua" w:cs="Arial"/>
          <w:sz w:val="20"/>
          <w:szCs w:val="20"/>
        </w:rPr>
        <w:t>Nor is there much to show the couple even live together. Mr Timpson urges me to the view that, were they conniving, they could have easily added the Appellant’s name to bills. That may be right, but the fact that there isn’t anything but a council tax bill leads me to the irresistible conclusion that the Appellant does not in any meaningful sense live with his Wife.</w:t>
      </w:r>
    </w:p>
    <w:p w14:paraId="6FE621A1" w14:textId="6AA5136C" w:rsidR="00A62825" w:rsidRDefault="00A62825" w:rsidP="00461A0D">
      <w:pPr>
        <w:ind w:left="1701"/>
        <w:jc w:val="both"/>
        <w:rPr>
          <w:rFonts w:ascii="Book Antiqua" w:hAnsi="Book Antiqua" w:cs="Arial"/>
          <w:sz w:val="20"/>
          <w:szCs w:val="20"/>
        </w:rPr>
      </w:pPr>
    </w:p>
    <w:p w14:paraId="59E712D7" w14:textId="6C37DCAD" w:rsidR="00A62825" w:rsidRDefault="00A62825" w:rsidP="003D377C">
      <w:pPr>
        <w:ind w:left="2265" w:hanging="564"/>
        <w:jc w:val="both"/>
        <w:rPr>
          <w:rFonts w:ascii="Book Antiqua" w:hAnsi="Book Antiqua" w:cs="Arial"/>
          <w:sz w:val="20"/>
          <w:szCs w:val="20"/>
        </w:rPr>
      </w:pPr>
      <w:r>
        <w:rPr>
          <w:rFonts w:ascii="Book Antiqua" w:hAnsi="Book Antiqua" w:cs="Arial"/>
          <w:sz w:val="20"/>
          <w:szCs w:val="20"/>
        </w:rPr>
        <w:t xml:space="preserve">50. </w:t>
      </w:r>
      <w:r w:rsidR="003D377C">
        <w:rPr>
          <w:rFonts w:ascii="Book Antiqua" w:hAnsi="Book Antiqua" w:cs="Arial"/>
          <w:sz w:val="20"/>
          <w:szCs w:val="20"/>
        </w:rPr>
        <w:tab/>
      </w:r>
      <w:r>
        <w:rPr>
          <w:rFonts w:ascii="Book Antiqua" w:hAnsi="Book Antiqua" w:cs="Arial"/>
          <w:sz w:val="20"/>
          <w:szCs w:val="20"/>
        </w:rPr>
        <w:t>Taking things in the round, I simply don’t accept what I am being told here. I do not believe the relationship is at all genuine. Rather, to my mind the Appellant is someone who will do and say anything to remain in the UK.</w:t>
      </w:r>
    </w:p>
    <w:p w14:paraId="18617214" w14:textId="77777777" w:rsidR="00A62825" w:rsidRPr="00BA5B6B" w:rsidRDefault="00A62825" w:rsidP="00461A0D">
      <w:pPr>
        <w:ind w:left="1701"/>
        <w:jc w:val="both"/>
        <w:rPr>
          <w:rFonts w:ascii="Book Antiqua" w:hAnsi="Book Antiqua" w:cs="Arial"/>
          <w:sz w:val="20"/>
          <w:szCs w:val="20"/>
        </w:rPr>
      </w:pPr>
    </w:p>
    <w:p w14:paraId="5E8B2F7E" w14:textId="607B1BB1" w:rsidR="006975FA" w:rsidRDefault="003720FB" w:rsidP="00461A0D">
      <w:pPr>
        <w:numPr>
          <w:ilvl w:val="0"/>
          <w:numId w:val="3"/>
        </w:numPr>
        <w:jc w:val="both"/>
        <w:rPr>
          <w:rFonts w:ascii="Book Antiqua" w:hAnsi="Book Antiqua" w:cs="Arial"/>
        </w:rPr>
      </w:pPr>
      <w:r>
        <w:rPr>
          <w:rFonts w:ascii="Book Antiqua" w:hAnsi="Book Antiqua" w:cs="Arial"/>
        </w:rPr>
        <w:t xml:space="preserve">What a reading of the </w:t>
      </w:r>
      <w:r w:rsidR="00187066">
        <w:rPr>
          <w:rFonts w:ascii="Book Antiqua" w:hAnsi="Book Antiqua" w:cs="Arial"/>
        </w:rPr>
        <w:t>de</w:t>
      </w:r>
      <w:r>
        <w:rPr>
          <w:rFonts w:ascii="Book Antiqua" w:hAnsi="Book Antiqua" w:cs="Arial"/>
        </w:rPr>
        <w:t xml:space="preserve">termination </w:t>
      </w:r>
      <w:r w:rsidR="003D377C">
        <w:rPr>
          <w:rFonts w:ascii="Book Antiqua" w:hAnsi="Book Antiqua" w:cs="Arial"/>
        </w:rPr>
        <w:t xml:space="preserve">as a </w:t>
      </w:r>
      <w:r>
        <w:rPr>
          <w:rFonts w:ascii="Book Antiqua" w:hAnsi="Book Antiqua" w:cs="Arial"/>
        </w:rPr>
        <w:t>whole show</w:t>
      </w:r>
      <w:r w:rsidR="003D377C">
        <w:rPr>
          <w:rFonts w:ascii="Book Antiqua" w:hAnsi="Book Antiqua" w:cs="Arial"/>
        </w:rPr>
        <w:t>s</w:t>
      </w:r>
      <w:r>
        <w:rPr>
          <w:rFonts w:ascii="Book Antiqua" w:hAnsi="Book Antiqua" w:cs="Arial"/>
        </w:rPr>
        <w:t xml:space="preserve"> </w:t>
      </w:r>
      <w:proofErr w:type="gramStart"/>
      <w:r w:rsidR="003D377C">
        <w:rPr>
          <w:rFonts w:ascii="Book Antiqua" w:hAnsi="Book Antiqua" w:cs="Arial"/>
        </w:rPr>
        <w:t>i</w:t>
      </w:r>
      <w:r>
        <w:rPr>
          <w:rFonts w:ascii="Book Antiqua" w:hAnsi="Book Antiqua" w:cs="Arial"/>
        </w:rPr>
        <w:t>s</w:t>
      </w:r>
      <w:proofErr w:type="gramEnd"/>
      <w:r>
        <w:rPr>
          <w:rFonts w:ascii="Book Antiqua" w:hAnsi="Book Antiqua" w:cs="Arial"/>
        </w:rPr>
        <w:t xml:space="preserve"> </w:t>
      </w:r>
      <w:r w:rsidR="00187066">
        <w:rPr>
          <w:rFonts w:ascii="Book Antiqua" w:hAnsi="Book Antiqua" w:cs="Arial"/>
        </w:rPr>
        <w:t xml:space="preserve">that </w:t>
      </w:r>
      <w:r>
        <w:rPr>
          <w:rFonts w:ascii="Book Antiqua" w:hAnsi="Book Antiqua" w:cs="Arial"/>
        </w:rPr>
        <w:t>the Judge clearly considered all the available evidence in the round before deciding what weight could be attributed to</w:t>
      </w:r>
      <w:r w:rsidR="006924AB">
        <w:rPr>
          <w:rFonts w:ascii="Book Antiqua" w:hAnsi="Book Antiqua" w:cs="Arial"/>
        </w:rPr>
        <w:t xml:space="preserve"> the material received. The Judge identifies shortfalls in the evidence </w:t>
      </w:r>
      <w:r w:rsidR="00AF66A3">
        <w:rPr>
          <w:rFonts w:ascii="Book Antiqua" w:hAnsi="Book Antiqua" w:cs="Arial"/>
        </w:rPr>
        <w:t xml:space="preserve">but also </w:t>
      </w:r>
      <w:r w:rsidR="006924AB">
        <w:rPr>
          <w:rFonts w:ascii="Book Antiqua" w:hAnsi="Book Antiqua" w:cs="Arial"/>
        </w:rPr>
        <w:t xml:space="preserve">specifically comments upon the evidence </w:t>
      </w:r>
      <w:proofErr w:type="gramStart"/>
      <w:r w:rsidR="00AF66A3">
        <w:rPr>
          <w:rFonts w:ascii="Book Antiqua" w:hAnsi="Book Antiqua" w:cs="Arial"/>
        </w:rPr>
        <w:t>a</w:t>
      </w:r>
      <w:r w:rsidR="006924AB">
        <w:rPr>
          <w:rFonts w:ascii="Book Antiqua" w:hAnsi="Book Antiqua" w:cs="Arial"/>
        </w:rPr>
        <w:t>ctually given</w:t>
      </w:r>
      <w:proofErr w:type="gramEnd"/>
      <w:r w:rsidR="006924AB">
        <w:rPr>
          <w:rFonts w:ascii="Book Antiqua" w:hAnsi="Book Antiqua" w:cs="Arial"/>
        </w:rPr>
        <w:t xml:space="preserve">. The comment by the Judge that the evidence of the </w:t>
      </w:r>
      <w:r w:rsidR="00AF66A3">
        <w:rPr>
          <w:rFonts w:ascii="Book Antiqua" w:hAnsi="Book Antiqua" w:cs="Arial"/>
        </w:rPr>
        <w:t xml:space="preserve">two </w:t>
      </w:r>
      <w:r w:rsidR="006924AB">
        <w:rPr>
          <w:rFonts w:ascii="Book Antiqua" w:hAnsi="Book Antiqua" w:cs="Arial"/>
        </w:rPr>
        <w:t xml:space="preserve">witnesses who testified </w:t>
      </w:r>
      <w:r w:rsidR="00AF66A3">
        <w:rPr>
          <w:rFonts w:ascii="Book Antiqua" w:hAnsi="Book Antiqua" w:cs="Arial"/>
        </w:rPr>
        <w:t xml:space="preserve">before </w:t>
      </w:r>
      <w:r w:rsidR="006924AB">
        <w:rPr>
          <w:rFonts w:ascii="Book Antiqua" w:hAnsi="Book Antiqua" w:cs="Arial"/>
        </w:rPr>
        <w:t>him initially appeared entirely credible</w:t>
      </w:r>
      <w:r w:rsidR="00CA32FF">
        <w:rPr>
          <w:rFonts w:ascii="Book Antiqua" w:hAnsi="Book Antiqua" w:cs="Arial"/>
        </w:rPr>
        <w:t xml:space="preserve"> demonstrates the Judge did not approach that evidence with a closed mind despite the earlier decision making </w:t>
      </w:r>
      <w:proofErr w:type="gramStart"/>
      <w:r w:rsidR="00CA32FF">
        <w:rPr>
          <w:rFonts w:ascii="Book Antiqua" w:hAnsi="Book Antiqua" w:cs="Arial"/>
        </w:rPr>
        <w:t>a number of</w:t>
      </w:r>
      <w:proofErr w:type="gramEnd"/>
      <w:r w:rsidR="00CA32FF">
        <w:rPr>
          <w:rFonts w:ascii="Book Antiqua" w:hAnsi="Book Antiqua" w:cs="Arial"/>
        </w:rPr>
        <w:t xml:space="preserve"> adverse credibility findings against the appellant. The Judge’s observation that the evidence is only as good as its primary source is not an absolute statement as the Judge qualifies it</w:t>
      </w:r>
      <w:r w:rsidR="004A264C">
        <w:rPr>
          <w:rFonts w:ascii="Book Antiqua" w:hAnsi="Book Antiqua" w:cs="Arial"/>
        </w:rPr>
        <w:t xml:space="preserve"> to state that it is ‘in part’. The Judge explains this comment by reference to the fact the </w:t>
      </w:r>
      <w:proofErr w:type="gramStart"/>
      <w:r w:rsidR="004A264C">
        <w:rPr>
          <w:rFonts w:ascii="Book Antiqua" w:hAnsi="Book Antiqua" w:cs="Arial"/>
        </w:rPr>
        <w:t>witnesses</w:t>
      </w:r>
      <w:proofErr w:type="gramEnd"/>
      <w:r w:rsidR="004A264C">
        <w:rPr>
          <w:rFonts w:ascii="Book Antiqua" w:hAnsi="Book Antiqua" w:cs="Arial"/>
        </w:rPr>
        <w:t xml:space="preserve"> exposure to the appellant and his wife is limited meaning they were unable to comment comprehensively upon the w</w:t>
      </w:r>
      <w:r w:rsidR="00B558A8">
        <w:rPr>
          <w:rFonts w:ascii="Book Antiqua" w:hAnsi="Book Antiqua" w:cs="Arial"/>
        </w:rPr>
        <w:t>h</w:t>
      </w:r>
      <w:r w:rsidR="004A264C">
        <w:rPr>
          <w:rFonts w:ascii="Book Antiqua" w:hAnsi="Book Antiqua" w:cs="Arial"/>
        </w:rPr>
        <w:t>ether</w:t>
      </w:r>
      <w:r w:rsidR="001310E4">
        <w:rPr>
          <w:rFonts w:ascii="Book Antiqua" w:hAnsi="Book Antiqua" w:cs="Arial"/>
        </w:rPr>
        <w:t xml:space="preserve"> the relationship is genuine or not. This is a finding available to the Judge on the evidence.</w:t>
      </w:r>
      <w:r w:rsidR="00F1395B">
        <w:rPr>
          <w:rFonts w:ascii="Book Antiqua" w:hAnsi="Book Antiqua" w:cs="Arial"/>
        </w:rPr>
        <w:t xml:space="preserve"> If a person only has limited knowledge of a </w:t>
      </w:r>
      <w:proofErr w:type="gramStart"/>
      <w:r w:rsidR="00F1395B">
        <w:rPr>
          <w:rFonts w:ascii="Book Antiqua" w:hAnsi="Book Antiqua" w:cs="Arial"/>
        </w:rPr>
        <w:t>particular topic</w:t>
      </w:r>
      <w:proofErr w:type="gramEnd"/>
      <w:r w:rsidR="00F1395B">
        <w:rPr>
          <w:rFonts w:ascii="Book Antiqua" w:hAnsi="Book Antiqua" w:cs="Arial"/>
        </w:rPr>
        <w:t xml:space="preserve"> their evidence can only reflect that which is known to them. The witness may be able to repeat what somebody has told them </w:t>
      </w:r>
      <w:r w:rsidR="00B558A8">
        <w:rPr>
          <w:rFonts w:ascii="Book Antiqua" w:hAnsi="Book Antiqua" w:cs="Arial"/>
        </w:rPr>
        <w:t xml:space="preserve">but </w:t>
      </w:r>
      <w:r w:rsidR="00F1395B">
        <w:rPr>
          <w:rFonts w:ascii="Book Antiqua" w:hAnsi="Book Antiqua" w:cs="Arial"/>
        </w:rPr>
        <w:t>that does not necessarily mean that the evidence they are giving of what they have been told reflects the truth of the situation, even if</w:t>
      </w:r>
      <w:r w:rsidR="000F4C90">
        <w:rPr>
          <w:rFonts w:ascii="Book Antiqua" w:hAnsi="Book Antiqua" w:cs="Arial"/>
        </w:rPr>
        <w:t xml:space="preserve"> they themselves believe it. This is also the basis of the Judge’s finding at [47] where he again gives the </w:t>
      </w:r>
      <w:r w:rsidR="00261652">
        <w:rPr>
          <w:rFonts w:ascii="Book Antiqua" w:hAnsi="Book Antiqua" w:cs="Arial"/>
        </w:rPr>
        <w:t xml:space="preserve">two </w:t>
      </w:r>
      <w:r w:rsidR="000F4C90">
        <w:rPr>
          <w:rFonts w:ascii="Book Antiqua" w:hAnsi="Book Antiqua" w:cs="Arial"/>
        </w:rPr>
        <w:t>witnesses the benefit of the doubt</w:t>
      </w:r>
      <w:r w:rsidR="00182733">
        <w:rPr>
          <w:rFonts w:ascii="Book Antiqua" w:hAnsi="Book Antiqua" w:cs="Arial"/>
        </w:rPr>
        <w:t xml:space="preserve">. The Judge does not find the witnesses were telling lies but finds the evidence that they were giving, some of which originated from the appellant, was not true. This </w:t>
      </w:r>
      <w:r w:rsidR="00261652">
        <w:rPr>
          <w:rFonts w:ascii="Book Antiqua" w:hAnsi="Book Antiqua" w:cs="Arial"/>
        </w:rPr>
        <w:t xml:space="preserve">is </w:t>
      </w:r>
      <w:r w:rsidR="00182733">
        <w:rPr>
          <w:rFonts w:ascii="Book Antiqua" w:hAnsi="Book Antiqua" w:cs="Arial"/>
        </w:rPr>
        <w:t>clearly demonstrated by the Judge’s conclusion at [50]</w:t>
      </w:r>
      <w:r w:rsidR="00103283">
        <w:rPr>
          <w:rFonts w:ascii="Book Antiqua" w:hAnsi="Book Antiqua" w:cs="Arial"/>
        </w:rPr>
        <w:t xml:space="preserve"> that he did not accept what he was being told. </w:t>
      </w:r>
      <w:r w:rsidR="00261652">
        <w:rPr>
          <w:rFonts w:ascii="Book Antiqua" w:hAnsi="Book Antiqua" w:cs="Arial"/>
        </w:rPr>
        <w:t xml:space="preserve"> The </w:t>
      </w:r>
      <w:r w:rsidR="00103283">
        <w:rPr>
          <w:rFonts w:ascii="Book Antiqua" w:hAnsi="Book Antiqua" w:cs="Arial"/>
        </w:rPr>
        <w:t xml:space="preserve">findings are </w:t>
      </w:r>
      <w:r w:rsidR="00261652">
        <w:rPr>
          <w:rFonts w:ascii="Book Antiqua" w:hAnsi="Book Antiqua" w:cs="Arial"/>
        </w:rPr>
        <w:t xml:space="preserve">adequately </w:t>
      </w:r>
      <w:r w:rsidR="00103283">
        <w:rPr>
          <w:rFonts w:ascii="Book Antiqua" w:hAnsi="Book Antiqua" w:cs="Arial"/>
        </w:rPr>
        <w:t xml:space="preserve">reasoned and </w:t>
      </w:r>
      <w:r w:rsidR="00261652">
        <w:rPr>
          <w:rFonts w:ascii="Book Antiqua" w:hAnsi="Book Antiqua" w:cs="Arial"/>
        </w:rPr>
        <w:t xml:space="preserve">have not been shown not to be </w:t>
      </w:r>
      <w:r w:rsidR="00103283">
        <w:rPr>
          <w:rFonts w:ascii="Book Antiqua" w:hAnsi="Book Antiqua" w:cs="Arial"/>
        </w:rPr>
        <w:t>available to the Judge on the evidence.</w:t>
      </w:r>
    </w:p>
    <w:p w14:paraId="4AD94B40" w14:textId="27695AFE" w:rsidR="00103283" w:rsidRDefault="00103283" w:rsidP="00461A0D">
      <w:pPr>
        <w:numPr>
          <w:ilvl w:val="0"/>
          <w:numId w:val="3"/>
        </w:numPr>
        <w:jc w:val="both"/>
        <w:rPr>
          <w:rFonts w:ascii="Book Antiqua" w:hAnsi="Book Antiqua" w:cs="Arial"/>
        </w:rPr>
      </w:pPr>
      <w:r>
        <w:rPr>
          <w:rFonts w:ascii="Book Antiqua" w:hAnsi="Book Antiqua" w:cs="Arial"/>
        </w:rPr>
        <w:t>I do not find it made out that the Judge failed to consider all the available evidence both individually and cumulatively.</w:t>
      </w:r>
      <w:r w:rsidR="00713583">
        <w:rPr>
          <w:rFonts w:ascii="Book Antiqua" w:hAnsi="Book Antiqua" w:cs="Arial"/>
        </w:rPr>
        <w:t xml:space="preserve"> I do not find it made out that the Judge took </w:t>
      </w:r>
      <w:r w:rsidR="00713583">
        <w:rPr>
          <w:rFonts w:ascii="Book Antiqua" w:hAnsi="Book Antiqua" w:cs="Arial"/>
        </w:rPr>
        <w:lastRenderedPageBreak/>
        <w:t>an irrational approach to such evidence or applied the weight to that evidence that he was not entitled to do.</w:t>
      </w:r>
      <w:r w:rsidR="00461A0D">
        <w:rPr>
          <w:rFonts w:ascii="Book Antiqua" w:hAnsi="Book Antiqua" w:cs="Arial"/>
        </w:rPr>
        <w:t xml:space="preserve"> Weight is </w:t>
      </w:r>
      <w:bookmarkStart w:id="0" w:name="_GoBack"/>
      <w:bookmarkEnd w:id="0"/>
      <w:r w:rsidR="00461A0D">
        <w:rPr>
          <w:rFonts w:ascii="Book Antiqua" w:hAnsi="Book Antiqua" w:cs="Arial"/>
        </w:rPr>
        <w:t>a matter for the Judge.</w:t>
      </w:r>
    </w:p>
    <w:p w14:paraId="0E228FD9" w14:textId="1F8C26E2" w:rsidR="00713583" w:rsidRDefault="00713583" w:rsidP="00461A0D">
      <w:pPr>
        <w:numPr>
          <w:ilvl w:val="0"/>
          <w:numId w:val="3"/>
        </w:numPr>
        <w:jc w:val="both"/>
        <w:rPr>
          <w:rFonts w:ascii="Book Antiqua" w:hAnsi="Book Antiqua" w:cs="Arial"/>
        </w:rPr>
      </w:pPr>
      <w:r>
        <w:rPr>
          <w:rFonts w:ascii="Book Antiqua" w:hAnsi="Book Antiqua" w:cs="Arial"/>
        </w:rPr>
        <w:t xml:space="preserve">The Judge clearly considered the photographic evidence in the round with the other material. When reading the decision </w:t>
      </w:r>
      <w:proofErr w:type="gramStart"/>
      <w:r>
        <w:rPr>
          <w:rFonts w:ascii="Book Antiqua" w:hAnsi="Book Antiqua" w:cs="Arial"/>
        </w:rPr>
        <w:t>as a whole it</w:t>
      </w:r>
      <w:proofErr w:type="gramEnd"/>
      <w:r>
        <w:rPr>
          <w:rFonts w:ascii="Book Antiqua" w:hAnsi="Book Antiqua" w:cs="Arial"/>
        </w:rPr>
        <w:t xml:space="preserve"> is quite clear that the Judge’s findings are that notwithstanding the material the appellant</w:t>
      </w:r>
      <w:r w:rsidR="000C48DF">
        <w:rPr>
          <w:rFonts w:ascii="Book Antiqua" w:hAnsi="Book Antiqua" w:cs="Arial"/>
        </w:rPr>
        <w:t xml:space="preserve"> sought to rely upon at the appeal that material was not sufficient to enable the appellant to discharge the burden of proof upon him to show that what he was </w:t>
      </w:r>
      <w:r w:rsidR="00136811">
        <w:rPr>
          <w:rFonts w:ascii="Book Antiqua" w:hAnsi="Book Antiqua" w:cs="Arial"/>
        </w:rPr>
        <w:t xml:space="preserve">claiming is </w:t>
      </w:r>
      <w:r w:rsidR="000C48DF">
        <w:rPr>
          <w:rFonts w:ascii="Book Antiqua" w:hAnsi="Book Antiqua" w:cs="Arial"/>
        </w:rPr>
        <w:t>true.</w:t>
      </w:r>
    </w:p>
    <w:p w14:paraId="701E1E04" w14:textId="7E1A5E3C" w:rsidR="000C48DF" w:rsidRDefault="000C48DF" w:rsidP="00461A0D">
      <w:pPr>
        <w:numPr>
          <w:ilvl w:val="0"/>
          <w:numId w:val="3"/>
        </w:numPr>
        <w:jc w:val="both"/>
        <w:rPr>
          <w:rFonts w:ascii="Book Antiqua" w:hAnsi="Book Antiqua" w:cs="Arial"/>
        </w:rPr>
      </w:pPr>
      <w:r>
        <w:rPr>
          <w:rFonts w:ascii="Book Antiqua" w:hAnsi="Book Antiqua" w:cs="Arial"/>
        </w:rPr>
        <w:t>Whilst the appellant disagrees with the Judge’s finding that the relationship is not genuine, and clearly wishes to remain in the United Kingdom,</w:t>
      </w:r>
      <w:r w:rsidR="0098645C">
        <w:rPr>
          <w:rFonts w:ascii="Book Antiqua" w:hAnsi="Book Antiqua" w:cs="Arial"/>
        </w:rPr>
        <w:t xml:space="preserve"> the grounds fail to establish arguable legal error material to the decision to dismiss the appeal sufficient to warrant the Upper Tribunal interfering any further in this appeal.</w:t>
      </w:r>
    </w:p>
    <w:p w14:paraId="549E141D" w14:textId="77777777" w:rsidR="0098645C" w:rsidRPr="00D32B8A" w:rsidRDefault="0098645C" w:rsidP="00461A0D">
      <w:pPr>
        <w:ind w:left="1080"/>
        <w:jc w:val="both"/>
        <w:rPr>
          <w:rFonts w:ascii="Book Antiqua" w:hAnsi="Book Antiqua" w:cs="Arial"/>
        </w:rPr>
      </w:pPr>
    </w:p>
    <w:p w14:paraId="3A488BEF" w14:textId="77777777" w:rsidR="00D32B8A" w:rsidRPr="00D32B8A" w:rsidRDefault="00D32B8A" w:rsidP="00461A0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0C2D1A3B" w14:textId="77777777" w:rsidR="00D32B8A" w:rsidRPr="00D32B8A" w:rsidRDefault="00D32B8A" w:rsidP="00461A0D">
      <w:pPr>
        <w:pStyle w:val="BodyTextIndent"/>
        <w:ind w:left="0"/>
        <w:jc w:val="both"/>
        <w:rPr>
          <w:rFonts w:ascii="Book Antiqua" w:hAnsi="Book Antiqua" w:cs="Arial"/>
          <w:b/>
          <w:bCs/>
          <w:sz w:val="24"/>
          <w:u w:val="single"/>
        </w:rPr>
      </w:pPr>
    </w:p>
    <w:p w14:paraId="03515228" w14:textId="4AE58C70" w:rsidR="00813355" w:rsidRDefault="00D32B8A" w:rsidP="00461A0D">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14:paraId="61C96A79" w14:textId="77777777" w:rsidR="00813355" w:rsidRDefault="00813355" w:rsidP="00461A0D">
      <w:pPr>
        <w:pStyle w:val="BodyTextIndent"/>
        <w:jc w:val="both"/>
        <w:rPr>
          <w:rFonts w:ascii="Book Antiqua" w:hAnsi="Book Antiqua" w:cs="Arial"/>
          <w:b/>
          <w:sz w:val="24"/>
        </w:rPr>
      </w:pPr>
    </w:p>
    <w:p w14:paraId="070688AB" w14:textId="77777777" w:rsidR="00813355" w:rsidRPr="00DB5024" w:rsidRDefault="00813355" w:rsidP="00461A0D">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20B5B109" w14:textId="77777777" w:rsidR="00813355" w:rsidRPr="00DB5024" w:rsidRDefault="00813355" w:rsidP="00461A0D">
      <w:pPr>
        <w:pStyle w:val="BodyTextIndent"/>
        <w:ind w:left="360"/>
        <w:jc w:val="both"/>
        <w:rPr>
          <w:rFonts w:ascii="Book Antiqua" w:hAnsi="Book Antiqua" w:cs="Arial"/>
          <w:sz w:val="24"/>
        </w:rPr>
      </w:pPr>
    </w:p>
    <w:p w14:paraId="7555607C" w14:textId="77777777" w:rsidR="00813355" w:rsidRPr="00DB5024" w:rsidRDefault="00813355" w:rsidP="00461A0D">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14:paraId="67637A6B" w14:textId="77777777" w:rsidR="00813355" w:rsidRPr="00DB5024" w:rsidRDefault="00813355" w:rsidP="00461A0D">
      <w:pPr>
        <w:pStyle w:val="BodyTextIndent"/>
        <w:ind w:left="360"/>
        <w:jc w:val="both"/>
        <w:rPr>
          <w:rFonts w:ascii="Book Antiqua" w:hAnsi="Book Antiqua" w:cs="Arial"/>
          <w:sz w:val="24"/>
        </w:rPr>
      </w:pPr>
    </w:p>
    <w:p w14:paraId="6E5C40FF" w14:textId="250177B7" w:rsidR="00813355" w:rsidRPr="008E55FE" w:rsidRDefault="00813355" w:rsidP="00461A0D">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461A0D">
        <w:rPr>
          <w:rFonts w:ascii="Book Antiqua" w:eastAsia="Book Antiqua,Arial" w:hAnsi="Book Antiqua" w:cs="Book Antiqua,Arial"/>
          <w:sz w:val="24"/>
        </w:rPr>
        <w:t>.</w:t>
      </w:r>
    </w:p>
    <w:p w14:paraId="64366694" w14:textId="77777777" w:rsidR="008E55FE" w:rsidRPr="00D32B8A" w:rsidRDefault="008E55FE" w:rsidP="008E55FE">
      <w:pPr>
        <w:pStyle w:val="BodyTextIndent"/>
        <w:ind w:left="360"/>
        <w:rPr>
          <w:rFonts w:ascii="Book Antiqua" w:hAnsi="Book Antiqua" w:cs="Arial"/>
          <w:sz w:val="24"/>
          <w:u w:val="single"/>
        </w:rPr>
      </w:pPr>
    </w:p>
    <w:p w14:paraId="69FF1529" w14:textId="2E68671D" w:rsidR="00461A0D" w:rsidRDefault="003060E9" w:rsidP="00D32B8A">
      <w:pPr>
        <w:pStyle w:val="BodyTextIndent"/>
        <w:ind w:left="0"/>
        <w:rPr>
          <w:rFonts w:ascii="Book Antiqua" w:hAnsi="Book Antiqua" w:cs="Arial"/>
          <w:sz w:val="24"/>
        </w:rPr>
      </w:pPr>
      <w:r w:rsidRPr="00D0714E">
        <w:rPr>
          <w:noProof/>
        </w:rPr>
        <w:drawing>
          <wp:inline distT="0" distB="0" distL="0" distR="0" wp14:anchorId="3596573D" wp14:editId="070A3A3A">
            <wp:extent cx="1562100" cy="1463040"/>
            <wp:effectExtent l="0" t="0" r="0" b="0"/>
            <wp:docPr id="2" name="Picture 2"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463040"/>
                    </a:xfrm>
                    <a:prstGeom prst="rect">
                      <a:avLst/>
                    </a:prstGeom>
                    <a:noFill/>
                    <a:ln>
                      <a:noFill/>
                    </a:ln>
                  </pic:spPr>
                </pic:pic>
              </a:graphicData>
            </a:graphic>
          </wp:inline>
        </w:drawing>
      </w:r>
    </w:p>
    <w:p w14:paraId="160A23FE" w14:textId="7064E701"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1E139427" w14:textId="4B8BF464"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461A0D">
        <w:rPr>
          <w:rFonts w:ascii="Book Antiqua" w:hAnsi="Book Antiqua" w:cs="Arial"/>
          <w:color w:val="000000"/>
          <w:sz w:val="24"/>
        </w:rPr>
        <w:t xml:space="preserve">Judge </w:t>
      </w:r>
      <w:r w:rsidR="00E54934">
        <w:rPr>
          <w:rFonts w:ascii="Book Antiqua" w:hAnsi="Book Antiqua" w:cs="Arial"/>
          <w:color w:val="000000"/>
          <w:sz w:val="24"/>
        </w:rPr>
        <w:t>Hanson</w:t>
      </w:r>
    </w:p>
    <w:p w14:paraId="70275D94"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3B23C0BE" w14:textId="4C505EAF" w:rsidR="001F2716" w:rsidRPr="00F97703" w:rsidRDefault="00D32B8A" w:rsidP="00805F86">
      <w:pPr>
        <w:pStyle w:val="BodyTextIndent"/>
        <w:ind w:left="0"/>
        <w:rPr>
          <w:rFonts w:ascii="Book Antiqua" w:hAnsi="Book Antiqua" w:cs="Arial"/>
        </w:rPr>
      </w:pPr>
      <w:r w:rsidRPr="00D32B8A">
        <w:rPr>
          <w:rFonts w:ascii="Book Antiqua" w:hAnsi="Book Antiqua" w:cs="Arial"/>
          <w:sz w:val="24"/>
        </w:rPr>
        <w:t xml:space="preserve">Dated the </w:t>
      </w:r>
      <w:r w:rsidR="00461A0D">
        <w:rPr>
          <w:rFonts w:ascii="Book Antiqua" w:hAnsi="Book Antiqua" w:cs="Arial"/>
          <w:sz w:val="24"/>
        </w:rPr>
        <w:t>14 July 2020</w:t>
      </w:r>
    </w:p>
    <w:p w14:paraId="65A61F86" w14:textId="77777777"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BC6466">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77AC" w14:textId="77777777" w:rsidR="00D0101B" w:rsidRDefault="00D0101B">
      <w:r>
        <w:separator/>
      </w:r>
    </w:p>
  </w:endnote>
  <w:endnote w:type="continuationSeparator" w:id="0">
    <w:p w14:paraId="1EF70AD2" w14:textId="77777777" w:rsidR="00D0101B" w:rsidRDefault="00D0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EF664" w14:textId="4F80DA21" w:rsidR="00FD1BDB" w:rsidRPr="00BC6466" w:rsidRDefault="00FD1BDB" w:rsidP="00593795">
    <w:pPr>
      <w:pStyle w:val="Footer"/>
      <w:jc w:val="center"/>
      <w:rPr>
        <w:rFonts w:ascii="Book Antiqua" w:hAnsi="Book Antiqua" w:cs="Arial"/>
      </w:rPr>
    </w:pPr>
    <w:r w:rsidRPr="00BC6466">
      <w:rPr>
        <w:rStyle w:val="PageNumber"/>
        <w:rFonts w:ascii="Book Antiqua" w:hAnsi="Book Antiqua" w:cs="Arial"/>
      </w:rPr>
      <w:fldChar w:fldCharType="begin"/>
    </w:r>
    <w:r w:rsidRPr="00BC6466">
      <w:rPr>
        <w:rStyle w:val="PageNumber"/>
        <w:rFonts w:ascii="Book Antiqua" w:hAnsi="Book Antiqua" w:cs="Arial"/>
      </w:rPr>
      <w:instrText xml:space="preserve"> PAGE </w:instrText>
    </w:r>
    <w:r w:rsidRPr="00BC6466">
      <w:rPr>
        <w:rStyle w:val="PageNumber"/>
        <w:rFonts w:ascii="Book Antiqua" w:hAnsi="Book Antiqua" w:cs="Arial"/>
      </w:rPr>
      <w:fldChar w:fldCharType="separate"/>
    </w:r>
    <w:r w:rsidR="00F22D61">
      <w:rPr>
        <w:rStyle w:val="PageNumber"/>
        <w:rFonts w:ascii="Book Antiqua" w:hAnsi="Book Antiqua" w:cs="Arial"/>
        <w:noProof/>
      </w:rPr>
      <w:t>10</w:t>
    </w:r>
    <w:r w:rsidRPr="00BC646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514B9" w14:textId="63F36115" w:rsidR="00FD1BDB" w:rsidRPr="00BC6466" w:rsidRDefault="00FD1BDB" w:rsidP="00090CF9">
    <w:pPr>
      <w:jc w:val="center"/>
      <w:rPr>
        <w:rFonts w:ascii="Book Antiqua" w:hAnsi="Book Antiqua" w:cs="Arial"/>
        <w:b/>
      </w:rPr>
    </w:pPr>
    <w:r w:rsidRPr="00BC6466">
      <w:rPr>
        <w:rFonts w:ascii="Book Antiqua" w:hAnsi="Book Antiqua" w:cs="Arial"/>
        <w:b/>
        <w:spacing w:val="-6"/>
      </w:rPr>
      <w:t>©</w:t>
    </w:r>
    <w:r w:rsidR="00FB3BB0" w:rsidRPr="00BC6466">
      <w:rPr>
        <w:rFonts w:ascii="Book Antiqua" w:hAnsi="Book Antiqua" w:cs="Arial"/>
        <w:b/>
      </w:rPr>
      <w:t xml:space="preserve"> CROWN COPYRIGHT 20</w:t>
    </w:r>
    <w:r w:rsidR="00FE3C91" w:rsidRPr="00BC6466">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8620" w14:textId="77777777" w:rsidR="00D0101B" w:rsidRDefault="00D0101B">
      <w:r>
        <w:separator/>
      </w:r>
    </w:p>
  </w:footnote>
  <w:footnote w:type="continuationSeparator" w:id="0">
    <w:p w14:paraId="56F99F2D" w14:textId="77777777" w:rsidR="00D0101B" w:rsidRDefault="00D0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4591" w14:textId="0CCF9F2A" w:rsidR="00FD1BDB" w:rsidRDefault="00FD1BDB" w:rsidP="00593795">
    <w:pPr>
      <w:pStyle w:val="Header"/>
      <w:jc w:val="right"/>
      <w:rPr>
        <w:rFonts w:ascii="Book Antiqua" w:hAnsi="Book Antiqua" w:cs="Arial"/>
        <w:sz w:val="16"/>
        <w:szCs w:val="16"/>
      </w:rPr>
    </w:pPr>
    <w:r w:rsidRPr="00BC6466">
      <w:rPr>
        <w:rFonts w:ascii="Book Antiqua" w:hAnsi="Book Antiqua" w:cs="Arial"/>
        <w:sz w:val="16"/>
        <w:szCs w:val="16"/>
      </w:rPr>
      <w:t xml:space="preserve">Appeal Number: </w:t>
    </w:r>
    <w:r w:rsidR="00FE3C91" w:rsidRPr="00BC6466">
      <w:rPr>
        <w:rFonts w:ascii="Book Antiqua" w:hAnsi="Book Antiqua" w:cs="Arial"/>
        <w:sz w:val="16"/>
        <w:szCs w:val="16"/>
      </w:rPr>
      <w:t>HU/</w:t>
    </w:r>
    <w:r w:rsidR="00D232CD" w:rsidRPr="00BC6466">
      <w:rPr>
        <w:rFonts w:ascii="Book Antiqua" w:hAnsi="Book Antiqua" w:cs="Arial"/>
        <w:sz w:val="16"/>
        <w:szCs w:val="16"/>
      </w:rPr>
      <w:t>10463/2019</w:t>
    </w:r>
  </w:p>
  <w:p w14:paraId="1419C33C" w14:textId="77777777" w:rsidR="00BC6466" w:rsidRPr="00BC6466" w:rsidRDefault="00BC6466"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B616F7E8"/>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51C60A0"/>
    <w:multiLevelType w:val="hybridMultilevel"/>
    <w:tmpl w:val="3502FB70"/>
    <w:lvl w:ilvl="0" w:tplc="383001C4">
      <w:start w:val="34"/>
      <w:numFmt w:val="bullet"/>
      <w:lvlText w:val="-"/>
      <w:lvlJc w:val="left"/>
      <w:pPr>
        <w:ind w:left="2628" w:hanging="360"/>
      </w:pPr>
      <w:rPr>
        <w:rFonts w:ascii="Book Antiqua" w:eastAsia="Times New Roman" w:hAnsi="Book Antiqua" w:cs="Aria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D96648"/>
    <w:multiLevelType w:val="hybridMultilevel"/>
    <w:tmpl w:val="B0CE525C"/>
    <w:lvl w:ilvl="0" w:tplc="6CF8D93E">
      <w:start w:val="1"/>
      <w:numFmt w:val="lowerLetter"/>
      <w:lvlText w:val="%1."/>
      <w:lvlJc w:val="left"/>
      <w:pPr>
        <w:ind w:left="3192" w:hanging="360"/>
      </w:pPr>
      <w:rPr>
        <w:rFonts w:hint="default"/>
        <w:sz w:val="24"/>
      </w:rPr>
    </w:lvl>
    <w:lvl w:ilvl="1" w:tplc="08090019" w:tentative="1">
      <w:start w:val="1"/>
      <w:numFmt w:val="lowerLetter"/>
      <w:lvlText w:val="%2."/>
      <w:lvlJc w:val="left"/>
      <w:pPr>
        <w:ind w:left="3912" w:hanging="360"/>
      </w:pPr>
    </w:lvl>
    <w:lvl w:ilvl="2" w:tplc="0809001B" w:tentative="1">
      <w:start w:val="1"/>
      <w:numFmt w:val="lowerRoman"/>
      <w:lvlText w:val="%3."/>
      <w:lvlJc w:val="right"/>
      <w:pPr>
        <w:ind w:left="4632" w:hanging="180"/>
      </w:pPr>
    </w:lvl>
    <w:lvl w:ilvl="3" w:tplc="0809000F" w:tentative="1">
      <w:start w:val="1"/>
      <w:numFmt w:val="decimal"/>
      <w:lvlText w:val="%4."/>
      <w:lvlJc w:val="left"/>
      <w:pPr>
        <w:ind w:left="5352" w:hanging="360"/>
      </w:pPr>
    </w:lvl>
    <w:lvl w:ilvl="4" w:tplc="08090019" w:tentative="1">
      <w:start w:val="1"/>
      <w:numFmt w:val="lowerLetter"/>
      <w:lvlText w:val="%5."/>
      <w:lvlJc w:val="left"/>
      <w:pPr>
        <w:ind w:left="6072" w:hanging="360"/>
      </w:pPr>
    </w:lvl>
    <w:lvl w:ilvl="5" w:tplc="0809001B" w:tentative="1">
      <w:start w:val="1"/>
      <w:numFmt w:val="lowerRoman"/>
      <w:lvlText w:val="%6."/>
      <w:lvlJc w:val="right"/>
      <w:pPr>
        <w:ind w:left="6792" w:hanging="180"/>
      </w:pPr>
    </w:lvl>
    <w:lvl w:ilvl="6" w:tplc="0809000F" w:tentative="1">
      <w:start w:val="1"/>
      <w:numFmt w:val="decimal"/>
      <w:lvlText w:val="%7."/>
      <w:lvlJc w:val="left"/>
      <w:pPr>
        <w:ind w:left="7512" w:hanging="360"/>
      </w:pPr>
    </w:lvl>
    <w:lvl w:ilvl="7" w:tplc="08090019" w:tentative="1">
      <w:start w:val="1"/>
      <w:numFmt w:val="lowerLetter"/>
      <w:lvlText w:val="%8."/>
      <w:lvlJc w:val="left"/>
      <w:pPr>
        <w:ind w:left="8232" w:hanging="360"/>
      </w:pPr>
    </w:lvl>
    <w:lvl w:ilvl="8" w:tplc="0809001B" w:tentative="1">
      <w:start w:val="1"/>
      <w:numFmt w:val="lowerRoman"/>
      <w:lvlText w:val="%9."/>
      <w:lvlJc w:val="right"/>
      <w:pPr>
        <w:ind w:left="8952"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7B20B30-61CD-4BCC-9EF3-02793E6F1E4C}"/>
    <w:docVar w:name="dgnword-eventsink" w:val="724475720"/>
  </w:docVars>
  <w:rsids>
    <w:rsidRoot w:val="00C26032"/>
    <w:rsid w:val="00000621"/>
    <w:rsid w:val="0000285C"/>
    <w:rsid w:val="000036C2"/>
    <w:rsid w:val="00017926"/>
    <w:rsid w:val="00020328"/>
    <w:rsid w:val="00026A00"/>
    <w:rsid w:val="00033D3D"/>
    <w:rsid w:val="00057601"/>
    <w:rsid w:val="000620E8"/>
    <w:rsid w:val="00062F02"/>
    <w:rsid w:val="0007001A"/>
    <w:rsid w:val="00071A7E"/>
    <w:rsid w:val="000746C0"/>
    <w:rsid w:val="00074D1D"/>
    <w:rsid w:val="00075723"/>
    <w:rsid w:val="0008129F"/>
    <w:rsid w:val="000837B4"/>
    <w:rsid w:val="00090CF9"/>
    <w:rsid w:val="00092580"/>
    <w:rsid w:val="00093D4D"/>
    <w:rsid w:val="000A1C44"/>
    <w:rsid w:val="000A4031"/>
    <w:rsid w:val="000A4BB3"/>
    <w:rsid w:val="000A70C7"/>
    <w:rsid w:val="000C48DF"/>
    <w:rsid w:val="000C59CA"/>
    <w:rsid w:val="000C5B4B"/>
    <w:rsid w:val="000D2459"/>
    <w:rsid w:val="000D5D94"/>
    <w:rsid w:val="000E05A8"/>
    <w:rsid w:val="000E41BB"/>
    <w:rsid w:val="000F1A0E"/>
    <w:rsid w:val="000F4C90"/>
    <w:rsid w:val="00101EFB"/>
    <w:rsid w:val="00103283"/>
    <w:rsid w:val="001165A7"/>
    <w:rsid w:val="001310E4"/>
    <w:rsid w:val="00136811"/>
    <w:rsid w:val="00146A8D"/>
    <w:rsid w:val="001518F0"/>
    <w:rsid w:val="0015627D"/>
    <w:rsid w:val="00167D3A"/>
    <w:rsid w:val="00182733"/>
    <w:rsid w:val="00187011"/>
    <w:rsid w:val="00187066"/>
    <w:rsid w:val="001A3082"/>
    <w:rsid w:val="001B186A"/>
    <w:rsid w:val="001B2F75"/>
    <w:rsid w:val="001B3E40"/>
    <w:rsid w:val="001B5B33"/>
    <w:rsid w:val="001C0E92"/>
    <w:rsid w:val="001C459A"/>
    <w:rsid w:val="001C598C"/>
    <w:rsid w:val="001F2716"/>
    <w:rsid w:val="00207617"/>
    <w:rsid w:val="00213399"/>
    <w:rsid w:val="00215578"/>
    <w:rsid w:val="00221CB1"/>
    <w:rsid w:val="0023134B"/>
    <w:rsid w:val="00237CDE"/>
    <w:rsid w:val="00241A2C"/>
    <w:rsid w:val="00243EB4"/>
    <w:rsid w:val="002454F1"/>
    <w:rsid w:val="00251FE0"/>
    <w:rsid w:val="0026015E"/>
    <w:rsid w:val="0026022D"/>
    <w:rsid w:val="00261652"/>
    <w:rsid w:val="002667BE"/>
    <w:rsid w:val="00270335"/>
    <w:rsid w:val="00270E13"/>
    <w:rsid w:val="002722CB"/>
    <w:rsid w:val="00283659"/>
    <w:rsid w:val="002935A3"/>
    <w:rsid w:val="002940F0"/>
    <w:rsid w:val="002A1476"/>
    <w:rsid w:val="002A57B5"/>
    <w:rsid w:val="002B5149"/>
    <w:rsid w:val="002B6300"/>
    <w:rsid w:val="002B77F2"/>
    <w:rsid w:val="002C37D3"/>
    <w:rsid w:val="002C6BD4"/>
    <w:rsid w:val="002D68BF"/>
    <w:rsid w:val="002E1E48"/>
    <w:rsid w:val="002F4481"/>
    <w:rsid w:val="002F6B98"/>
    <w:rsid w:val="003060E9"/>
    <w:rsid w:val="00324B30"/>
    <w:rsid w:val="00327C1B"/>
    <w:rsid w:val="00336CBF"/>
    <w:rsid w:val="00342818"/>
    <w:rsid w:val="00343FE3"/>
    <w:rsid w:val="003446EF"/>
    <w:rsid w:val="00345BF1"/>
    <w:rsid w:val="003518E9"/>
    <w:rsid w:val="003546C8"/>
    <w:rsid w:val="0036640D"/>
    <w:rsid w:val="003720FB"/>
    <w:rsid w:val="00376403"/>
    <w:rsid w:val="00386CEC"/>
    <w:rsid w:val="003A7CF2"/>
    <w:rsid w:val="003C1CFE"/>
    <w:rsid w:val="003C3B21"/>
    <w:rsid w:val="003C5723"/>
    <w:rsid w:val="003C5CE5"/>
    <w:rsid w:val="003D377C"/>
    <w:rsid w:val="003D50CB"/>
    <w:rsid w:val="003D5FF0"/>
    <w:rsid w:val="003E1007"/>
    <w:rsid w:val="003E267B"/>
    <w:rsid w:val="003E5773"/>
    <w:rsid w:val="003E5DC0"/>
    <w:rsid w:val="003E7CD1"/>
    <w:rsid w:val="00402B9E"/>
    <w:rsid w:val="00411DDD"/>
    <w:rsid w:val="00412714"/>
    <w:rsid w:val="00420643"/>
    <w:rsid w:val="00421180"/>
    <w:rsid w:val="00422BF2"/>
    <w:rsid w:val="004237B3"/>
    <w:rsid w:val="004249CB"/>
    <w:rsid w:val="00430CF3"/>
    <w:rsid w:val="0044127D"/>
    <w:rsid w:val="004448DB"/>
    <w:rsid w:val="00446C9A"/>
    <w:rsid w:val="00447DDC"/>
    <w:rsid w:val="004519D5"/>
    <w:rsid w:val="00452F2B"/>
    <w:rsid w:val="0046118E"/>
    <w:rsid w:val="00461A0D"/>
    <w:rsid w:val="00477193"/>
    <w:rsid w:val="00487BD7"/>
    <w:rsid w:val="00491F5A"/>
    <w:rsid w:val="004A1848"/>
    <w:rsid w:val="004A264C"/>
    <w:rsid w:val="004A56F2"/>
    <w:rsid w:val="004A6F4A"/>
    <w:rsid w:val="004C7A10"/>
    <w:rsid w:val="004D59FC"/>
    <w:rsid w:val="004E4717"/>
    <w:rsid w:val="005035E7"/>
    <w:rsid w:val="00507FEC"/>
    <w:rsid w:val="00510F0E"/>
    <w:rsid w:val="00515476"/>
    <w:rsid w:val="00520122"/>
    <w:rsid w:val="00520CF2"/>
    <w:rsid w:val="005262CA"/>
    <w:rsid w:val="005328BB"/>
    <w:rsid w:val="00542C29"/>
    <w:rsid w:val="005479E1"/>
    <w:rsid w:val="00553E0A"/>
    <w:rsid w:val="0055507D"/>
    <w:rsid w:val="005570FD"/>
    <w:rsid w:val="005575EA"/>
    <w:rsid w:val="00560ACB"/>
    <w:rsid w:val="00570A40"/>
    <w:rsid w:val="0057790C"/>
    <w:rsid w:val="005852D5"/>
    <w:rsid w:val="005915D6"/>
    <w:rsid w:val="00593795"/>
    <w:rsid w:val="00593821"/>
    <w:rsid w:val="005A549B"/>
    <w:rsid w:val="005A5D18"/>
    <w:rsid w:val="005A75FF"/>
    <w:rsid w:val="005C2276"/>
    <w:rsid w:val="005C5BF1"/>
    <w:rsid w:val="005C6ECA"/>
    <w:rsid w:val="005D10AB"/>
    <w:rsid w:val="005D28B3"/>
    <w:rsid w:val="005D44F8"/>
    <w:rsid w:val="005F1F19"/>
    <w:rsid w:val="00601D8F"/>
    <w:rsid w:val="00611011"/>
    <w:rsid w:val="00611798"/>
    <w:rsid w:val="00611B31"/>
    <w:rsid w:val="00612521"/>
    <w:rsid w:val="0061683A"/>
    <w:rsid w:val="00633663"/>
    <w:rsid w:val="006439E9"/>
    <w:rsid w:val="00653E97"/>
    <w:rsid w:val="00674BBF"/>
    <w:rsid w:val="00675DEB"/>
    <w:rsid w:val="00676204"/>
    <w:rsid w:val="0068371F"/>
    <w:rsid w:val="00684A74"/>
    <w:rsid w:val="00690B8A"/>
    <w:rsid w:val="006924AB"/>
    <w:rsid w:val="006975FA"/>
    <w:rsid w:val="006F2CF1"/>
    <w:rsid w:val="007038ED"/>
    <w:rsid w:val="00703BC3"/>
    <w:rsid w:val="00704B61"/>
    <w:rsid w:val="0070615D"/>
    <w:rsid w:val="00713583"/>
    <w:rsid w:val="0073043C"/>
    <w:rsid w:val="007334B3"/>
    <w:rsid w:val="00735CE5"/>
    <w:rsid w:val="00743F15"/>
    <w:rsid w:val="00745005"/>
    <w:rsid w:val="00750BD2"/>
    <w:rsid w:val="007552A9"/>
    <w:rsid w:val="00761858"/>
    <w:rsid w:val="00767D59"/>
    <w:rsid w:val="0077399B"/>
    <w:rsid w:val="00776E97"/>
    <w:rsid w:val="00780F86"/>
    <w:rsid w:val="007856B1"/>
    <w:rsid w:val="007912AD"/>
    <w:rsid w:val="00794920"/>
    <w:rsid w:val="007A37E8"/>
    <w:rsid w:val="007B0824"/>
    <w:rsid w:val="007B5D3C"/>
    <w:rsid w:val="007F507E"/>
    <w:rsid w:val="007F7C58"/>
    <w:rsid w:val="0080410F"/>
    <w:rsid w:val="00804D21"/>
    <w:rsid w:val="00805F86"/>
    <w:rsid w:val="00812C76"/>
    <w:rsid w:val="00813355"/>
    <w:rsid w:val="00813FEE"/>
    <w:rsid w:val="00821B72"/>
    <w:rsid w:val="00823EF2"/>
    <w:rsid w:val="00825708"/>
    <w:rsid w:val="00827E1E"/>
    <w:rsid w:val="008303B8"/>
    <w:rsid w:val="008320AA"/>
    <w:rsid w:val="00833DCE"/>
    <w:rsid w:val="00851136"/>
    <w:rsid w:val="00870C49"/>
    <w:rsid w:val="00871D34"/>
    <w:rsid w:val="008723AA"/>
    <w:rsid w:val="008816AF"/>
    <w:rsid w:val="00895ABD"/>
    <w:rsid w:val="008B231E"/>
    <w:rsid w:val="008B270C"/>
    <w:rsid w:val="008B382D"/>
    <w:rsid w:val="008B5078"/>
    <w:rsid w:val="008B66D2"/>
    <w:rsid w:val="008C3D3D"/>
    <w:rsid w:val="008D4131"/>
    <w:rsid w:val="008E3BC7"/>
    <w:rsid w:val="008E55FE"/>
    <w:rsid w:val="008E5A41"/>
    <w:rsid w:val="008F1932"/>
    <w:rsid w:val="008F2F5B"/>
    <w:rsid w:val="009019A7"/>
    <w:rsid w:val="00902B33"/>
    <w:rsid w:val="00907F6B"/>
    <w:rsid w:val="00921062"/>
    <w:rsid w:val="00925AB2"/>
    <w:rsid w:val="009722BC"/>
    <w:rsid w:val="009727A3"/>
    <w:rsid w:val="00984B70"/>
    <w:rsid w:val="0098645C"/>
    <w:rsid w:val="00987774"/>
    <w:rsid w:val="00995F22"/>
    <w:rsid w:val="009A11E8"/>
    <w:rsid w:val="009C5BDD"/>
    <w:rsid w:val="009D595D"/>
    <w:rsid w:val="009D7ADC"/>
    <w:rsid w:val="009F5220"/>
    <w:rsid w:val="009F6142"/>
    <w:rsid w:val="00A03D01"/>
    <w:rsid w:val="00A15234"/>
    <w:rsid w:val="00A15A6F"/>
    <w:rsid w:val="00A201AB"/>
    <w:rsid w:val="00A240AA"/>
    <w:rsid w:val="00A253BF"/>
    <w:rsid w:val="00A31C8B"/>
    <w:rsid w:val="00A35232"/>
    <w:rsid w:val="00A36503"/>
    <w:rsid w:val="00A509FA"/>
    <w:rsid w:val="00A50CD5"/>
    <w:rsid w:val="00A62825"/>
    <w:rsid w:val="00A637B7"/>
    <w:rsid w:val="00A6537F"/>
    <w:rsid w:val="00A76531"/>
    <w:rsid w:val="00A845DC"/>
    <w:rsid w:val="00A87639"/>
    <w:rsid w:val="00A87D56"/>
    <w:rsid w:val="00AB42B3"/>
    <w:rsid w:val="00AC05DC"/>
    <w:rsid w:val="00AC291E"/>
    <w:rsid w:val="00AC3655"/>
    <w:rsid w:val="00AE582E"/>
    <w:rsid w:val="00AE7348"/>
    <w:rsid w:val="00AF66A3"/>
    <w:rsid w:val="00AF79F3"/>
    <w:rsid w:val="00B142FA"/>
    <w:rsid w:val="00B26AA2"/>
    <w:rsid w:val="00B3524D"/>
    <w:rsid w:val="00B3751D"/>
    <w:rsid w:val="00B40AFA"/>
    <w:rsid w:val="00B40F69"/>
    <w:rsid w:val="00B414F3"/>
    <w:rsid w:val="00B437A2"/>
    <w:rsid w:val="00B4417A"/>
    <w:rsid w:val="00B46616"/>
    <w:rsid w:val="00B467EA"/>
    <w:rsid w:val="00B558A8"/>
    <w:rsid w:val="00B57B2F"/>
    <w:rsid w:val="00B6685B"/>
    <w:rsid w:val="00B7040A"/>
    <w:rsid w:val="00B773A5"/>
    <w:rsid w:val="00B81301"/>
    <w:rsid w:val="00B83391"/>
    <w:rsid w:val="00B95326"/>
    <w:rsid w:val="00BA3A4D"/>
    <w:rsid w:val="00BA5B6B"/>
    <w:rsid w:val="00BC6466"/>
    <w:rsid w:val="00BD4196"/>
    <w:rsid w:val="00BE112D"/>
    <w:rsid w:val="00BE485D"/>
    <w:rsid w:val="00BF22CA"/>
    <w:rsid w:val="00BF23BB"/>
    <w:rsid w:val="00C01399"/>
    <w:rsid w:val="00C02975"/>
    <w:rsid w:val="00C12F97"/>
    <w:rsid w:val="00C146A2"/>
    <w:rsid w:val="00C26032"/>
    <w:rsid w:val="00C32E4B"/>
    <w:rsid w:val="00C345E1"/>
    <w:rsid w:val="00C43BFD"/>
    <w:rsid w:val="00C51218"/>
    <w:rsid w:val="00C517BC"/>
    <w:rsid w:val="00C522B1"/>
    <w:rsid w:val="00C54FFE"/>
    <w:rsid w:val="00C578E1"/>
    <w:rsid w:val="00C811B2"/>
    <w:rsid w:val="00C95484"/>
    <w:rsid w:val="00CA2545"/>
    <w:rsid w:val="00CA32FF"/>
    <w:rsid w:val="00CA36B4"/>
    <w:rsid w:val="00CA45C1"/>
    <w:rsid w:val="00CB47B5"/>
    <w:rsid w:val="00CB6E35"/>
    <w:rsid w:val="00CB7F12"/>
    <w:rsid w:val="00CC5AFF"/>
    <w:rsid w:val="00CD566B"/>
    <w:rsid w:val="00CE1A46"/>
    <w:rsid w:val="00D0101B"/>
    <w:rsid w:val="00D20757"/>
    <w:rsid w:val="00D22636"/>
    <w:rsid w:val="00D232CD"/>
    <w:rsid w:val="00D32B8A"/>
    <w:rsid w:val="00D40FD9"/>
    <w:rsid w:val="00D532BE"/>
    <w:rsid w:val="00D53769"/>
    <w:rsid w:val="00D63887"/>
    <w:rsid w:val="00D76240"/>
    <w:rsid w:val="00D83795"/>
    <w:rsid w:val="00D85C13"/>
    <w:rsid w:val="00D8634F"/>
    <w:rsid w:val="00D87261"/>
    <w:rsid w:val="00D9111A"/>
    <w:rsid w:val="00D91BE3"/>
    <w:rsid w:val="00D94AFC"/>
    <w:rsid w:val="00DB70AE"/>
    <w:rsid w:val="00DD5071"/>
    <w:rsid w:val="00DD5C39"/>
    <w:rsid w:val="00DE7DB7"/>
    <w:rsid w:val="00DF2B1F"/>
    <w:rsid w:val="00E00A0A"/>
    <w:rsid w:val="00E066DE"/>
    <w:rsid w:val="00E07F57"/>
    <w:rsid w:val="00E2629D"/>
    <w:rsid w:val="00E303E0"/>
    <w:rsid w:val="00E30683"/>
    <w:rsid w:val="00E32F4F"/>
    <w:rsid w:val="00E453D8"/>
    <w:rsid w:val="00E473EC"/>
    <w:rsid w:val="00E50BCE"/>
    <w:rsid w:val="00E533BA"/>
    <w:rsid w:val="00E54934"/>
    <w:rsid w:val="00E574BF"/>
    <w:rsid w:val="00E61292"/>
    <w:rsid w:val="00E64197"/>
    <w:rsid w:val="00E72CBB"/>
    <w:rsid w:val="00E7768C"/>
    <w:rsid w:val="00E77C4D"/>
    <w:rsid w:val="00E80AD9"/>
    <w:rsid w:val="00E81D01"/>
    <w:rsid w:val="00E86EC2"/>
    <w:rsid w:val="00E92592"/>
    <w:rsid w:val="00EA55DF"/>
    <w:rsid w:val="00EB3161"/>
    <w:rsid w:val="00EB42B4"/>
    <w:rsid w:val="00EC21B4"/>
    <w:rsid w:val="00EE43F3"/>
    <w:rsid w:val="00EE45D8"/>
    <w:rsid w:val="00EF26C4"/>
    <w:rsid w:val="00F10657"/>
    <w:rsid w:val="00F1395B"/>
    <w:rsid w:val="00F15604"/>
    <w:rsid w:val="00F22D61"/>
    <w:rsid w:val="00F22EDA"/>
    <w:rsid w:val="00F309D5"/>
    <w:rsid w:val="00F35599"/>
    <w:rsid w:val="00F475D0"/>
    <w:rsid w:val="00F73A22"/>
    <w:rsid w:val="00F97703"/>
    <w:rsid w:val="00FA316E"/>
    <w:rsid w:val="00FA4E01"/>
    <w:rsid w:val="00FB1662"/>
    <w:rsid w:val="00FB3BB0"/>
    <w:rsid w:val="00FC0796"/>
    <w:rsid w:val="00FD1BDB"/>
    <w:rsid w:val="00FD5FBD"/>
    <w:rsid w:val="00FE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905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ListParagraph">
    <w:name w:val="List Paragraph"/>
    <w:basedOn w:val="Normal"/>
    <w:uiPriority w:val="34"/>
    <w:qFormat/>
    <w:rsid w:val="0055507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4899</Words>
  <Characters>23742</Characters>
  <Application>Microsoft Office Word</Application>
  <DocSecurity>0</DocSecurity>
  <Lines>197</Lines>
  <Paragraphs>57</Paragraphs>
  <ScaleCrop>false</ScaleCrop>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2020-08-07T14:17:00Z</dcterms:created>
  <dcterms:modified xsi:type="dcterms:W3CDTF">2020-08-07T14:17:00Z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