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FC" w:rsidRPr="00B52C6C" w:rsidRDefault="00D94AFC">
      <w:pPr>
        <w:rPr>
          <w:rFonts w:ascii="Arial" w:hAnsi="Arial" w:cs="Arial"/>
          <w:color w:val="000000"/>
          <w:sz w:val="16"/>
          <w:szCs w:val="16"/>
        </w:rPr>
      </w:pPr>
    </w:p>
    <w:p w:rsidR="00F97703" w:rsidRPr="00B52C6C" w:rsidRDefault="0046345F" w:rsidP="00F97703">
      <w:pPr>
        <w:jc w:val="center"/>
        <w:rPr>
          <w:rFonts w:ascii="Arial" w:hAnsi="Arial" w:cs="Arial"/>
          <w:color w:val="000000"/>
        </w:rPr>
      </w:pPr>
      <w:r w:rsidRPr="00B52C6C">
        <w:rPr>
          <w:rFonts w:ascii="Arial" w:hAnsi="Arial" w:cs="Arial"/>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874C7E" w:rsidRPr="00B52C6C" w:rsidRDefault="00F97703" w:rsidP="00780F86">
      <w:pPr>
        <w:tabs>
          <w:tab w:val="right" w:pos="9720"/>
        </w:tabs>
        <w:ind w:right="-82"/>
        <w:rPr>
          <w:rFonts w:ascii="Arial" w:hAnsi="Arial" w:cs="Arial"/>
          <w:color w:val="000000"/>
        </w:rPr>
      </w:pPr>
      <w:r w:rsidRPr="00B52C6C">
        <w:rPr>
          <w:rFonts w:ascii="Arial" w:hAnsi="Arial" w:cs="Arial"/>
          <w:b/>
          <w:color w:val="000000"/>
        </w:rPr>
        <w:t xml:space="preserve">(Immigration and Asylum </w:t>
      </w:r>
      <w:proofErr w:type="gramStart"/>
      <w:r w:rsidRPr="00B52C6C">
        <w:rPr>
          <w:rFonts w:ascii="Arial" w:hAnsi="Arial" w:cs="Arial"/>
          <w:b/>
          <w:color w:val="000000"/>
        </w:rPr>
        <w:t>Chamber)</w:t>
      </w:r>
      <w:r w:rsidR="00BC7B89">
        <w:rPr>
          <w:rFonts w:ascii="Arial" w:hAnsi="Arial" w:cs="Arial"/>
          <w:b/>
          <w:color w:val="000000"/>
        </w:rPr>
        <w:t xml:space="preserve">   </w:t>
      </w:r>
      <w:proofErr w:type="gramEnd"/>
      <w:r w:rsidR="00BC7B89">
        <w:rPr>
          <w:rFonts w:ascii="Arial" w:hAnsi="Arial" w:cs="Arial"/>
          <w:b/>
          <w:color w:val="000000"/>
        </w:rPr>
        <w:t xml:space="preserve">                  </w:t>
      </w:r>
      <w:r w:rsidR="00B3524D" w:rsidRPr="00BC7B89">
        <w:rPr>
          <w:rFonts w:ascii="Arial" w:hAnsi="Arial" w:cs="Arial"/>
          <w:b/>
          <w:color w:val="000000"/>
        </w:rPr>
        <w:t>Appeal Number</w:t>
      </w:r>
      <w:r w:rsidR="00D53769" w:rsidRPr="00BC7B89">
        <w:rPr>
          <w:rFonts w:ascii="Arial" w:hAnsi="Arial" w:cs="Arial"/>
          <w:b/>
          <w:color w:val="000000"/>
        </w:rPr>
        <w:t>:</w:t>
      </w:r>
      <w:r w:rsidR="00B3524D" w:rsidRPr="00BC7B89">
        <w:rPr>
          <w:rFonts w:ascii="Arial" w:hAnsi="Arial" w:cs="Arial"/>
          <w:b/>
          <w:color w:val="000000"/>
        </w:rPr>
        <w:t xml:space="preserve"> </w:t>
      </w:r>
      <w:r w:rsidR="00E22E25" w:rsidRPr="00BC7B89">
        <w:rPr>
          <w:rFonts w:ascii="Arial" w:hAnsi="Arial" w:cs="Arial"/>
          <w:b/>
          <w:color w:val="000000"/>
        </w:rPr>
        <w:t>HU/10523/2017</w:t>
      </w:r>
    </w:p>
    <w:p w:rsidR="00C345E1" w:rsidRPr="00B52C6C" w:rsidRDefault="00C345E1" w:rsidP="00C345E1">
      <w:pPr>
        <w:jc w:val="center"/>
        <w:rPr>
          <w:rFonts w:ascii="Arial" w:hAnsi="Arial" w:cs="Arial"/>
          <w:color w:val="000000"/>
        </w:rPr>
      </w:pPr>
    </w:p>
    <w:p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10883" w:type="dxa"/>
        <w:tblLook w:val="01E0" w:firstRow="1" w:lastRow="1" w:firstColumn="1" w:lastColumn="1" w:noHBand="0" w:noVBand="0"/>
      </w:tblPr>
      <w:tblGrid>
        <w:gridCol w:w="5245"/>
        <w:gridCol w:w="5638"/>
      </w:tblGrid>
      <w:tr w:rsidR="00D22636" w:rsidRPr="00B52C6C" w:rsidTr="00BC7B89">
        <w:trPr>
          <w:trHeight w:val="386"/>
        </w:trPr>
        <w:tc>
          <w:tcPr>
            <w:tcW w:w="5245" w:type="dxa"/>
            <w:shd w:val="clear" w:color="auto" w:fill="auto"/>
          </w:tcPr>
          <w:p w:rsidR="00D22636" w:rsidRPr="00B52C6C"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tc>
        <w:tc>
          <w:tcPr>
            <w:tcW w:w="5638" w:type="dxa"/>
            <w:shd w:val="clear" w:color="auto" w:fill="auto"/>
          </w:tcPr>
          <w:p w:rsidR="00D22636" w:rsidRPr="00B52C6C" w:rsidRDefault="00BC7B89" w:rsidP="00664CDC">
            <w:pPr>
              <w:jc w:val="both"/>
              <w:rPr>
                <w:rFonts w:ascii="Arial" w:hAnsi="Arial" w:cs="Arial"/>
                <w:b/>
                <w:color w:val="000000"/>
              </w:rPr>
            </w:pPr>
            <w:r>
              <w:rPr>
                <w:rFonts w:ascii="Arial" w:hAnsi="Arial" w:cs="Arial"/>
                <w:b/>
                <w:color w:val="000000"/>
              </w:rPr>
              <w:t xml:space="preserve"> </w:t>
            </w:r>
            <w:r w:rsidR="00270EFC">
              <w:rPr>
                <w:rFonts w:ascii="Arial" w:hAnsi="Arial" w:cs="Arial"/>
                <w:b/>
                <w:color w:val="000000"/>
              </w:rPr>
              <w:t>Decision &amp; Reasons</w:t>
            </w:r>
            <w:r w:rsidR="00283659" w:rsidRPr="00B52C6C">
              <w:rPr>
                <w:rFonts w:ascii="Arial" w:hAnsi="Arial" w:cs="Arial"/>
                <w:b/>
                <w:color w:val="000000"/>
              </w:rPr>
              <w:t xml:space="preserve"> Promulgated</w:t>
            </w:r>
          </w:p>
        </w:tc>
      </w:tr>
      <w:tr w:rsidR="00D22636" w:rsidRPr="00B52C6C" w:rsidTr="00BC7B89">
        <w:trPr>
          <w:trHeight w:val="386"/>
        </w:trPr>
        <w:tc>
          <w:tcPr>
            <w:tcW w:w="5245" w:type="dxa"/>
            <w:shd w:val="clear" w:color="auto" w:fill="auto"/>
          </w:tcPr>
          <w:p w:rsidR="00D22636" w:rsidRPr="00B52C6C" w:rsidRDefault="00D22636" w:rsidP="000D2D25">
            <w:pPr>
              <w:jc w:val="both"/>
              <w:rPr>
                <w:rFonts w:ascii="Arial" w:hAnsi="Arial" w:cs="Arial"/>
                <w:b/>
              </w:rPr>
            </w:pPr>
            <w:r w:rsidRPr="00B52C6C">
              <w:rPr>
                <w:rFonts w:ascii="Arial" w:hAnsi="Arial" w:cs="Arial"/>
                <w:b/>
              </w:rPr>
              <w:t>On</w:t>
            </w:r>
            <w:r w:rsidR="00A905CD" w:rsidRPr="00B52C6C">
              <w:rPr>
                <w:rFonts w:ascii="Arial" w:hAnsi="Arial" w:cs="Arial"/>
                <w:b/>
              </w:rPr>
              <w:t xml:space="preserve"> </w:t>
            </w:r>
            <w:r w:rsidR="000D2D25">
              <w:rPr>
                <w:rFonts w:ascii="Arial" w:hAnsi="Arial" w:cs="Arial"/>
                <w:b/>
              </w:rPr>
              <w:t>4</w:t>
            </w:r>
            <w:r w:rsidR="000D2D25" w:rsidRPr="000D2D25">
              <w:rPr>
                <w:rFonts w:ascii="Arial" w:hAnsi="Arial" w:cs="Arial"/>
                <w:b/>
                <w:vertAlign w:val="superscript"/>
              </w:rPr>
              <w:t>th</w:t>
            </w:r>
            <w:r w:rsidR="000D2D25">
              <w:rPr>
                <w:rFonts w:ascii="Arial" w:hAnsi="Arial" w:cs="Arial"/>
                <w:b/>
              </w:rPr>
              <w:t xml:space="preserve"> June 2018</w:t>
            </w:r>
          </w:p>
        </w:tc>
        <w:tc>
          <w:tcPr>
            <w:tcW w:w="5638" w:type="dxa"/>
            <w:shd w:val="clear" w:color="auto" w:fill="auto"/>
          </w:tcPr>
          <w:p w:rsidR="00D22636" w:rsidRPr="00B52C6C" w:rsidRDefault="00BC7B89" w:rsidP="00664CDC">
            <w:pPr>
              <w:jc w:val="both"/>
              <w:rPr>
                <w:rFonts w:ascii="Arial" w:hAnsi="Arial" w:cs="Arial"/>
                <w:b/>
              </w:rPr>
            </w:pPr>
            <w:r>
              <w:rPr>
                <w:rFonts w:ascii="Arial" w:hAnsi="Arial" w:cs="Arial"/>
                <w:b/>
              </w:rPr>
              <w:t xml:space="preserve"> </w:t>
            </w:r>
            <w:r w:rsidR="00270EFC">
              <w:rPr>
                <w:rFonts w:ascii="Arial" w:hAnsi="Arial" w:cs="Arial"/>
                <w:b/>
              </w:rPr>
              <w:t>On 5</w:t>
            </w:r>
            <w:r w:rsidR="00270EFC" w:rsidRPr="00270EFC">
              <w:rPr>
                <w:rFonts w:ascii="Arial" w:hAnsi="Arial" w:cs="Arial"/>
                <w:b/>
                <w:vertAlign w:val="superscript"/>
              </w:rPr>
              <w:t>th</w:t>
            </w:r>
            <w:r w:rsidR="00270EFC">
              <w:rPr>
                <w:rFonts w:ascii="Arial" w:hAnsi="Arial" w:cs="Arial"/>
                <w:b/>
              </w:rPr>
              <w:t xml:space="preserve"> June 2018</w:t>
            </w:r>
          </w:p>
        </w:tc>
      </w:tr>
      <w:tr w:rsidR="00D22636" w:rsidRPr="00B52C6C" w:rsidTr="00BC7B89">
        <w:trPr>
          <w:trHeight w:val="386"/>
        </w:trPr>
        <w:tc>
          <w:tcPr>
            <w:tcW w:w="5245" w:type="dxa"/>
            <w:shd w:val="clear" w:color="auto" w:fill="auto"/>
          </w:tcPr>
          <w:p w:rsidR="00D22636" w:rsidRPr="00B52C6C" w:rsidRDefault="00D22636" w:rsidP="00664CDC">
            <w:pPr>
              <w:jc w:val="both"/>
              <w:rPr>
                <w:rFonts w:ascii="Arial" w:hAnsi="Arial" w:cs="Arial"/>
                <w:b/>
              </w:rPr>
            </w:pPr>
          </w:p>
        </w:tc>
        <w:tc>
          <w:tcPr>
            <w:tcW w:w="5638" w:type="dxa"/>
            <w:shd w:val="clear" w:color="auto" w:fill="auto"/>
          </w:tcPr>
          <w:p w:rsidR="00D22636" w:rsidRPr="00B52C6C" w:rsidRDefault="00D22636" w:rsidP="00664CDC">
            <w:pPr>
              <w:jc w:val="both"/>
              <w:rPr>
                <w:rFonts w:ascii="Arial" w:hAnsi="Arial" w:cs="Arial"/>
                <w:b/>
              </w:rPr>
            </w:pPr>
          </w:p>
        </w:tc>
      </w:tr>
    </w:tbl>
    <w:p w:rsidR="00A15234" w:rsidRPr="00B52C6C" w:rsidRDefault="00A15234" w:rsidP="00A15234">
      <w:pPr>
        <w:jc w:val="center"/>
        <w:rPr>
          <w:rFonts w:ascii="Arial" w:hAnsi="Arial" w:cs="Arial"/>
        </w:rPr>
      </w:pPr>
    </w:p>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A15234">
      <w:pPr>
        <w:jc w:val="center"/>
        <w:rPr>
          <w:rFonts w:ascii="Arial" w:hAnsi="Arial" w:cs="Arial"/>
          <w:b/>
        </w:rPr>
      </w:pPr>
    </w:p>
    <w:p w:rsidR="00D20757" w:rsidRPr="00B52C6C" w:rsidRDefault="00D8561E" w:rsidP="00A15234">
      <w:pPr>
        <w:jc w:val="center"/>
        <w:rPr>
          <w:rFonts w:ascii="Arial" w:hAnsi="Arial" w:cs="Arial"/>
          <w:b/>
        </w:rPr>
      </w:pPr>
      <w:r w:rsidRPr="00B52C6C">
        <w:rPr>
          <w:rFonts w:ascii="Arial" w:hAnsi="Arial" w:cs="Arial"/>
          <w:b/>
        </w:rPr>
        <w:t>UPPER TRIBUNAL JUDGE COKER</w:t>
      </w:r>
    </w:p>
    <w:p w:rsidR="00D8561E" w:rsidRPr="00B52C6C" w:rsidRDefault="00D8561E"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A845DC" w:rsidRPr="00B52C6C" w:rsidRDefault="00A845DC" w:rsidP="00A15234">
      <w:pPr>
        <w:jc w:val="center"/>
        <w:rPr>
          <w:rFonts w:ascii="Arial" w:hAnsi="Arial" w:cs="Arial"/>
          <w:b/>
        </w:rPr>
      </w:pPr>
    </w:p>
    <w:p w:rsidR="00C9581E" w:rsidRDefault="00E22E25" w:rsidP="00C9581E">
      <w:pPr>
        <w:jc w:val="center"/>
        <w:outlineLvl w:val="0"/>
        <w:rPr>
          <w:rFonts w:ascii="Arial" w:hAnsi="Arial" w:cs="Arial"/>
          <w:b/>
        </w:rPr>
      </w:pPr>
      <w:r>
        <w:rPr>
          <w:rFonts w:ascii="Arial" w:hAnsi="Arial" w:cs="Arial"/>
          <w:b/>
        </w:rPr>
        <w:t>AB</w:t>
      </w:r>
    </w:p>
    <w:p w:rsidR="00E22E25" w:rsidRPr="00BC7B89" w:rsidRDefault="00BC7B89" w:rsidP="00C9581E">
      <w:pPr>
        <w:jc w:val="center"/>
        <w:outlineLvl w:val="0"/>
        <w:rPr>
          <w:rFonts w:ascii="Arial" w:hAnsi="Arial" w:cs="Arial"/>
        </w:rPr>
      </w:pPr>
      <w:r w:rsidRPr="00BC7B89">
        <w:rPr>
          <w:rFonts w:ascii="Arial" w:hAnsi="Arial" w:cs="Arial"/>
        </w:rPr>
        <w:t>(ANONYMITY ORDER MADE)</w:t>
      </w:r>
    </w:p>
    <w:p w:rsidR="00704B61" w:rsidRPr="00B52C6C" w:rsidRDefault="00C9581E" w:rsidP="00C9581E">
      <w:pPr>
        <w:ind w:left="6804" w:firstLine="567"/>
        <w:jc w:val="center"/>
        <w:outlineLvl w:val="0"/>
        <w:rPr>
          <w:rFonts w:ascii="Arial" w:hAnsi="Arial" w:cs="Arial"/>
          <w:u w:val="single"/>
        </w:rPr>
      </w:pPr>
      <w:r w:rsidRPr="00B52C6C">
        <w:rPr>
          <w:rFonts w:ascii="Arial" w:hAnsi="Arial" w:cs="Arial"/>
          <w:b/>
        </w:rPr>
        <w:t xml:space="preserve">       </w:t>
      </w:r>
      <w:r w:rsidR="00704B61" w:rsidRPr="00B52C6C">
        <w:rPr>
          <w:rFonts w:ascii="Arial" w:hAnsi="Arial" w:cs="Arial"/>
          <w:u w:val="single"/>
        </w:rPr>
        <w:t>Appellant</w:t>
      </w:r>
    </w:p>
    <w:p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704B61">
      <w:pPr>
        <w:jc w:val="center"/>
        <w:rPr>
          <w:rFonts w:ascii="Arial" w:hAnsi="Arial" w:cs="Arial"/>
          <w:b/>
        </w:rPr>
      </w:pPr>
    </w:p>
    <w:p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rsidR="00A10254" w:rsidRPr="00B52C6C" w:rsidRDefault="00A10254" w:rsidP="00704B61">
      <w:pPr>
        <w:jc w:val="center"/>
        <w:rPr>
          <w:rFonts w:ascii="Arial" w:hAnsi="Arial" w:cs="Arial"/>
          <w:b/>
        </w:rPr>
      </w:pPr>
    </w:p>
    <w:p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rsidR="00DD5071" w:rsidRPr="00B52C6C" w:rsidRDefault="00DD5071" w:rsidP="00DD5071">
      <w:pPr>
        <w:rPr>
          <w:rFonts w:ascii="Arial" w:hAnsi="Arial" w:cs="Arial"/>
          <w:u w:val="single"/>
        </w:rPr>
      </w:pPr>
    </w:p>
    <w:p w:rsidR="00DD5071" w:rsidRPr="00B52C6C" w:rsidRDefault="00DE7DB7" w:rsidP="00DA4D91">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DE7DB7" w:rsidP="00DD5071">
      <w:pPr>
        <w:rPr>
          <w:rFonts w:ascii="Arial" w:hAnsi="Arial" w:cs="Arial"/>
        </w:rPr>
      </w:pPr>
    </w:p>
    <w:p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E22E25">
        <w:rPr>
          <w:rFonts w:ascii="Arial" w:hAnsi="Arial" w:cs="Arial"/>
        </w:rPr>
        <w:t>the appellant</w:t>
      </w:r>
      <w:r w:rsidR="00D966EE">
        <w:rPr>
          <w:rFonts w:ascii="Arial" w:hAnsi="Arial" w:cs="Arial"/>
        </w:rPr>
        <w:t>’s mother appeared for the appe</w:t>
      </w:r>
      <w:r w:rsidR="00E22E25">
        <w:rPr>
          <w:rFonts w:ascii="Arial" w:hAnsi="Arial" w:cs="Arial"/>
        </w:rPr>
        <w:t>llant</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3D4D0F">
        <w:rPr>
          <w:rFonts w:ascii="Arial" w:hAnsi="Arial" w:cs="Arial"/>
        </w:rPr>
        <w:t>P Duffy</w:t>
      </w:r>
      <w:r w:rsidR="00852DCE" w:rsidRPr="00B52C6C">
        <w:rPr>
          <w:rFonts w:ascii="Arial" w:hAnsi="Arial" w:cs="Arial"/>
        </w:rPr>
        <w:t xml:space="preserve">, Senior Home Office Presenting Officer </w:t>
      </w:r>
    </w:p>
    <w:p w:rsidR="00DE7DB7" w:rsidRPr="00B52C6C" w:rsidRDefault="00DE7DB7" w:rsidP="00402B9E">
      <w:pPr>
        <w:tabs>
          <w:tab w:val="left" w:pos="2520"/>
        </w:tabs>
        <w:jc w:val="center"/>
        <w:rPr>
          <w:rFonts w:ascii="Arial" w:hAnsi="Arial" w:cs="Arial"/>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A10254" w:rsidRPr="00B52C6C" w:rsidRDefault="00A10254" w:rsidP="00DA4D91">
      <w:pPr>
        <w:tabs>
          <w:tab w:val="left" w:pos="2520"/>
        </w:tabs>
        <w:jc w:val="center"/>
        <w:outlineLvl w:val="0"/>
        <w:rPr>
          <w:rFonts w:ascii="Arial" w:hAnsi="Arial" w:cs="Arial"/>
        </w:rPr>
      </w:pPr>
    </w:p>
    <w:p w:rsidR="00A10254" w:rsidRPr="00B52C6C" w:rsidRDefault="00A10254" w:rsidP="00A10254">
      <w:pPr>
        <w:rPr>
          <w:rFonts w:ascii="Arial" w:hAnsi="Arial" w:cs="Arial"/>
          <w:lang w:val="en-US" w:eastAsia="en-US"/>
        </w:rPr>
      </w:pPr>
      <w:r w:rsidRPr="00B52C6C">
        <w:rPr>
          <w:rStyle w:val="normaltextrun"/>
          <w:rFonts w:ascii="Arial" w:hAnsi="Arial" w:cs="Arial"/>
          <w:b/>
          <w:bCs/>
          <w:color w:val="000000"/>
          <w:shd w:val="clear" w:color="auto" w:fill="FFFFFF"/>
        </w:rPr>
        <w:t xml:space="preserve">Pursuant to Rule 14 of the Tribunal Procedure (Upper Tribunal) Rules 2008 (SI 2008/269) I make an anonymity order. Unless the Upper Tribunal or a Court directs otherwise, no report of these proceedings or any form of publication thereof shall directly or indirectly identify the original Appellant/parties in this determination identified as </w:t>
      </w:r>
      <w:r w:rsidR="00E22E25">
        <w:rPr>
          <w:rStyle w:val="normaltextrun"/>
          <w:rFonts w:ascii="Arial" w:hAnsi="Arial" w:cs="Arial"/>
          <w:b/>
          <w:bCs/>
          <w:color w:val="000000"/>
          <w:shd w:val="clear" w:color="auto" w:fill="FFFFFF"/>
        </w:rPr>
        <w:t>AB</w:t>
      </w:r>
      <w:r w:rsidRPr="00B52C6C">
        <w:rPr>
          <w:rStyle w:val="normaltextrun"/>
          <w:rFonts w:ascii="Arial" w:hAnsi="Arial" w:cs="Arial"/>
          <w:b/>
          <w:bCs/>
          <w:color w:val="000000"/>
          <w:shd w:val="clear" w:color="auto" w:fill="FFFFFF"/>
        </w:rPr>
        <w:t>. This direction applies to, amongst others, all parties. Any failure to comply with this direction could give rise to contempt of court proceedings</w:t>
      </w:r>
      <w:r w:rsidRPr="00B52C6C">
        <w:rPr>
          <w:rStyle w:val="eop"/>
          <w:rFonts w:ascii="Arial" w:hAnsi="Arial" w:cs="Arial"/>
          <w:color w:val="000000"/>
          <w:shd w:val="clear" w:color="auto" w:fill="FFFFFF"/>
        </w:rPr>
        <w:t> </w:t>
      </w:r>
    </w:p>
    <w:p w:rsidR="00402B9E" w:rsidRPr="00B52C6C" w:rsidRDefault="00402B9E" w:rsidP="00036813">
      <w:pPr>
        <w:tabs>
          <w:tab w:val="left" w:pos="2520"/>
        </w:tabs>
        <w:jc w:val="both"/>
        <w:rPr>
          <w:rFonts w:ascii="Arial" w:hAnsi="Arial" w:cs="Arial"/>
        </w:rPr>
      </w:pPr>
    </w:p>
    <w:p w:rsidR="003D4D0F" w:rsidRPr="003D4D0F" w:rsidRDefault="003D4D0F" w:rsidP="003D4D0F">
      <w:pPr>
        <w:spacing w:before="60"/>
        <w:ind w:firstLine="120"/>
        <w:jc w:val="both"/>
        <w:rPr>
          <w:sz w:val="16"/>
          <w:szCs w:val="16"/>
          <w:lang w:val="en-US" w:eastAsia="en-US"/>
        </w:rPr>
      </w:pPr>
    </w:p>
    <w:p w:rsidR="00885485" w:rsidRDefault="00E22E25" w:rsidP="00FA7A30">
      <w:pPr>
        <w:pStyle w:val="ColorfulList-Accent11"/>
        <w:numPr>
          <w:ilvl w:val="0"/>
          <w:numId w:val="12"/>
        </w:numPr>
        <w:contextualSpacing/>
        <w:jc w:val="both"/>
        <w:rPr>
          <w:rFonts w:ascii="Arial" w:hAnsi="Arial" w:cs="Arial"/>
        </w:rPr>
      </w:pPr>
      <w:r>
        <w:rPr>
          <w:rFonts w:ascii="Arial" w:hAnsi="Arial" w:cs="Arial"/>
        </w:rPr>
        <w:t xml:space="preserve">The appellant, a 13 years old child, was granted permission to appeal the decision of First-tier Tribunal Judge Chambers </w:t>
      </w:r>
      <w:proofErr w:type="gramStart"/>
      <w:r>
        <w:rPr>
          <w:rFonts w:ascii="Arial" w:hAnsi="Arial" w:cs="Arial"/>
        </w:rPr>
        <w:t>on the grounds that</w:t>
      </w:r>
      <w:proofErr w:type="gramEnd"/>
      <w:r>
        <w:rPr>
          <w:rFonts w:ascii="Arial" w:hAnsi="Arial" w:cs="Arial"/>
        </w:rPr>
        <w:t xml:space="preserve"> it was arguable the judge had erred in law in failing to consider and make findings on the impact on the child of leaving her maternal family in the</w:t>
      </w:r>
      <w:bookmarkStart w:id="0" w:name="_GoBack"/>
      <w:bookmarkEnd w:id="0"/>
      <w:r>
        <w:rPr>
          <w:rFonts w:ascii="Arial" w:hAnsi="Arial" w:cs="Arial"/>
        </w:rPr>
        <w:t xml:space="preserve"> UK</w:t>
      </w:r>
      <w:r w:rsidR="00885485">
        <w:rPr>
          <w:rFonts w:ascii="Arial" w:hAnsi="Arial" w:cs="Arial"/>
        </w:rPr>
        <w:t xml:space="preserve">. The judge refers in his decision </w:t>
      </w:r>
      <w:r w:rsidR="00885485">
        <w:rPr>
          <w:rFonts w:ascii="Arial" w:hAnsi="Arial" w:cs="Arial"/>
        </w:rPr>
        <w:lastRenderedPageBreak/>
        <w:t xml:space="preserve">to the paucity of evidence </w:t>
      </w:r>
      <w:proofErr w:type="gramStart"/>
      <w:r w:rsidR="00885485">
        <w:rPr>
          <w:rFonts w:ascii="Arial" w:hAnsi="Arial" w:cs="Arial"/>
        </w:rPr>
        <w:t>in connection with</w:t>
      </w:r>
      <w:proofErr w:type="gramEnd"/>
      <w:r w:rsidR="00885485">
        <w:rPr>
          <w:rFonts w:ascii="Arial" w:hAnsi="Arial" w:cs="Arial"/>
        </w:rPr>
        <w:t xml:space="preserve"> the paternal family. The appellant appears to have been in the UK </w:t>
      </w:r>
      <w:proofErr w:type="gramStart"/>
      <w:r w:rsidR="00885485">
        <w:rPr>
          <w:rFonts w:ascii="Arial" w:hAnsi="Arial" w:cs="Arial"/>
        </w:rPr>
        <w:t>more or less constantly</w:t>
      </w:r>
      <w:proofErr w:type="gramEnd"/>
      <w:r w:rsidR="00885485">
        <w:rPr>
          <w:rFonts w:ascii="Arial" w:hAnsi="Arial" w:cs="Arial"/>
        </w:rPr>
        <w:t xml:space="preserve"> since 2013. </w:t>
      </w:r>
    </w:p>
    <w:p w:rsidR="00885485" w:rsidRDefault="00885485" w:rsidP="00885485">
      <w:pPr>
        <w:pStyle w:val="ColorfulList-Accent11"/>
        <w:ind w:left="1080"/>
        <w:contextualSpacing/>
        <w:jc w:val="both"/>
        <w:rPr>
          <w:rFonts w:ascii="Arial" w:hAnsi="Arial" w:cs="Arial"/>
        </w:rPr>
      </w:pPr>
    </w:p>
    <w:p w:rsidR="00D966EE" w:rsidRDefault="00885485" w:rsidP="00FA7A30">
      <w:pPr>
        <w:pStyle w:val="ColorfulList-Accent11"/>
        <w:numPr>
          <w:ilvl w:val="0"/>
          <w:numId w:val="12"/>
        </w:numPr>
        <w:contextualSpacing/>
        <w:jc w:val="both"/>
        <w:rPr>
          <w:rFonts w:ascii="Arial" w:hAnsi="Arial" w:cs="Arial"/>
        </w:rPr>
      </w:pPr>
      <w:r>
        <w:rPr>
          <w:rFonts w:ascii="Arial" w:hAnsi="Arial" w:cs="Arial"/>
        </w:rPr>
        <w:t xml:space="preserve">Mr Duffy, informed me that he had difficulty in being able to submit that the First-tier Tribunal judge had properly and fully considered the best interests of the appellant in the context of her relationship with her mother and sibling and was of the view that </w:t>
      </w:r>
      <w:r w:rsidR="00D966EE">
        <w:rPr>
          <w:rFonts w:ascii="Arial" w:hAnsi="Arial" w:cs="Arial"/>
        </w:rPr>
        <w:t>he could not submit that there had been no material error of law by First-tier Tribunal Judge Chambers.</w:t>
      </w:r>
    </w:p>
    <w:p w:rsidR="00D966EE" w:rsidRDefault="00D966EE" w:rsidP="00D966EE">
      <w:pPr>
        <w:pStyle w:val="ColorfulList-Accent11"/>
        <w:ind w:left="0"/>
        <w:contextualSpacing/>
        <w:jc w:val="both"/>
        <w:rPr>
          <w:rFonts w:ascii="Arial" w:hAnsi="Arial" w:cs="Arial"/>
        </w:rPr>
      </w:pPr>
    </w:p>
    <w:p w:rsidR="00D966EE" w:rsidRDefault="00D966EE" w:rsidP="00FA7A30">
      <w:pPr>
        <w:pStyle w:val="ColorfulList-Accent11"/>
        <w:numPr>
          <w:ilvl w:val="0"/>
          <w:numId w:val="12"/>
        </w:numPr>
        <w:contextualSpacing/>
        <w:jc w:val="both"/>
        <w:rPr>
          <w:rFonts w:ascii="Arial" w:hAnsi="Arial" w:cs="Arial"/>
        </w:rPr>
      </w:pPr>
      <w:r>
        <w:rPr>
          <w:rFonts w:ascii="Arial" w:hAnsi="Arial" w:cs="Arial"/>
        </w:rPr>
        <w:t>In the light of Mr Duffy’s submissions and the grounds relied upon I am satisfied there is a material error of law and set aside the decision to be remade.</w:t>
      </w:r>
    </w:p>
    <w:p w:rsidR="00D966EE" w:rsidRDefault="00D966EE" w:rsidP="00D966EE">
      <w:pPr>
        <w:pStyle w:val="ColorfulList-Accent11"/>
        <w:ind w:left="0"/>
        <w:contextualSpacing/>
        <w:jc w:val="both"/>
        <w:rPr>
          <w:rFonts w:ascii="Arial" w:hAnsi="Arial" w:cs="Arial"/>
        </w:rPr>
      </w:pPr>
    </w:p>
    <w:p w:rsidR="00D966EE" w:rsidRDefault="00D966EE" w:rsidP="00FA7A30">
      <w:pPr>
        <w:pStyle w:val="ColorfulList-Accent11"/>
        <w:numPr>
          <w:ilvl w:val="0"/>
          <w:numId w:val="12"/>
        </w:numPr>
        <w:contextualSpacing/>
        <w:jc w:val="both"/>
        <w:rPr>
          <w:rFonts w:ascii="Arial" w:hAnsi="Arial" w:cs="Arial"/>
        </w:rPr>
      </w:pPr>
      <w:r>
        <w:rPr>
          <w:rFonts w:ascii="Arial" w:hAnsi="Arial" w:cs="Arial"/>
        </w:rPr>
        <w:t>Considerable fact finding is required in this appeal and, in accordance with the Practice Direction, I remit the appeal to the First-tier Tribunal.</w:t>
      </w:r>
    </w:p>
    <w:p w:rsidR="00D966EE" w:rsidRPr="00B52C6C" w:rsidRDefault="00D966EE" w:rsidP="00D966EE">
      <w:pPr>
        <w:pStyle w:val="ColorfulList-Accent11"/>
        <w:ind w:left="0"/>
        <w:contextualSpacing/>
        <w:jc w:val="both"/>
        <w:rPr>
          <w:rFonts w:ascii="Arial" w:hAnsi="Arial" w:cs="Arial"/>
          <w:lang w:eastAsia="en-US"/>
        </w:rPr>
      </w:pPr>
    </w:p>
    <w:p w:rsidR="005965E5" w:rsidRPr="00B52C6C" w:rsidRDefault="005965E5" w:rsidP="00036813">
      <w:pPr>
        <w:tabs>
          <w:tab w:val="left" w:pos="567"/>
        </w:tabs>
        <w:ind w:left="360"/>
        <w:jc w:val="both"/>
        <w:rPr>
          <w:rFonts w:ascii="Arial" w:hAnsi="Arial" w:cs="Arial"/>
        </w:rPr>
      </w:pPr>
    </w:p>
    <w:p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w:t>
      </w:r>
      <w:r w:rsidR="00D966EE">
        <w:rPr>
          <w:rFonts w:ascii="Arial" w:hAnsi="Arial" w:cs="Arial"/>
        </w:rPr>
        <w:t xml:space="preserve"> of the First-tier Tribunal did</w:t>
      </w:r>
      <w:r w:rsidRPr="00B52C6C">
        <w:rPr>
          <w:rFonts w:ascii="Arial" w:hAnsi="Arial" w:cs="Arial"/>
        </w:rPr>
        <w:t xml:space="preserve"> involve the making of an error on a point of law.</w:t>
      </w:r>
    </w:p>
    <w:p w:rsidR="00EB45D2" w:rsidRPr="00B52C6C" w:rsidRDefault="00EB45D2" w:rsidP="00EB45D2">
      <w:pPr>
        <w:tabs>
          <w:tab w:val="left" w:pos="567"/>
        </w:tabs>
        <w:jc w:val="both"/>
        <w:rPr>
          <w:rFonts w:ascii="Arial" w:hAnsi="Arial" w:cs="Arial"/>
        </w:rPr>
      </w:pPr>
    </w:p>
    <w:p w:rsidR="00EB45D2" w:rsidRPr="00B52C6C" w:rsidRDefault="00EB45D2" w:rsidP="00D966EE">
      <w:pPr>
        <w:tabs>
          <w:tab w:val="left" w:pos="567"/>
        </w:tabs>
        <w:jc w:val="both"/>
        <w:rPr>
          <w:rFonts w:ascii="Arial" w:hAnsi="Arial" w:cs="Arial"/>
          <w:i/>
        </w:rPr>
      </w:pPr>
      <w:r w:rsidRPr="00B52C6C">
        <w:rPr>
          <w:rFonts w:ascii="Arial" w:hAnsi="Arial" w:cs="Arial"/>
        </w:rPr>
        <w:tab/>
        <w:t xml:space="preserve">I set aside the decision </w:t>
      </w:r>
      <w:r w:rsidR="00D966EE">
        <w:rPr>
          <w:rFonts w:ascii="Arial" w:hAnsi="Arial" w:cs="Arial"/>
        </w:rPr>
        <w:t>and remit the appeal to the First-tier Tribunal.</w:t>
      </w:r>
      <w:r w:rsidRPr="00B52C6C">
        <w:rPr>
          <w:rFonts w:ascii="Arial" w:hAnsi="Arial" w:cs="Arial"/>
          <w:i/>
        </w:rPr>
        <w:t xml:space="preserve"> </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Anonymity</w:t>
      </w:r>
    </w:p>
    <w:p w:rsidR="00EB45D2" w:rsidRPr="00B52C6C" w:rsidRDefault="00EB45D2" w:rsidP="00EB45D2">
      <w:pPr>
        <w:tabs>
          <w:tab w:val="left" w:pos="567"/>
        </w:tabs>
        <w:ind w:left="567"/>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First-tier Tribunal made an order pursuant to rule 45(4)(</w:t>
      </w:r>
      <w:proofErr w:type="spellStart"/>
      <w:r w:rsidRPr="00B52C6C">
        <w:rPr>
          <w:rFonts w:ascii="Arial" w:hAnsi="Arial" w:cs="Arial"/>
        </w:rPr>
        <w:t>i</w:t>
      </w:r>
      <w:proofErr w:type="spellEnd"/>
      <w:r w:rsidRPr="00B52C6C">
        <w:rPr>
          <w:rFonts w:ascii="Arial" w:hAnsi="Arial" w:cs="Arial"/>
        </w:rPr>
        <w:t>) of the Asylum and Immigration Tribunal (Procedure) Rules 2005.</w:t>
      </w:r>
    </w:p>
    <w:p w:rsidR="00EB45D2" w:rsidRPr="00B52C6C" w:rsidRDefault="00EB45D2" w:rsidP="00EB45D2">
      <w:pPr>
        <w:tabs>
          <w:tab w:val="left" w:pos="567"/>
        </w:tabs>
        <w:ind w:left="567"/>
        <w:jc w:val="both"/>
        <w:rPr>
          <w:rFonts w:ascii="Arial" w:hAnsi="Arial" w:cs="Arial"/>
        </w:rPr>
      </w:pPr>
    </w:p>
    <w:p w:rsidR="00EB45D2" w:rsidRPr="00B52C6C" w:rsidRDefault="00D966EE" w:rsidP="00EB45D2">
      <w:pPr>
        <w:tabs>
          <w:tab w:val="left" w:pos="567"/>
        </w:tabs>
        <w:ind w:left="567"/>
        <w:jc w:val="both"/>
        <w:rPr>
          <w:rFonts w:ascii="Arial" w:hAnsi="Arial" w:cs="Arial"/>
        </w:rPr>
      </w:pPr>
      <w:r>
        <w:rPr>
          <w:rFonts w:ascii="Arial" w:hAnsi="Arial" w:cs="Arial"/>
        </w:rPr>
        <w:t>I</w:t>
      </w:r>
      <w:r w:rsidR="00EB45D2" w:rsidRPr="00B52C6C">
        <w:rPr>
          <w:rFonts w:ascii="Arial" w:hAnsi="Arial" w:cs="Arial"/>
        </w:rPr>
        <w:t xml:space="preserve"> continue that order (pursuant to rule 14 of the Tribunal Procedure (Upper Tribunal) Rules 2008).</w:t>
      </w:r>
    </w:p>
    <w:p w:rsidR="00EB45D2" w:rsidRPr="00B52C6C" w:rsidRDefault="00EB45D2" w:rsidP="00EB45D2">
      <w:pPr>
        <w:tabs>
          <w:tab w:val="left" w:pos="567"/>
        </w:tabs>
        <w:jc w:val="both"/>
        <w:rPr>
          <w:rFonts w:ascii="Arial" w:hAnsi="Arial" w:cs="Arial"/>
        </w:rPr>
      </w:pPr>
    </w:p>
    <w:p w:rsidR="00D273A7" w:rsidRPr="00B52C6C" w:rsidRDefault="00D273A7" w:rsidP="00036813">
      <w:pPr>
        <w:tabs>
          <w:tab w:val="left" w:pos="567"/>
        </w:tabs>
        <w:ind w:left="360"/>
        <w:jc w:val="both"/>
        <w:rPr>
          <w:rFonts w:ascii="Arial" w:hAnsi="Arial" w:cs="Arial"/>
        </w:rPr>
      </w:pPr>
    </w:p>
    <w:p w:rsidR="00181749" w:rsidRPr="00B52C6C" w:rsidRDefault="00181749" w:rsidP="0062579D">
      <w:pPr>
        <w:tabs>
          <w:tab w:val="left" w:pos="567"/>
        </w:tabs>
        <w:ind w:left="360"/>
        <w:jc w:val="both"/>
        <w:rPr>
          <w:rFonts w:ascii="Arial" w:hAnsi="Arial" w:cs="Arial"/>
        </w:rPr>
      </w:pPr>
    </w:p>
    <w:p w:rsidR="009F5220" w:rsidRPr="00B52C6C" w:rsidRDefault="009F5220" w:rsidP="00780F86">
      <w:pPr>
        <w:ind w:left="540" w:hanging="540"/>
        <w:jc w:val="both"/>
        <w:rPr>
          <w:rFonts w:ascii="Arial" w:hAnsi="Arial" w:cs="Arial"/>
        </w:rPr>
      </w:pPr>
    </w:p>
    <w:p w:rsidR="001F2716" w:rsidRPr="00B52C6C" w:rsidRDefault="0046345F"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extent cx="1249680" cy="510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510540"/>
                    </a:xfrm>
                    <a:prstGeom prst="rect">
                      <a:avLst/>
                    </a:prstGeom>
                    <a:noFill/>
                    <a:ln>
                      <a:noFill/>
                    </a:ln>
                  </pic:spPr>
                </pic:pic>
              </a:graphicData>
            </a:graphic>
          </wp:inline>
        </w:drawing>
      </w:r>
    </w:p>
    <w:p w:rsidR="00A509FA" w:rsidRPr="00B52C6C" w:rsidRDefault="00A509FA" w:rsidP="00780F86">
      <w:pPr>
        <w:ind w:left="540" w:hanging="540"/>
        <w:jc w:val="both"/>
        <w:rPr>
          <w:rFonts w:ascii="Arial" w:hAnsi="Arial" w:cs="Arial"/>
        </w:rPr>
      </w:pP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D966EE">
        <w:rPr>
          <w:rFonts w:ascii="Arial" w:hAnsi="Arial" w:cs="Arial"/>
        </w:rPr>
        <w:t>4</w:t>
      </w:r>
      <w:r w:rsidR="00D966EE" w:rsidRPr="00D966EE">
        <w:rPr>
          <w:rFonts w:ascii="Arial" w:hAnsi="Arial" w:cs="Arial"/>
          <w:vertAlign w:val="superscript"/>
        </w:rPr>
        <w:t>th</w:t>
      </w:r>
      <w:r w:rsidR="00D966EE">
        <w:rPr>
          <w:rFonts w:ascii="Arial" w:hAnsi="Arial" w:cs="Arial"/>
        </w:rPr>
        <w:t xml:space="preserve"> June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BC7B89">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7F5" w:rsidRDefault="00D637F5">
      <w:r>
        <w:separator/>
      </w:r>
    </w:p>
  </w:endnote>
  <w:endnote w:type="continuationSeparator" w:id="0">
    <w:p w:rsidR="00D637F5" w:rsidRDefault="00D63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BC7B89" w:rsidRDefault="001F6F7E" w:rsidP="00593795">
    <w:pPr>
      <w:pStyle w:val="Footer"/>
      <w:jc w:val="center"/>
      <w:rPr>
        <w:rFonts w:ascii="Arial" w:hAnsi="Arial" w:cs="Arial"/>
      </w:rPr>
    </w:pPr>
    <w:r w:rsidRPr="00BC7B89">
      <w:rPr>
        <w:rStyle w:val="PageNumber"/>
        <w:rFonts w:ascii="Arial" w:hAnsi="Arial" w:cs="Arial"/>
      </w:rPr>
      <w:fldChar w:fldCharType="begin"/>
    </w:r>
    <w:r w:rsidRPr="00BC7B89">
      <w:rPr>
        <w:rStyle w:val="PageNumber"/>
        <w:rFonts w:ascii="Arial" w:hAnsi="Arial" w:cs="Arial"/>
      </w:rPr>
      <w:instrText xml:space="preserve"> PAGE </w:instrText>
    </w:r>
    <w:r w:rsidRPr="00BC7B89">
      <w:rPr>
        <w:rStyle w:val="PageNumber"/>
        <w:rFonts w:ascii="Arial" w:hAnsi="Arial" w:cs="Arial"/>
      </w:rPr>
      <w:fldChar w:fldCharType="separate"/>
    </w:r>
    <w:r w:rsidR="00E30396">
      <w:rPr>
        <w:rStyle w:val="PageNumber"/>
        <w:rFonts w:ascii="Arial" w:hAnsi="Arial" w:cs="Arial"/>
        <w:noProof/>
      </w:rPr>
      <w:t>2</w:t>
    </w:r>
    <w:r w:rsidRPr="00BC7B89">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7F5" w:rsidRDefault="00D637F5">
      <w:r>
        <w:separator/>
      </w:r>
    </w:p>
  </w:footnote>
  <w:footnote w:type="continuationSeparator" w:id="0">
    <w:p w:rsidR="00D637F5" w:rsidRDefault="00D637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E22E25">
      <w:rPr>
        <w:rFonts w:ascii="Arial" w:hAnsi="Arial" w:cs="Arial"/>
        <w:sz w:val="16"/>
        <w:szCs w:val="16"/>
      </w:rPr>
      <w:t>HU/10523/2017</w:t>
    </w:r>
    <w:r>
      <w:rPr>
        <w:rFonts w:ascii="Arial" w:hAnsi="Arial" w:cs="Arial"/>
        <w:sz w:val="16"/>
        <w:szCs w:val="16"/>
      </w:rPr>
      <w:t xml:space="preserve"> </w:t>
    </w:r>
  </w:p>
  <w:p w:rsidR="00BC7B89" w:rsidRPr="003C5CE5" w:rsidRDefault="00BC7B89" w:rsidP="00593795">
    <w:pPr>
      <w:pStyle w:val="Header"/>
      <w:jc w:val="right"/>
      <w:rPr>
        <w:rFonts w:ascii="Arial" w:hAnsi="Arial"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3"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4"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0"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1"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3"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5"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6"/>
  </w:num>
  <w:num w:numId="2">
    <w:abstractNumId w:val="15"/>
  </w:num>
  <w:num w:numId="3">
    <w:abstractNumId w:val="2"/>
  </w:num>
  <w:num w:numId="4">
    <w:abstractNumId w:val="11"/>
  </w:num>
  <w:num w:numId="5">
    <w:abstractNumId w:val="22"/>
  </w:num>
  <w:num w:numId="6">
    <w:abstractNumId w:val="26"/>
  </w:num>
  <w:num w:numId="7">
    <w:abstractNumId w:val="23"/>
  </w:num>
  <w:num w:numId="8">
    <w:abstractNumId w:val="27"/>
  </w:num>
  <w:num w:numId="9">
    <w:abstractNumId w:val="10"/>
  </w:num>
  <w:num w:numId="10">
    <w:abstractNumId w:val="14"/>
  </w:num>
  <w:num w:numId="11">
    <w:abstractNumId w:val="1"/>
  </w:num>
  <w:num w:numId="12">
    <w:abstractNumId w:val="9"/>
  </w:num>
  <w:num w:numId="13">
    <w:abstractNumId w:val="0"/>
  </w:num>
  <w:num w:numId="14">
    <w:abstractNumId w:val="17"/>
  </w:num>
  <w:num w:numId="15">
    <w:abstractNumId w:val="19"/>
  </w:num>
  <w:num w:numId="16">
    <w:abstractNumId w:val="21"/>
  </w:num>
  <w:num w:numId="17">
    <w:abstractNumId w:val="18"/>
  </w:num>
  <w:num w:numId="18">
    <w:abstractNumId w:val="8"/>
  </w:num>
  <w:num w:numId="19">
    <w:abstractNumId w:val="13"/>
  </w:num>
  <w:num w:numId="20">
    <w:abstractNumId w:val="3"/>
  </w:num>
  <w:num w:numId="21">
    <w:abstractNumId w:val="24"/>
  </w:num>
  <w:num w:numId="22">
    <w:abstractNumId w:val="4"/>
  </w:num>
  <w:num w:numId="23">
    <w:abstractNumId w:val="12"/>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5"/>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07E74"/>
    <w:rsid w:val="00015FC4"/>
    <w:rsid w:val="00023FF2"/>
    <w:rsid w:val="00026617"/>
    <w:rsid w:val="00033D3D"/>
    <w:rsid w:val="00036813"/>
    <w:rsid w:val="00051C2D"/>
    <w:rsid w:val="000538B9"/>
    <w:rsid w:val="000543B1"/>
    <w:rsid w:val="00062F02"/>
    <w:rsid w:val="000645AE"/>
    <w:rsid w:val="000675A2"/>
    <w:rsid w:val="00071A7E"/>
    <w:rsid w:val="00073585"/>
    <w:rsid w:val="000746C0"/>
    <w:rsid w:val="00074D1D"/>
    <w:rsid w:val="00077501"/>
    <w:rsid w:val="00087276"/>
    <w:rsid w:val="00090CF9"/>
    <w:rsid w:val="00092580"/>
    <w:rsid w:val="00093D4D"/>
    <w:rsid w:val="000A0A34"/>
    <w:rsid w:val="000B2298"/>
    <w:rsid w:val="000C0541"/>
    <w:rsid w:val="000C44DA"/>
    <w:rsid w:val="000D2D25"/>
    <w:rsid w:val="000D572B"/>
    <w:rsid w:val="000D5D94"/>
    <w:rsid w:val="000E3782"/>
    <w:rsid w:val="000F1A0E"/>
    <w:rsid w:val="000F1BC5"/>
    <w:rsid w:val="000F3C7A"/>
    <w:rsid w:val="000F50A8"/>
    <w:rsid w:val="001015A2"/>
    <w:rsid w:val="001022EC"/>
    <w:rsid w:val="001165A7"/>
    <w:rsid w:val="00152C19"/>
    <w:rsid w:val="00165516"/>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5686"/>
    <w:rsid w:val="001F2716"/>
    <w:rsid w:val="001F4A9C"/>
    <w:rsid w:val="001F6F7E"/>
    <w:rsid w:val="00207617"/>
    <w:rsid w:val="0021104D"/>
    <w:rsid w:val="00216B36"/>
    <w:rsid w:val="0023134B"/>
    <w:rsid w:val="00232618"/>
    <w:rsid w:val="00233CF5"/>
    <w:rsid w:val="00234772"/>
    <w:rsid w:val="00242BC1"/>
    <w:rsid w:val="002576E3"/>
    <w:rsid w:val="00267DEE"/>
    <w:rsid w:val="0027048E"/>
    <w:rsid w:val="00270E13"/>
    <w:rsid w:val="00270EFC"/>
    <w:rsid w:val="00271186"/>
    <w:rsid w:val="00273160"/>
    <w:rsid w:val="002774EE"/>
    <w:rsid w:val="00283659"/>
    <w:rsid w:val="00283EAC"/>
    <w:rsid w:val="00290C6F"/>
    <w:rsid w:val="00296D48"/>
    <w:rsid w:val="002A224B"/>
    <w:rsid w:val="002B3B43"/>
    <w:rsid w:val="002B6EE0"/>
    <w:rsid w:val="002C6BD4"/>
    <w:rsid w:val="002D3F52"/>
    <w:rsid w:val="002D68BF"/>
    <w:rsid w:val="002D6D9A"/>
    <w:rsid w:val="002E151A"/>
    <w:rsid w:val="002E575D"/>
    <w:rsid w:val="002F12D1"/>
    <w:rsid w:val="002F2F63"/>
    <w:rsid w:val="002F4642"/>
    <w:rsid w:val="002F5398"/>
    <w:rsid w:val="002F6B98"/>
    <w:rsid w:val="003161B0"/>
    <w:rsid w:val="00322A5E"/>
    <w:rsid w:val="00336CBF"/>
    <w:rsid w:val="00342F01"/>
    <w:rsid w:val="00343FE3"/>
    <w:rsid w:val="003509D4"/>
    <w:rsid w:val="003546C8"/>
    <w:rsid w:val="00354DD7"/>
    <w:rsid w:val="003645CD"/>
    <w:rsid w:val="00365573"/>
    <w:rsid w:val="00373539"/>
    <w:rsid w:val="00381CAE"/>
    <w:rsid w:val="00386793"/>
    <w:rsid w:val="00394820"/>
    <w:rsid w:val="003A3EB7"/>
    <w:rsid w:val="003A7CF2"/>
    <w:rsid w:val="003C5CE5"/>
    <w:rsid w:val="003C5D94"/>
    <w:rsid w:val="003D4D0F"/>
    <w:rsid w:val="003E267B"/>
    <w:rsid w:val="003E7CD1"/>
    <w:rsid w:val="004024BC"/>
    <w:rsid w:val="0040281D"/>
    <w:rsid w:val="00402B9E"/>
    <w:rsid w:val="00406F0F"/>
    <w:rsid w:val="004106DE"/>
    <w:rsid w:val="00415F05"/>
    <w:rsid w:val="00422F82"/>
    <w:rsid w:val="004249CB"/>
    <w:rsid w:val="0043425E"/>
    <w:rsid w:val="0044127D"/>
    <w:rsid w:val="004448DB"/>
    <w:rsid w:val="00446C9A"/>
    <w:rsid w:val="00452F2B"/>
    <w:rsid w:val="0046345F"/>
    <w:rsid w:val="00477193"/>
    <w:rsid w:val="0048742E"/>
    <w:rsid w:val="00495164"/>
    <w:rsid w:val="004A0BEA"/>
    <w:rsid w:val="004A1848"/>
    <w:rsid w:val="004A6F4A"/>
    <w:rsid w:val="004B1D2E"/>
    <w:rsid w:val="004D2C44"/>
    <w:rsid w:val="004D32F6"/>
    <w:rsid w:val="004E416B"/>
    <w:rsid w:val="004E4717"/>
    <w:rsid w:val="004F77C5"/>
    <w:rsid w:val="005035E7"/>
    <w:rsid w:val="00507FEC"/>
    <w:rsid w:val="00510F0E"/>
    <w:rsid w:val="005176C7"/>
    <w:rsid w:val="00530192"/>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65E5"/>
    <w:rsid w:val="005966DA"/>
    <w:rsid w:val="005A0343"/>
    <w:rsid w:val="005A549B"/>
    <w:rsid w:val="005A75FF"/>
    <w:rsid w:val="005B0A90"/>
    <w:rsid w:val="005D10AB"/>
    <w:rsid w:val="005D36BB"/>
    <w:rsid w:val="005E52F3"/>
    <w:rsid w:val="005F0ED1"/>
    <w:rsid w:val="005F484F"/>
    <w:rsid w:val="0060112E"/>
    <w:rsid w:val="00601D8F"/>
    <w:rsid w:val="0060237D"/>
    <w:rsid w:val="006061F8"/>
    <w:rsid w:val="006074D9"/>
    <w:rsid w:val="00611276"/>
    <w:rsid w:val="00624F1A"/>
    <w:rsid w:val="0062579D"/>
    <w:rsid w:val="00630C34"/>
    <w:rsid w:val="00633D25"/>
    <w:rsid w:val="00653E97"/>
    <w:rsid w:val="00664CDC"/>
    <w:rsid w:val="006664A5"/>
    <w:rsid w:val="00671060"/>
    <w:rsid w:val="00683EEF"/>
    <w:rsid w:val="00684A74"/>
    <w:rsid w:val="00690B8A"/>
    <w:rsid w:val="006A345A"/>
    <w:rsid w:val="006A405B"/>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7F48"/>
    <w:rsid w:val="007601F3"/>
    <w:rsid w:val="00761858"/>
    <w:rsid w:val="007656C6"/>
    <w:rsid w:val="00767D59"/>
    <w:rsid w:val="00774923"/>
    <w:rsid w:val="00776E97"/>
    <w:rsid w:val="00780F86"/>
    <w:rsid w:val="00782743"/>
    <w:rsid w:val="00784D03"/>
    <w:rsid w:val="007912AD"/>
    <w:rsid w:val="007937AD"/>
    <w:rsid w:val="00796712"/>
    <w:rsid w:val="007A7B35"/>
    <w:rsid w:val="007B0824"/>
    <w:rsid w:val="007B5D3C"/>
    <w:rsid w:val="007B7552"/>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85485"/>
    <w:rsid w:val="00894951"/>
    <w:rsid w:val="00895F9E"/>
    <w:rsid w:val="008A37E3"/>
    <w:rsid w:val="008B270C"/>
    <w:rsid w:val="008B5078"/>
    <w:rsid w:val="008B5DDA"/>
    <w:rsid w:val="008B6FE8"/>
    <w:rsid w:val="008C3D3D"/>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722BC"/>
    <w:rsid w:val="0097235D"/>
    <w:rsid w:val="009727A3"/>
    <w:rsid w:val="0097577A"/>
    <w:rsid w:val="009873DD"/>
    <w:rsid w:val="00987774"/>
    <w:rsid w:val="00990CF3"/>
    <w:rsid w:val="009A11E8"/>
    <w:rsid w:val="009A2B75"/>
    <w:rsid w:val="009C2408"/>
    <w:rsid w:val="009C6CC6"/>
    <w:rsid w:val="009F5220"/>
    <w:rsid w:val="009F526C"/>
    <w:rsid w:val="009F637C"/>
    <w:rsid w:val="00A0539B"/>
    <w:rsid w:val="00A10254"/>
    <w:rsid w:val="00A15234"/>
    <w:rsid w:val="00A201AB"/>
    <w:rsid w:val="00A31C8B"/>
    <w:rsid w:val="00A3534D"/>
    <w:rsid w:val="00A35CFC"/>
    <w:rsid w:val="00A509FA"/>
    <w:rsid w:val="00A5238A"/>
    <w:rsid w:val="00A5334F"/>
    <w:rsid w:val="00A62FA3"/>
    <w:rsid w:val="00A719B9"/>
    <w:rsid w:val="00A845DC"/>
    <w:rsid w:val="00A905CD"/>
    <w:rsid w:val="00A91607"/>
    <w:rsid w:val="00A91E1E"/>
    <w:rsid w:val="00AA7A2D"/>
    <w:rsid w:val="00AB0287"/>
    <w:rsid w:val="00AB15C9"/>
    <w:rsid w:val="00AC664C"/>
    <w:rsid w:val="00AC6A9F"/>
    <w:rsid w:val="00AD27F4"/>
    <w:rsid w:val="00AE1907"/>
    <w:rsid w:val="00AF39EB"/>
    <w:rsid w:val="00B0097A"/>
    <w:rsid w:val="00B03496"/>
    <w:rsid w:val="00B03A37"/>
    <w:rsid w:val="00B10A9C"/>
    <w:rsid w:val="00B11FCD"/>
    <w:rsid w:val="00B26AA2"/>
    <w:rsid w:val="00B3524D"/>
    <w:rsid w:val="00B37AC9"/>
    <w:rsid w:val="00B40F69"/>
    <w:rsid w:val="00B434A7"/>
    <w:rsid w:val="00B46616"/>
    <w:rsid w:val="00B52C6C"/>
    <w:rsid w:val="00B55768"/>
    <w:rsid w:val="00B564F9"/>
    <w:rsid w:val="00B574ED"/>
    <w:rsid w:val="00B64A78"/>
    <w:rsid w:val="00B7040A"/>
    <w:rsid w:val="00B71BF5"/>
    <w:rsid w:val="00B76F89"/>
    <w:rsid w:val="00B83391"/>
    <w:rsid w:val="00B866FB"/>
    <w:rsid w:val="00B9038B"/>
    <w:rsid w:val="00B94048"/>
    <w:rsid w:val="00B95326"/>
    <w:rsid w:val="00BA7391"/>
    <w:rsid w:val="00BB0BED"/>
    <w:rsid w:val="00BB39BE"/>
    <w:rsid w:val="00BC3E53"/>
    <w:rsid w:val="00BC7B89"/>
    <w:rsid w:val="00BC7D66"/>
    <w:rsid w:val="00BD06DD"/>
    <w:rsid w:val="00BD4196"/>
    <w:rsid w:val="00BF1A11"/>
    <w:rsid w:val="00BF22CA"/>
    <w:rsid w:val="00BF23BB"/>
    <w:rsid w:val="00BF7921"/>
    <w:rsid w:val="00C0003A"/>
    <w:rsid w:val="00C12F97"/>
    <w:rsid w:val="00C22D9F"/>
    <w:rsid w:val="00C26032"/>
    <w:rsid w:val="00C345E1"/>
    <w:rsid w:val="00C43BFD"/>
    <w:rsid w:val="00C45D71"/>
    <w:rsid w:val="00C46F62"/>
    <w:rsid w:val="00C640A8"/>
    <w:rsid w:val="00C64A47"/>
    <w:rsid w:val="00C7704B"/>
    <w:rsid w:val="00C81167"/>
    <w:rsid w:val="00C865C1"/>
    <w:rsid w:val="00C931E5"/>
    <w:rsid w:val="00C951B1"/>
    <w:rsid w:val="00C9581E"/>
    <w:rsid w:val="00C95BBD"/>
    <w:rsid w:val="00CA10A1"/>
    <w:rsid w:val="00CA5063"/>
    <w:rsid w:val="00CA5CE4"/>
    <w:rsid w:val="00CB6E35"/>
    <w:rsid w:val="00CC3A26"/>
    <w:rsid w:val="00CC6AB3"/>
    <w:rsid w:val="00CE1A46"/>
    <w:rsid w:val="00CE465E"/>
    <w:rsid w:val="00CF14D4"/>
    <w:rsid w:val="00D105F2"/>
    <w:rsid w:val="00D20757"/>
    <w:rsid w:val="00D20AA6"/>
    <w:rsid w:val="00D21B5D"/>
    <w:rsid w:val="00D22636"/>
    <w:rsid w:val="00D273A7"/>
    <w:rsid w:val="00D31443"/>
    <w:rsid w:val="00D3621D"/>
    <w:rsid w:val="00D40FD9"/>
    <w:rsid w:val="00D472E1"/>
    <w:rsid w:val="00D53769"/>
    <w:rsid w:val="00D637F5"/>
    <w:rsid w:val="00D70B67"/>
    <w:rsid w:val="00D8561E"/>
    <w:rsid w:val="00D85C13"/>
    <w:rsid w:val="00D86F3A"/>
    <w:rsid w:val="00D9111A"/>
    <w:rsid w:val="00D91BE3"/>
    <w:rsid w:val="00D9326A"/>
    <w:rsid w:val="00D94AFC"/>
    <w:rsid w:val="00D966EE"/>
    <w:rsid w:val="00DA4D91"/>
    <w:rsid w:val="00DB70AE"/>
    <w:rsid w:val="00DC6B71"/>
    <w:rsid w:val="00DC6C25"/>
    <w:rsid w:val="00DD5071"/>
    <w:rsid w:val="00DD5ADB"/>
    <w:rsid w:val="00DD5C39"/>
    <w:rsid w:val="00DD7829"/>
    <w:rsid w:val="00DE6C66"/>
    <w:rsid w:val="00DE7DB7"/>
    <w:rsid w:val="00E00A0A"/>
    <w:rsid w:val="00E066DE"/>
    <w:rsid w:val="00E07F57"/>
    <w:rsid w:val="00E13F63"/>
    <w:rsid w:val="00E20467"/>
    <w:rsid w:val="00E22E25"/>
    <w:rsid w:val="00E30396"/>
    <w:rsid w:val="00E30683"/>
    <w:rsid w:val="00E453D8"/>
    <w:rsid w:val="00E50BCE"/>
    <w:rsid w:val="00E574BF"/>
    <w:rsid w:val="00E61292"/>
    <w:rsid w:val="00E77C4D"/>
    <w:rsid w:val="00E80AD9"/>
    <w:rsid w:val="00E81D01"/>
    <w:rsid w:val="00E83C14"/>
    <w:rsid w:val="00E92383"/>
    <w:rsid w:val="00EB2144"/>
    <w:rsid w:val="00EB45D2"/>
    <w:rsid w:val="00ED036F"/>
    <w:rsid w:val="00EE1FA1"/>
    <w:rsid w:val="00EE45D8"/>
    <w:rsid w:val="00EE6E1A"/>
    <w:rsid w:val="00EE73DD"/>
    <w:rsid w:val="00EF0787"/>
    <w:rsid w:val="00EF49C7"/>
    <w:rsid w:val="00F052AB"/>
    <w:rsid w:val="00F10DE1"/>
    <w:rsid w:val="00F12BB0"/>
    <w:rsid w:val="00F22AA0"/>
    <w:rsid w:val="00F22EDA"/>
    <w:rsid w:val="00F313E3"/>
    <w:rsid w:val="00F52CE2"/>
    <w:rsid w:val="00F563B2"/>
    <w:rsid w:val="00F71D8B"/>
    <w:rsid w:val="00F734A7"/>
    <w:rsid w:val="00F829C0"/>
    <w:rsid w:val="00F86938"/>
    <w:rsid w:val="00F97703"/>
    <w:rsid w:val="00FA0071"/>
    <w:rsid w:val="00FA77E1"/>
    <w:rsid w:val="00FA7A30"/>
    <w:rsid w:val="00FC0E89"/>
    <w:rsid w:val="00FC20F8"/>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1168A82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2289</Characters>
  <Application>Microsoft Office Word</Application>
  <DocSecurity>0</DocSecurity>
  <Lines>19</Lines>
  <Paragraphs>5</Paragraphs>
  <ScaleCrop>false</ScaleCrop>
  <Company/>
  <LinksUpToDate>false</LinksUpToDate>
  <CharactersWithSpaces>2720</CharactersWithSpaces>
  <SharedDoc>false</SharedDoc>
  <HLinks>
    <vt:vector size="6" baseType="variant">
      <vt:variant>
        <vt:i4>5374043</vt:i4>
      </vt:variant>
      <vt:variant>
        <vt:i4>2049</vt:i4>
      </vt:variant>
      <vt:variant>
        <vt:i4>1025</vt:i4>
      </vt:variant>
      <vt:variant>
        <vt:i4>1</vt:i4>
      </vt:variant>
      <vt:variant>
        <vt:lpwstr>Asylum and Immigration tribunal-b&amp;w-tiff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2018-06-27T11:38:00Z</dcterms:created>
  <dcterms:modified xsi:type="dcterms:W3CDTF">2018-06-27T11:38:00Z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